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6B743AAE" w14:textId="77777777" w:rsidR="004C0DF9" w:rsidRDefault="00985A97" w:rsidP="004C0DF9">
                <w:r>
                  <w:t>Citibank Europe Plc</w:t>
                </w:r>
              </w:p>
              <w:p w14:paraId="4997BBB2" w14:textId="01282D4F" w:rsidR="004C0DF9" w:rsidRDefault="004C0DF9" w:rsidP="004C0DF9">
                <w:r>
                  <w:t>Citibank Europe Plc is active across all of Europe (</w:t>
                </w:r>
                <w:r w:rsidRPr="00472ECD">
                  <w:t xml:space="preserve">with operations in 20 of the 27 Member States </w:t>
                </w:r>
                <w:r>
                  <w:t>and globally in 64 markets via other Citigroup vehicles) as provider of securities services to wholesale and institutional business clients.</w:t>
                </w:r>
              </w:p>
              <w:p w14:paraId="76683ED7" w14:textId="1783426D" w:rsidR="00635BCA" w:rsidRPr="00557BD2" w:rsidRDefault="004C0DF9" w:rsidP="00D21C35">
                <w:r w:rsidRPr="00472ECD">
                  <w:t>Citi is a European financial services provider and we serve clients throughout the region. Our European bank is headquartered in Dublin, we have an investment firm in Frankfurt, and we recently increased our capabilities in other key European cities including Paris, Amsterdam and Luxembourg. Citi provides a broad range of cross-border banking, payment (including custody services) and capital market services for clients.</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57D83468" w:rsidR="00635BCA" w:rsidRPr="00557BD2" w:rsidRDefault="00985A97" w:rsidP="00D21C35">
                <w:r>
                  <w:t xml:space="preserve">Credit institutions, CSDs, investment firms, market operators, e-money institutions, UCITS management companies, AIFs </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10234BEB" w:rsidR="00635BCA" w:rsidRPr="00557BD2" w:rsidRDefault="00985A97" w:rsidP="00D21C35">
                <w:r>
                  <w:t>Europe</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w:t>
      </w:r>
      <w:r>
        <w:lastRenderedPageBreak/>
        <w:t xml:space="preserve">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7CF61941" w14:textId="4F7FA28F" w:rsidR="00976080" w:rsidRPr="002F6BCB" w:rsidRDefault="00976080" w:rsidP="00C5469A">
      <w:pPr>
        <w:rPr>
          <w:b/>
          <w:bCs/>
          <w:lang w:val="en-US"/>
        </w:rPr>
      </w:pPr>
      <w:permStart w:id="1228560568" w:edGrp="everyone"/>
      <w:r w:rsidRPr="002F6BCB">
        <w:rPr>
          <w:b/>
          <w:bCs/>
          <w:lang w:val="en-US"/>
        </w:rPr>
        <w:t>Introduction</w:t>
      </w:r>
    </w:p>
    <w:p w14:paraId="2CF429EC" w14:textId="146EE28E" w:rsidR="00C60DB4" w:rsidRDefault="004C0DF9" w:rsidP="00C5469A">
      <w:pPr>
        <w:rPr>
          <w:lang w:val="en-US"/>
        </w:rPr>
      </w:pPr>
      <w:r w:rsidRPr="004C0DF9">
        <w:rPr>
          <w:lang w:val="en-US"/>
        </w:rPr>
        <w:t>Citi is an active m</w:t>
      </w:r>
      <w:r>
        <w:rPr>
          <w:lang w:val="en-US"/>
        </w:rPr>
        <w:t xml:space="preserve">ember of many European trade associations that are directly involved in post-trade securities services and has been directly contributing to the drafting of joint industry responses to this call for evidence on </w:t>
      </w:r>
      <w:r w:rsidR="00C60DB4">
        <w:rPr>
          <w:lang w:val="en-US"/>
        </w:rPr>
        <w:t xml:space="preserve">the shortening of settlement cycle in the EU. Specifically, we would like to refer to and endorse the responses submitted by the following associations: AFME, AGC, EBF and ICMA. Furthermore, through our market specialists in various EU countries, we have contributed to </w:t>
      </w:r>
      <w:r w:rsidR="00C60DB4">
        <w:rPr>
          <w:lang w:val="en-US"/>
        </w:rPr>
        <w:t xml:space="preserve">individual </w:t>
      </w:r>
      <w:r w:rsidR="00C60DB4">
        <w:rPr>
          <w:lang w:val="en-US"/>
        </w:rPr>
        <w:t>national responses with the general intent to provide a</w:t>
      </w:r>
      <w:r w:rsidR="004B280A">
        <w:rPr>
          <w:lang w:val="en-US"/>
        </w:rPr>
        <w:t xml:space="preserve">n international </w:t>
      </w:r>
      <w:r w:rsidR="00C60DB4">
        <w:rPr>
          <w:lang w:val="en-US"/>
        </w:rPr>
        <w:t xml:space="preserve">view </w:t>
      </w:r>
      <w:r w:rsidR="004B280A">
        <w:rPr>
          <w:lang w:val="en-US"/>
        </w:rPr>
        <w:t>towards</w:t>
      </w:r>
      <w:r w:rsidR="00C60DB4">
        <w:rPr>
          <w:lang w:val="en-US"/>
        </w:rPr>
        <w:t xml:space="preserve"> a harmonized and integrated functioning of the European financial markets as a whole.</w:t>
      </w:r>
      <w:r w:rsidR="004B280A">
        <w:rPr>
          <w:lang w:val="en-US"/>
        </w:rPr>
        <w:t xml:space="preserve"> </w:t>
      </w:r>
      <w:r w:rsidR="001234B5">
        <w:rPr>
          <w:lang w:val="en-US"/>
        </w:rPr>
        <w:t>Lastly</w:t>
      </w:r>
      <w:r w:rsidR="004B280A">
        <w:rPr>
          <w:lang w:val="en-US"/>
        </w:rPr>
        <w:t>, we are also actively supporting the “</w:t>
      </w:r>
      <w:r w:rsidR="004B280A" w:rsidRPr="004B280A">
        <w:rPr>
          <w:lang w:val="en-US"/>
        </w:rPr>
        <w:t>European T+1 Industry Task Force</w:t>
      </w:r>
      <w:r w:rsidR="004B280A">
        <w:rPr>
          <w:lang w:val="en-US"/>
        </w:rPr>
        <w:t>” and</w:t>
      </w:r>
      <w:r w:rsidR="001234B5">
        <w:rPr>
          <w:lang w:val="en-US"/>
        </w:rPr>
        <w:t xml:space="preserve"> we endorse</w:t>
      </w:r>
      <w:r w:rsidR="004B280A">
        <w:rPr>
          <w:lang w:val="en-US"/>
        </w:rPr>
        <w:t xml:space="preserve"> the</w:t>
      </w:r>
      <w:r w:rsidR="005B1BC3">
        <w:rPr>
          <w:lang w:val="en-US"/>
        </w:rPr>
        <w:t xml:space="preserve"> High-Level Remarks that this group of associations have jointly drafted on both T+1 and T+0 considerations.</w:t>
      </w:r>
    </w:p>
    <w:p w14:paraId="0C179D4F" w14:textId="508C9547" w:rsidR="00C60DB4" w:rsidRDefault="00C60DB4" w:rsidP="00C5469A">
      <w:pPr>
        <w:rPr>
          <w:lang w:val="en-US"/>
        </w:rPr>
      </w:pPr>
      <w:r>
        <w:rPr>
          <w:lang w:val="en-US"/>
        </w:rPr>
        <w:t>Without repeating in full the information</w:t>
      </w:r>
      <w:r w:rsidR="001234B5">
        <w:rPr>
          <w:lang w:val="en-US"/>
        </w:rPr>
        <w:t xml:space="preserve"> and commentary</w:t>
      </w:r>
      <w:r>
        <w:rPr>
          <w:lang w:val="en-US"/>
        </w:rPr>
        <w:t xml:space="preserve"> already provided in those responses</w:t>
      </w:r>
      <w:r w:rsidR="005B1BC3">
        <w:rPr>
          <w:lang w:val="en-US"/>
        </w:rPr>
        <w:t xml:space="preserve">, </w:t>
      </w:r>
      <w:r w:rsidR="00976080">
        <w:rPr>
          <w:lang w:val="en-US"/>
        </w:rPr>
        <w:t xml:space="preserve">and in view of the limited time available to respond to this Call for Evidence, with this individual response </w:t>
      </w:r>
      <w:r w:rsidR="001234B5">
        <w:rPr>
          <w:lang w:val="en-US"/>
        </w:rPr>
        <w:t xml:space="preserve">Citi would like to highlight </w:t>
      </w:r>
      <w:r w:rsidR="00976080">
        <w:rPr>
          <w:lang w:val="en-US"/>
        </w:rPr>
        <w:t xml:space="preserve">here below only </w:t>
      </w:r>
      <w:r w:rsidR="001234B5">
        <w:rPr>
          <w:lang w:val="en-US"/>
        </w:rPr>
        <w:t>a few general remarks.</w:t>
      </w:r>
      <w:r w:rsidR="00976080">
        <w:rPr>
          <w:lang w:val="en-US"/>
        </w:rPr>
        <w:t xml:space="preserve"> Further information on the topics mentioned in this questionnaire is being analyzed and collected (also with particular reference to the final stages of preparation for the T+1 migration in the United States) and we </w:t>
      </w:r>
      <w:r w:rsidR="002F6BCB">
        <w:rPr>
          <w:lang w:val="en-US"/>
        </w:rPr>
        <w:t xml:space="preserve">intend </w:t>
      </w:r>
      <w:r w:rsidR="00976080">
        <w:rPr>
          <w:lang w:val="en-US"/>
        </w:rPr>
        <w:t xml:space="preserve">to continue our active participation </w:t>
      </w:r>
      <w:r w:rsidR="002F6BCB">
        <w:rPr>
          <w:lang w:val="en-US"/>
        </w:rPr>
        <w:t>and contributions to</w:t>
      </w:r>
      <w:r w:rsidR="00976080">
        <w:rPr>
          <w:lang w:val="en-US"/>
        </w:rPr>
        <w:t xml:space="preserve"> European industry </w:t>
      </w:r>
      <w:r w:rsidR="006E26C1">
        <w:rPr>
          <w:lang w:val="en-US"/>
        </w:rPr>
        <w:t>discussions around these topics in the months to come.</w:t>
      </w:r>
    </w:p>
    <w:p w14:paraId="476AE5DC" w14:textId="77777777" w:rsidR="00357599" w:rsidRDefault="00357599" w:rsidP="00C5469A">
      <w:pPr>
        <w:rPr>
          <w:lang w:val="en-US"/>
        </w:rPr>
      </w:pPr>
    </w:p>
    <w:p w14:paraId="615F7B05" w14:textId="59A91A82" w:rsidR="002F6BCB" w:rsidRPr="00357599" w:rsidRDefault="00357599" w:rsidP="00C5469A">
      <w:pPr>
        <w:rPr>
          <w:b/>
          <w:bCs/>
          <w:lang w:val="en-US"/>
        </w:rPr>
      </w:pPr>
      <w:r w:rsidRPr="00357599">
        <w:rPr>
          <w:b/>
          <w:bCs/>
          <w:lang w:val="en-US"/>
        </w:rPr>
        <w:t>General remarks</w:t>
      </w:r>
    </w:p>
    <w:p w14:paraId="553CD660" w14:textId="0B9F66E3" w:rsidR="002F6BCB" w:rsidRPr="002F6BCB" w:rsidRDefault="002F6BCB" w:rsidP="002F6BCB">
      <w:pPr>
        <w:rPr>
          <w:lang w:val="en-US"/>
        </w:rPr>
      </w:pPr>
      <w:r w:rsidRPr="002F6BCB">
        <w:rPr>
          <w:lang w:val="en-US"/>
        </w:rPr>
        <w:t>The Post-trade “Ecosystem” is a complex and multi-layered structure of actors</w:t>
      </w:r>
      <w:r w:rsidR="00357599">
        <w:rPr>
          <w:lang w:val="en-US"/>
        </w:rPr>
        <w:t xml:space="preserve">, comprising an </w:t>
      </w:r>
      <w:r w:rsidRPr="002F6BCB">
        <w:rPr>
          <w:lang w:val="en-US"/>
        </w:rPr>
        <w:t xml:space="preserve">investment layer, </w:t>
      </w:r>
      <w:r w:rsidR="00357599">
        <w:rPr>
          <w:lang w:val="en-US"/>
        </w:rPr>
        <w:t xml:space="preserve">a </w:t>
      </w:r>
      <w:r w:rsidRPr="002F6BCB">
        <w:rPr>
          <w:lang w:val="en-US"/>
        </w:rPr>
        <w:t xml:space="preserve">trading layer, </w:t>
      </w:r>
      <w:r w:rsidR="00357599">
        <w:rPr>
          <w:lang w:val="en-US"/>
        </w:rPr>
        <w:t xml:space="preserve">a </w:t>
      </w:r>
      <w:r w:rsidRPr="002F6BCB">
        <w:rPr>
          <w:lang w:val="en-US"/>
        </w:rPr>
        <w:t xml:space="preserve">clearing layer, </w:t>
      </w:r>
      <w:r w:rsidR="00357599">
        <w:rPr>
          <w:lang w:val="en-US"/>
        </w:rPr>
        <w:t xml:space="preserve">multiple </w:t>
      </w:r>
      <w:r w:rsidRPr="002F6BCB">
        <w:rPr>
          <w:lang w:val="en-US"/>
        </w:rPr>
        <w:t>intermediaries (</w:t>
      </w:r>
      <w:r w:rsidR="00357599">
        <w:rPr>
          <w:lang w:val="en-US"/>
        </w:rPr>
        <w:t xml:space="preserve">each with multiple businesses and functions, such as </w:t>
      </w:r>
      <w:r w:rsidRPr="002F6BCB">
        <w:rPr>
          <w:lang w:val="en-US"/>
        </w:rPr>
        <w:t xml:space="preserve">middle office, treasury, repo desk, lending desk, etc.), </w:t>
      </w:r>
      <w:r w:rsidR="00357599">
        <w:rPr>
          <w:lang w:val="en-US"/>
        </w:rPr>
        <w:t xml:space="preserve">multiple </w:t>
      </w:r>
      <w:r w:rsidRPr="002F6BCB">
        <w:rPr>
          <w:lang w:val="en-US"/>
        </w:rPr>
        <w:t>settlement agents, CSDs</w:t>
      </w:r>
      <w:r w:rsidR="00357599">
        <w:rPr>
          <w:lang w:val="en-US"/>
        </w:rPr>
        <w:t xml:space="preserve"> as operators of settlement systems, national central banks</w:t>
      </w:r>
      <w:r w:rsidRPr="002F6BCB">
        <w:rPr>
          <w:lang w:val="en-US"/>
        </w:rPr>
        <w:t>.</w:t>
      </w:r>
    </w:p>
    <w:p w14:paraId="29902C00" w14:textId="77777777" w:rsidR="009A3754" w:rsidRPr="002F6BCB" w:rsidRDefault="002F6BCB" w:rsidP="009A3754">
      <w:pPr>
        <w:rPr>
          <w:lang w:val="en-US"/>
        </w:rPr>
      </w:pPr>
      <w:r w:rsidRPr="002F6BCB">
        <w:rPr>
          <w:lang w:val="en-US"/>
        </w:rPr>
        <w:lastRenderedPageBreak/>
        <w:t>The post-trade settlement process starts with trade executions (on</w:t>
      </w:r>
      <w:r w:rsidR="00357599">
        <w:rPr>
          <w:lang w:val="en-US"/>
        </w:rPr>
        <w:t xml:space="preserve"> trading venues</w:t>
      </w:r>
      <w:r w:rsidRPr="002F6BCB">
        <w:rPr>
          <w:lang w:val="en-US"/>
        </w:rPr>
        <w:t xml:space="preserve"> or </w:t>
      </w:r>
      <w:r w:rsidR="00357599">
        <w:rPr>
          <w:lang w:val="en-US"/>
        </w:rPr>
        <w:t>via bilateral contracts</w:t>
      </w:r>
      <w:r w:rsidRPr="002F6BCB">
        <w:rPr>
          <w:lang w:val="en-US"/>
        </w:rPr>
        <w:t xml:space="preserve">) and then follows an intricate flow of instructions, reporting, feedback on market status, further instructions, etc. </w:t>
      </w:r>
      <w:r w:rsidR="009A3754" w:rsidRPr="002F6BCB">
        <w:rPr>
          <w:lang w:val="en-US"/>
        </w:rPr>
        <w:t>The vast majority of these flows are beyond the reach of CSDs and settlement agents, i.e. there are significant interactions and dependencies from the ‘higher’ levels that determine the successful completion of each settlement instruction (some people call this the “behaviour” of intermediaries in the chain).</w:t>
      </w:r>
    </w:p>
    <w:p w14:paraId="7C3A3A7F" w14:textId="1AF4C4C2" w:rsidR="009A3754" w:rsidRDefault="009A3754" w:rsidP="002F6BCB">
      <w:pPr>
        <w:rPr>
          <w:lang w:val="en-US"/>
        </w:rPr>
      </w:pPr>
      <w:r w:rsidRPr="009A3754">
        <w:rPr>
          <w:lang w:val="en-US"/>
        </w:rPr>
        <w:t>A wholistic view must be taken in order to best accommodate compression of timeframes across all relevant processes: the difficulty is compounded where one process may need to complete its run before another can begin, and is further compounded if reconciliation breaks or other problems arise</w:t>
      </w:r>
      <w:r>
        <w:rPr>
          <w:lang w:val="en-US"/>
        </w:rPr>
        <w:t>.</w:t>
      </w:r>
    </w:p>
    <w:p w14:paraId="2349C687" w14:textId="43D0B02B" w:rsidR="00357599" w:rsidRPr="002F6BCB" w:rsidRDefault="009A3754" w:rsidP="00357599">
      <w:pPr>
        <w:rPr>
          <w:lang w:val="en-US"/>
        </w:rPr>
      </w:pPr>
      <w:r w:rsidRPr="009A3754">
        <w:rPr>
          <w:lang w:val="en-US"/>
        </w:rPr>
        <w:t>For purposes of addressing and optimizing market practices, it is necessary to assess two streams of processes that occur throughout the chain effectively in parallel: (1) settlement instruction processes and (2) resource management processes.</w:t>
      </w:r>
      <w:r>
        <w:rPr>
          <w:lang w:val="en-US"/>
        </w:rPr>
        <w:t xml:space="preserve"> (these processes are described in detail in the AGC response and are depicted in the Process Flow diagram, as Annex</w:t>
      </w:r>
      <w:r w:rsidR="007924C2">
        <w:rPr>
          <w:lang w:val="en-US"/>
        </w:rPr>
        <w:t>)</w:t>
      </w:r>
      <w:r>
        <w:rPr>
          <w:lang w:val="en-US"/>
        </w:rPr>
        <w:t xml:space="preserve">. </w:t>
      </w:r>
      <w:r w:rsidR="0050587F">
        <w:rPr>
          <w:lang w:val="en-US"/>
        </w:rPr>
        <w:t xml:space="preserve">The functioning of the settlement </w:t>
      </w:r>
      <w:r>
        <w:rPr>
          <w:lang w:val="en-US"/>
        </w:rPr>
        <w:t>activities involves m</w:t>
      </w:r>
      <w:r w:rsidR="00357599" w:rsidRPr="002F6BCB">
        <w:rPr>
          <w:lang w:val="en-US"/>
        </w:rPr>
        <w:t xml:space="preserve">ultiple levels of interactions and dependencies, many of which require human intervention </w:t>
      </w:r>
      <w:r>
        <w:rPr>
          <w:lang w:val="en-US"/>
        </w:rPr>
        <w:t xml:space="preserve">and decisions, </w:t>
      </w:r>
      <w:r w:rsidR="00357599" w:rsidRPr="002F6BCB">
        <w:rPr>
          <w:lang w:val="en-US"/>
        </w:rPr>
        <w:t>and are difficult to automate</w:t>
      </w:r>
      <w:r w:rsidR="007924C2">
        <w:rPr>
          <w:lang w:val="en-US"/>
        </w:rPr>
        <w:t>,</w:t>
      </w:r>
      <w:r w:rsidR="00357599" w:rsidRPr="002F6BCB">
        <w:rPr>
          <w:lang w:val="en-US"/>
        </w:rPr>
        <w:t xml:space="preserve"> </w:t>
      </w:r>
      <w:r w:rsidR="007924C2">
        <w:rPr>
          <w:lang w:val="en-US"/>
        </w:rPr>
        <w:t xml:space="preserve">such as </w:t>
      </w:r>
      <w:r w:rsidR="00357599" w:rsidRPr="002F6BCB">
        <w:rPr>
          <w:lang w:val="en-US"/>
        </w:rPr>
        <w:t>investors decisions, operational delays, system errors, exceptions management, etc.</w:t>
      </w:r>
    </w:p>
    <w:p w14:paraId="0019311D" w14:textId="512EB669" w:rsidR="00357599" w:rsidRPr="002F6BCB" w:rsidRDefault="009A3754" w:rsidP="00357599">
      <w:pPr>
        <w:rPr>
          <w:lang w:val="en-US"/>
        </w:rPr>
      </w:pPr>
      <w:r w:rsidRPr="009A3754">
        <w:rPr>
          <w:lang w:val="en-US"/>
        </w:rPr>
        <w:t xml:space="preserve">Due in part to the </w:t>
      </w:r>
      <w:r>
        <w:rPr>
          <w:lang w:val="en-US"/>
        </w:rPr>
        <w:t xml:space="preserve">European </w:t>
      </w:r>
      <w:r w:rsidRPr="009A3754">
        <w:rPr>
          <w:lang w:val="en-US"/>
        </w:rPr>
        <w:t>region’s complexity and fragmentation</w:t>
      </w:r>
      <w:r>
        <w:rPr>
          <w:lang w:val="en-US"/>
        </w:rPr>
        <w:t xml:space="preserve">, </w:t>
      </w:r>
      <w:r w:rsidRPr="009A3754">
        <w:rPr>
          <w:lang w:val="en-US"/>
        </w:rPr>
        <w:t xml:space="preserve">a large number of relevant processes are still manual or are fragmented, </w:t>
      </w:r>
      <w:r w:rsidR="00F23A95">
        <w:rPr>
          <w:lang w:val="en-US"/>
        </w:rPr>
        <w:t xml:space="preserve">as well as requiring some recursive “feedback loops” where additional instructions are provided by actors to their next-level intermediary along the chain in order for any exceptions to be correctly managed. </w:t>
      </w:r>
      <w:r>
        <w:rPr>
          <w:lang w:val="en-US"/>
        </w:rPr>
        <w:t xml:space="preserve">A </w:t>
      </w:r>
      <w:r w:rsidR="00357599" w:rsidRPr="002F6BCB">
        <w:rPr>
          <w:lang w:val="en-US"/>
        </w:rPr>
        <w:t>“</w:t>
      </w:r>
      <w:r>
        <w:rPr>
          <w:lang w:val="en-US"/>
        </w:rPr>
        <w:t>g</w:t>
      </w:r>
      <w:r w:rsidR="00357599" w:rsidRPr="002F6BCB">
        <w:rPr>
          <w:lang w:val="en-US"/>
        </w:rPr>
        <w:t xml:space="preserve">ame theory” analytical approach </w:t>
      </w:r>
      <w:r>
        <w:rPr>
          <w:lang w:val="en-US"/>
        </w:rPr>
        <w:t xml:space="preserve">might be required </w:t>
      </w:r>
      <w:r w:rsidR="00357599" w:rsidRPr="002F6BCB">
        <w:rPr>
          <w:lang w:val="en-US"/>
        </w:rPr>
        <w:t xml:space="preserve">for tracking multilateral interactions across different actors and different business processes (‘trading chains’, realignments, </w:t>
      </w:r>
      <w:r>
        <w:rPr>
          <w:lang w:val="en-US"/>
        </w:rPr>
        <w:t xml:space="preserve">funding decisions, </w:t>
      </w:r>
      <w:r w:rsidR="00357599" w:rsidRPr="002F6BCB">
        <w:rPr>
          <w:lang w:val="en-US"/>
        </w:rPr>
        <w:t>cross-CSD and cross-market flows, etc.).</w:t>
      </w:r>
      <w:r w:rsidR="00F23A95" w:rsidRPr="00F23A95">
        <w:rPr>
          <w:lang w:val="en-US"/>
        </w:rPr>
        <w:t xml:space="preserve"> </w:t>
      </w:r>
      <w:r w:rsidR="00F23A95">
        <w:rPr>
          <w:lang w:val="en-US"/>
        </w:rPr>
        <w:t xml:space="preserve">All these interactions and dependencies </w:t>
      </w:r>
      <w:r w:rsidR="00F23A95" w:rsidRPr="009A3754">
        <w:rPr>
          <w:lang w:val="en-US"/>
        </w:rPr>
        <w:t>must be addressed if the EU’s settlement cycle is shortened to T+1.</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528E6910" w14:textId="77777777" w:rsidR="00C5469A" w:rsidRDefault="00C5469A" w:rsidP="00C5469A">
      <w:permStart w:id="45707097" w:edGrp="everyone"/>
      <w:r>
        <w:lastRenderedPageBreak/>
        <w:t>TYPE YOUR TEXT HERE</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77777777" w:rsidR="00C5469A" w:rsidRDefault="00C5469A" w:rsidP="00C5469A">
      <w:permStart w:id="1188046948" w:edGrp="everyone"/>
      <w:r>
        <w:t>TYPE YOUR TEXT HERE</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118335ED" w14:textId="77777777" w:rsidR="00F52974" w:rsidRDefault="00F52974" w:rsidP="00F52974">
      <w:permStart w:id="19423711" w:edGrp="everyone"/>
      <w:r>
        <w:t>TYPE YOUR TEXT HERE</w:t>
      </w:r>
    </w:p>
    <w:permEnd w:id="19423711"/>
    <w:p w14:paraId="08A0832D" w14:textId="7C7F773E"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lastRenderedPageBreak/>
        <w:t>&lt;ESMA_QUESTION_SETT_5&gt;</w:t>
      </w:r>
    </w:p>
    <w:p w14:paraId="6EA48A43" w14:textId="77777777" w:rsidR="00C5469A" w:rsidRDefault="00C5469A" w:rsidP="00C5469A">
      <w:permStart w:id="1238857977" w:edGrp="everyone"/>
      <w:r>
        <w:t>TYPE YOUR TEXT HERE</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434BBDB6" w14:textId="77777777" w:rsidR="00F52974" w:rsidRDefault="00F52974" w:rsidP="00F52974">
      <w:permStart w:id="367399486" w:edGrp="everyone"/>
      <w:r>
        <w:t>TYPE YOUR TEXT HERE</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18DC4848" w14:textId="082920A2" w:rsidR="00860564" w:rsidRDefault="00860564" w:rsidP="00B3151B">
      <w:permStart w:id="1217420632" w:edGrp="everyone"/>
      <w:r>
        <w:t>A</w:t>
      </w:r>
      <w:r>
        <w:t xml:space="preserve"> key objective for any move to T+1 should be </w:t>
      </w:r>
      <w:r>
        <w:t xml:space="preserve">to </w:t>
      </w:r>
      <w:r>
        <w:t xml:space="preserve">minimise degradation of settlement efficiency. Such a move will require extensive preparations involving all parties, including market infrastructure and the buy-side. Assuming such preparations are effected, and an appropriate time frame is chosen for implementation, then it will be possible </w:t>
      </w:r>
      <w:r>
        <w:t xml:space="preserve">to expect that </w:t>
      </w:r>
      <w:r>
        <w:t>any temporary reduction in settlement efficiency to be subsequently overcome.</w:t>
      </w:r>
    </w:p>
    <w:p w14:paraId="6CA610BA" w14:textId="3F0AD89F" w:rsidR="00860564" w:rsidRDefault="00860564" w:rsidP="00C5469A">
      <w:r>
        <w:t xml:space="preserve">It will </w:t>
      </w:r>
      <w:r>
        <w:t xml:space="preserve">also </w:t>
      </w:r>
      <w:r>
        <w:t>be important to learn from the U.S. and Canadian markets whether fails increase</w:t>
      </w:r>
      <w:r>
        <w:t xml:space="preserve"> and what corrective actions are established that could also be replicated in the EU.</w:t>
      </w:r>
    </w:p>
    <w:p w14:paraId="1E253377" w14:textId="40ED12D0" w:rsidR="001B5EF9" w:rsidRDefault="001B5EF9" w:rsidP="00C5469A">
      <w:r>
        <w:t xml:space="preserve">Considering that the initial adaptation challenges to a shorter settlement cycle might trigger an increase in settlement fails, </w:t>
      </w:r>
      <w:r w:rsidRPr="00971A9F">
        <w:t>public authorities should consider a temporary suspension of payments of cash penalties during this initial migration period.</w:t>
      </w:r>
    </w:p>
    <w:permEnd w:id="1217420632"/>
    <w:p w14:paraId="747144F4" w14:textId="6FFD8A0D"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77777777" w:rsidR="00C5469A" w:rsidRDefault="00C5469A" w:rsidP="00C5469A">
      <w:permStart w:id="736563321" w:edGrp="everyone"/>
      <w:r>
        <w:t>TYPE YOUR TEXT HERE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7DBBC5AB" w14:textId="77777777" w:rsidR="00C5469A" w:rsidRDefault="00C5469A" w:rsidP="00C5469A">
      <w:permStart w:id="1982556193" w:edGrp="everyone"/>
      <w:r>
        <w:t>TYPE YOUR TEXT HERE</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77777777" w:rsidR="00C5469A" w:rsidRDefault="00C5469A" w:rsidP="00C5469A">
      <w:permStart w:id="639642393" w:edGrp="everyone"/>
      <w:r>
        <w:t>TYPE YOUR TEXT HERE</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lastRenderedPageBreak/>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777777" w:rsidR="00C5469A" w:rsidRDefault="00C5469A" w:rsidP="00C5469A">
      <w:permStart w:id="78006216" w:edGrp="everyone"/>
      <w:r>
        <w:t>TYPE YOUR TEXT HERE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77777777" w:rsidR="00C5469A" w:rsidRDefault="00C5469A" w:rsidP="00C5469A">
      <w:permStart w:id="27267923" w:edGrp="everyone"/>
      <w:r>
        <w:t>TYPE YOUR TEXT HERE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77777777" w:rsidR="00C5469A" w:rsidRDefault="00C5469A" w:rsidP="00C5469A">
      <w:permStart w:id="75696228" w:edGrp="everyone"/>
      <w:r>
        <w:t>TYPE YOUR TEXT HERE</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77777777" w:rsidR="00C5469A" w:rsidRDefault="00C5469A" w:rsidP="00C5469A">
      <w:permStart w:id="1702320082" w:edGrp="everyone"/>
      <w:r>
        <w:t>TYPE YOUR TEXT HERE</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lastRenderedPageBreak/>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7DB2CF2B" w14:textId="77777777" w:rsidR="00822055" w:rsidRPr="00971A9F" w:rsidRDefault="00822055" w:rsidP="00822055">
      <w:permStart w:id="1673478500" w:edGrp="everyone"/>
      <w:r w:rsidRPr="00971A9F">
        <w:t xml:space="preserve">Any decision by public authorities to adopt a T+1 settlement cycle should be based on a detailed cost-benefit analysis and must incorporate sufficient time to observe the impacts of moves to T+1 in other jurisdictions. Authorities must also consider how to prioritise this against other competing policy objectives, noting the industry’s expectation that this would be significant resource-intensive undertaking. </w:t>
      </w:r>
    </w:p>
    <w:p w14:paraId="2A4969A1" w14:textId="3CD932C4" w:rsidR="00C5469A" w:rsidRDefault="00822055" w:rsidP="00C5469A">
      <w:r>
        <w:t xml:space="preserve">We are strongly supportive of the recommendation to establish </w:t>
      </w:r>
      <w:r>
        <w:t>a market-wide implementation preparatory phase (with strong governance and broad industry coverage) aimed at detailed analysis and identification of working recommendations for the T+1 migration planning (including discussion about the most suitable migration date)</w:t>
      </w:r>
      <w:r>
        <w:t>.</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737D6AE8" w:rsidR="00C5469A" w:rsidRDefault="00822055" w:rsidP="00C5469A">
      <w:permStart w:id="1134712045" w:edGrp="everyone"/>
      <w:r>
        <w:t>The implementation timeline for a T+1 migration is heavily dependent on sufficient detailed analysis and preparation across the industry. The coordinated analytical and preparatory work described under Q15 above will be a key prerequisite before establishing the most appropriate timing for such migration</w:t>
      </w:r>
      <w:r w:rsidR="00255463">
        <w:t>.</w:t>
      </w:r>
    </w:p>
    <w:p w14:paraId="2D7B4117" w14:textId="796C76E4" w:rsidR="00255463" w:rsidRDefault="00255463" w:rsidP="00C5469A">
      <w:r>
        <w:t>Given the complexity of the post-trade ecosystem and of the impactful changes that are expected across all levels, from the investment layer all the way down to the market infrastructures and settlement systems (as described in previous answers), it is important to ensure that all the necessary time is available to make adequate preparations and testing of the “new” processes.</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lastRenderedPageBreak/>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77777777" w:rsidR="00C5469A" w:rsidRDefault="00C5469A" w:rsidP="00C5469A">
      <w:permStart w:id="254495919" w:edGrp="everyone"/>
      <w:r>
        <w:t>TYPE YOUR TEXT HERE</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77777777" w:rsidR="00C5469A" w:rsidRDefault="00C5469A" w:rsidP="00C5469A">
      <w:permStart w:id="1982605857" w:edGrp="everyone"/>
      <w:r>
        <w:t>TYPE YOUR TEXT HERE</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xml:space="preserve">: Do you think that the settlement cycle for transactions currently excluded by Article 5 of CSDR should be regulated? If you think that the settlement cycle of some or </w:t>
      </w:r>
      <w:r>
        <w:lastRenderedPageBreak/>
        <w:t>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77777777" w:rsidR="00C5469A" w:rsidRDefault="00C5469A" w:rsidP="00C5469A">
      <w:permStart w:id="6054277" w:edGrp="everyone"/>
      <w:r>
        <w:t>TYPE YOUR TEXT HERE</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lastRenderedPageBreak/>
        <w:t>: Do you see benefits in the harmonisation of settlement cycles with other non-EU jurisdictions?</w:t>
      </w:r>
    </w:p>
    <w:p w14:paraId="538C0DDE" w14:textId="77777777" w:rsidR="00C5469A" w:rsidRDefault="00C5469A" w:rsidP="00C5469A">
      <w:r>
        <w:t>&lt;ESMA_QUESTION_SETT_23&gt;</w:t>
      </w:r>
    </w:p>
    <w:p w14:paraId="78EF069F" w14:textId="10DDF544" w:rsidR="006F180B" w:rsidRDefault="006F180B" w:rsidP="006F180B">
      <w:permStart w:id="1174998131" w:edGrp="everyone"/>
      <w:r>
        <w:t xml:space="preserve">We believe it will be </w:t>
      </w:r>
      <w:r>
        <w:t xml:space="preserve">crucially </w:t>
      </w:r>
      <w:r>
        <w:t>important to focus on an alignment between the EU and the UK to ensure that any change to the settlement cycle is co-ordinated. It will be very important to have the ICSDs on the same settlement cycle as U.S. (and UK) to prevent matching issues due to ambiguity of settlement cycles. Coordination should also address concerns of liquidity shifting to UK should the UK move ahead of the EU. Coordination should also be undertaken with a goal of preventing participants in both jurisdictions from funding and managing two operationally and technically impactful market implementation programmes in potentially close succession – which would be likely to negatively impact investors in addition to settlement agents/custodians.</w:t>
      </w:r>
    </w:p>
    <w:p w14:paraId="531B922E" w14:textId="77777777" w:rsidR="006F180B" w:rsidRPr="002F6BCB" w:rsidRDefault="006F180B" w:rsidP="006F180B">
      <w:pPr>
        <w:rPr>
          <w:lang w:val="en-US"/>
        </w:rPr>
      </w:pPr>
      <w:r w:rsidRPr="002F6BCB">
        <w:rPr>
          <w:lang w:val="en-US"/>
        </w:rPr>
        <w:t>It is misleading to look at how the US are approaching the T+1 migration, since the EU post-trade ecosystem is much more complex, there are different practices and different legal foundations that need to be considered carefully, for the definition of a practicable migration plan.</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777777" w:rsidR="00C5469A" w:rsidRDefault="00C5469A" w:rsidP="00C5469A">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lastRenderedPageBreak/>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77777777" w:rsidR="00C5469A" w:rsidRDefault="00C5469A" w:rsidP="00C5469A">
      <w:permStart w:id="1765815298" w:edGrp="everyone"/>
      <w:r>
        <w:t>TYPE YOUR TEXT HERE</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77777777" w:rsidR="00C5469A" w:rsidRDefault="00C5469A" w:rsidP="00C5469A">
      <w:permStart w:id="1934034529" w:edGrp="everyone"/>
      <w:r>
        <w:t>TYPE YOUR TEXT HERE</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6FCCBF63" w14:textId="1B2AA567" w:rsidR="006F180B" w:rsidRDefault="006F180B" w:rsidP="006F180B">
      <w:permStart w:id="1617899118" w:edGrp="everyone"/>
      <w:r>
        <w:t>The EU will need to take time upfront ahead of a move to T+1 to understand and address the root cause of settlement inefficiency, improve data methodology to monitor and analyse settlement fails and for operational solutions to be implemented to improve settlement efficiency across each all sectors of the industry.  A cross-industry taskforce under ESMA’s oversight should be tasked with this objective</w:t>
      </w:r>
      <w:r w:rsidR="00F52974">
        <w:t>, acting as ‘coordinator’ of the preparatory and implementation work</w:t>
      </w:r>
      <w:r>
        <w:t>.</w:t>
      </w:r>
    </w:p>
    <w:p w14:paraId="0443A034" w14:textId="77777777" w:rsidR="006F180B" w:rsidRDefault="006F180B" w:rsidP="006F180B">
      <w:r>
        <w:t xml:space="preserve">In addition, the barriers to post-trade integration need to be identified and a clear path to resolve them should be devised (for example, under the ECB AMI-SeCo’s oversight), including improvements to cross border settlement, which may require FMI (and even regulatory) changes. </w:t>
      </w:r>
    </w:p>
    <w:p w14:paraId="0D183AD2" w14:textId="3165A82F" w:rsidR="00C5469A" w:rsidRDefault="006F180B" w:rsidP="006F180B">
      <w:r>
        <w:t xml:space="preserve">From an implementation point of view, the complexity of EU capital markets, in particular the post-trade environment, should not be underestimated. Twenty-seven markets with varying </w:t>
      </w:r>
      <w:r>
        <w:lastRenderedPageBreak/>
        <w:t>levels of efficiency and technical capabilities, compounded by different insolvency and securities laws and different tax regimes, will require careful assessment, scoping, planning and execution. In addition, the market cut-offs and batch times across the regions CSDs and T2S will need to be aligned and where appropriate extended, which would increase the technical complexity and testing footprint requirements – all of which will need to be factored into the timeline.</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93FF" w14:textId="77777777" w:rsidR="00B12EA7" w:rsidRDefault="00B12EA7" w:rsidP="007E7997">
      <w:pPr>
        <w:spacing w:line="240" w:lineRule="auto"/>
      </w:pPr>
      <w:r>
        <w:separator/>
      </w:r>
    </w:p>
  </w:endnote>
  <w:endnote w:type="continuationSeparator" w:id="0">
    <w:p w14:paraId="78B9D353" w14:textId="77777777" w:rsidR="00B12EA7" w:rsidRDefault="00B12EA7" w:rsidP="007E7997">
      <w:pPr>
        <w:spacing w:line="240" w:lineRule="auto"/>
      </w:pPr>
      <w:r>
        <w:continuationSeparator/>
      </w:r>
    </w:p>
  </w:endnote>
  <w:endnote w:type="continuationNotice" w:id="1">
    <w:p w14:paraId="204CDF54" w14:textId="77777777" w:rsidR="00B12EA7" w:rsidRDefault="00B12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B897" w14:textId="77777777" w:rsidR="00B12EA7" w:rsidRDefault="00B12EA7" w:rsidP="007E7997">
      <w:pPr>
        <w:spacing w:line="240" w:lineRule="auto"/>
      </w:pPr>
      <w:r>
        <w:separator/>
      </w:r>
    </w:p>
  </w:footnote>
  <w:footnote w:type="continuationSeparator" w:id="0">
    <w:p w14:paraId="0791C807" w14:textId="77777777" w:rsidR="00B12EA7" w:rsidRDefault="00B12EA7" w:rsidP="007E7997">
      <w:pPr>
        <w:spacing w:line="240" w:lineRule="auto"/>
      </w:pPr>
      <w:r>
        <w:continuationSeparator/>
      </w:r>
    </w:p>
  </w:footnote>
  <w:footnote w:type="continuationNotice" w:id="1">
    <w:p w14:paraId="45E93FA0" w14:textId="77777777" w:rsidR="00B12EA7" w:rsidRDefault="00B12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true"/>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522"/>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34B5"/>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5EF9"/>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463"/>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BCB"/>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599"/>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6759B"/>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2ECD"/>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80A"/>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0DF9"/>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7F"/>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BC3"/>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6C1"/>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80B"/>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4C2"/>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055"/>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64"/>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080"/>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A97"/>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54"/>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2EA7"/>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6DA7"/>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0DB4"/>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3A95"/>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974"/>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1F328F"/>
    <w:rsid w:val="004E4CF9"/>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3148</Words>
  <Characters>17945</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MTopa</cp:lastModifiedBy>
  <cp:revision>17</cp:revision>
  <cp:lastPrinted>2023-09-08T15:53:00Z</cp:lastPrinted>
  <dcterms:created xsi:type="dcterms:W3CDTF">2023-12-15T15:51:00Z</dcterms:created>
  <dcterms:modified xsi:type="dcterms:W3CDTF">2023-12-15T17:39:00Z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y fmtid="{D5CDD505-2E9C-101B-9397-08002B2CF9AE}" pid="16" name="MSIP_Label_d291669d-c62a-41f9-9790-e463798003d8_Enabled">
    <vt:lpwstr>true</vt:lpwstr>
  </property>
  <property fmtid="{D5CDD505-2E9C-101B-9397-08002B2CF9AE}" pid="17" name="MSIP_Label_d291669d-c62a-41f9-9790-e463798003d8_SetDate">
    <vt:lpwstr>2023-12-15T15:47:21Z</vt:lpwstr>
  </property>
  <property fmtid="{D5CDD505-2E9C-101B-9397-08002B2CF9AE}" pid="18" name="MSIP_Label_d291669d-c62a-41f9-9790-e463798003d8_Method">
    <vt:lpwstr>Privileged</vt:lpwstr>
  </property>
  <property fmtid="{D5CDD505-2E9C-101B-9397-08002B2CF9AE}" pid="19" name="MSIP_Label_d291669d-c62a-41f9-9790-e463798003d8_Name">
    <vt:lpwstr>Public</vt:lpwstr>
  </property>
  <property fmtid="{D5CDD505-2E9C-101B-9397-08002B2CF9AE}" pid="20" name="MSIP_Label_d291669d-c62a-41f9-9790-e463798003d8_SiteId">
    <vt:lpwstr>1771ae17-e764-4e0f-a476-d4184d79a5d9</vt:lpwstr>
  </property>
  <property fmtid="{D5CDD505-2E9C-101B-9397-08002B2CF9AE}" pid="21" name="MSIP_Label_d291669d-c62a-41f9-9790-e463798003d8_ActionId">
    <vt:lpwstr>1a23ae5f-de72-4456-9062-4fcb23d4c05a</vt:lpwstr>
  </property>
  <property fmtid="{D5CDD505-2E9C-101B-9397-08002B2CF9AE}" pid="22" name="MSIP_Label_d291669d-c62a-41f9-9790-e463798003d8_ContentBits">
    <vt:lpwstr>0</vt:lpwstr>
  </property>
</Properties>
</file>