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bookmarkStart w:id="0" w:name="_GoBack" w:displacedByCustomXml="prev"/>
        <w:bookmarkEnd w:id="0" w:displacedByCustomXml="prev"/>
        <w:p w14:paraId="01438AE1" w14:textId="19FC5ED4" w:rsidR="00563C1F" w:rsidRDefault="00EC6066" w:rsidP="00F72D28">
          <w:pPr>
            <w:pStyle w:val="Title"/>
          </w:pPr>
          <w:r>
            <w:t>Reply form</w:t>
          </w:r>
        </w:p>
        <w:p w14:paraId="031F2108" w14:textId="314EEC9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F202211"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EC6066" w:rsidRPr="0026459D">
            <w:rPr>
              <w:rFonts w:cs="Arial"/>
              <w:b/>
              <w:bCs/>
            </w:rPr>
            <w:t>on</w:t>
          </w:r>
          <w:r w:rsidR="003C5D75">
            <w:rPr>
              <w:rFonts w:cs="Arial"/>
              <w:b/>
              <w:bCs/>
            </w:rPr>
            <w:t xml:space="preserve"> the</w:t>
          </w:r>
          <w:r w:rsidR="00EC6066">
            <w:rPr>
              <w:rFonts w:cs="Arial"/>
            </w:rPr>
            <w:t xml:space="preserve"> </w:t>
          </w:r>
          <w:r w:rsidR="006902D1">
            <w:rPr>
              <w:rFonts w:cs="Arial"/>
              <w:b/>
              <w:bCs/>
            </w:rPr>
            <w:t>call for evidence</w:t>
          </w:r>
          <w:r w:rsidR="00780FEC">
            <w:rPr>
              <w:rFonts w:cs="Arial"/>
              <w:b/>
              <w:bCs/>
            </w:rPr>
            <w:t xml:space="preserve"> on </w:t>
          </w:r>
          <w:r w:rsidR="00EC6066">
            <w:rPr>
              <w:rFonts w:cs="Arial"/>
              <w:b/>
              <w:bCs/>
            </w:rPr>
            <w:t xml:space="preserve">shortening </w:t>
          </w:r>
          <w:r w:rsidR="0024683D">
            <w:rPr>
              <w:rFonts w:cs="Arial"/>
              <w:b/>
              <w:bCs/>
            </w:rPr>
            <w:t xml:space="preserve">of </w:t>
          </w:r>
          <w:r w:rsidR="00EC6066">
            <w:rPr>
              <w:rFonts w:cs="Arial"/>
              <w:b/>
              <w:bCs/>
            </w:rPr>
            <w:t>the settlement cycle</w: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51BCD894" w:rsidR="002533FC" w:rsidRPr="005B6B12" w:rsidRDefault="002533FC" w:rsidP="002533FC">
          <w:r w:rsidRPr="005B6B12">
            <w:t xml:space="preserve">ESMA will consider all comments received by </w:t>
          </w:r>
          <w:r w:rsidR="0029727F">
            <w:rPr>
              <w:b/>
            </w:rPr>
            <w:t>15 December 2023</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432E9E72"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635BCA" w:rsidRPr="00C5469A">
            <w:rPr>
              <w:bCs/>
            </w:rPr>
            <w:t>SETT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D858A35"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ESMA_CP1_</w:t>
          </w:r>
          <w:r w:rsidR="00635BCA" w:rsidRPr="00C5469A">
            <w:rPr>
              <w:bCs/>
            </w:rPr>
            <w:t>SETT</w:t>
          </w:r>
          <w:r w:rsidRPr="00C5469A">
            <w:rPr>
              <w:bCs/>
            </w:rPr>
            <w:t xml:space="preserve"> _nameofrespondent. </w:t>
          </w:r>
        </w:p>
        <w:p w14:paraId="210BE93A" w14:textId="28B7FD79"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ESMA_CP1_</w:t>
          </w:r>
          <w:r w:rsidR="00635BCA" w:rsidRPr="00C5469A">
            <w:rPr>
              <w:bCs/>
            </w:rPr>
            <w:t>SETT</w:t>
          </w:r>
          <w:r w:rsidRPr="00C5469A">
            <w:rPr>
              <w:bCs/>
            </w:rPr>
            <w:t xml:space="preserve"> _ABCD.</w:t>
          </w:r>
        </w:p>
        <w:p w14:paraId="60FF11C9" w14:textId="77777777" w:rsidR="00EC6066" w:rsidRPr="0026459D" w:rsidRDefault="00EC6066" w:rsidP="00EC6066">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6B61FE84" w14:textId="77777777" w:rsidR="00EC6066" w:rsidRPr="005B6B12" w:rsidRDefault="00EC6066" w:rsidP="00EC6066">
          <w:pPr>
            <w:rPr>
              <w:b/>
            </w:rPr>
          </w:pPr>
          <w:r w:rsidRPr="005B6B12">
            <w:rPr>
              <w:b/>
            </w:rPr>
            <w:t>Publication of responses</w:t>
          </w:r>
        </w:p>
        <w:p w14:paraId="296E0671" w14:textId="77777777" w:rsidR="00EC6066" w:rsidRPr="005B6B12" w:rsidRDefault="00EC6066" w:rsidP="00EC6066">
          <w:r w:rsidRPr="005B6B12">
            <w:t xml:space="preserve">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t>
          </w:r>
          <w:r w:rsidRPr="005B6B12">
            <w:lastRenderedPageBreak/>
            <w:t>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60616AA" w:rsidR="00EC6066" w:rsidRDefault="00EC6066" w:rsidP="00EC6066">
          <w:r>
            <w:t xml:space="preserve">All interested stakeholders are invited to respond to this consultation paper. In particular, ESMA invites market infrastructures (CSDs, CCPs, trading venues), their members and participants, other investment firms, issuers, fund managers, retail and wholesale investors, and their representatives to provide their views to the questions asked in this paper. </w:t>
          </w:r>
        </w:p>
      </w:sdtContent>
    </w:sdt>
    <w:p w14:paraId="4690CAFC" w14:textId="77777777" w:rsidR="00EC6066" w:rsidRDefault="00EC6066" w:rsidP="00EC6066"/>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0B8CB979" w:rsidR="00635BCA" w:rsidRPr="00557BD2" w:rsidRDefault="00E34E97" w:rsidP="00D21C35">
                <w:r>
                  <w:t>Association of the Luxembourg Fund Industry (ALFI)</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07FAFF3D" w:rsidR="00635BCA" w:rsidRPr="00557BD2" w:rsidRDefault="00E34E97"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03CC4B76" w:rsidR="00635BCA" w:rsidRPr="00557BD2" w:rsidRDefault="00E34E97"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3873214D" w:rsidR="00635BCA" w:rsidRPr="00557BD2" w:rsidRDefault="00E34E97" w:rsidP="00D21C35">
                <w:r>
                  <w:t>Luxembourg</w:t>
                </w:r>
              </w:p>
            </w:tc>
            <w:permEnd w:id="1581805691" w:displacedByCustomXml="next"/>
          </w:sdtContent>
        </w:sdt>
      </w:tr>
    </w:tbl>
    <w:p w14:paraId="687A8108" w14:textId="77777777" w:rsidR="00635BCA" w:rsidRPr="00053B66" w:rsidRDefault="00635BCA" w:rsidP="00635BCA"/>
    <w:p w14:paraId="3EB4F3B6" w14:textId="77777777" w:rsidR="00635BCA" w:rsidRPr="00557BD2" w:rsidRDefault="00635BCA" w:rsidP="00635BCA">
      <w:pPr>
        <w:pStyle w:val="Heading1"/>
        <w:rPr>
          <w:lang w:val="fr-BE"/>
        </w:rPr>
      </w:pPr>
      <w:r w:rsidRPr="00557BD2">
        <w:rPr>
          <w:lang w:val="fr-BE"/>
        </w:rPr>
        <w:t xml:space="preserve">Questions </w:t>
      </w:r>
    </w:p>
    <w:p w14:paraId="449AB301" w14:textId="77777777" w:rsidR="00C5469A" w:rsidRDefault="00C5469A" w:rsidP="0040236B">
      <w:pPr>
        <w:pStyle w:val="Questionstyle"/>
        <w:numPr>
          <w:ilvl w:val="0"/>
          <w:numId w:val="14"/>
        </w:numPr>
        <w:ind w:left="0"/>
        <w:rPr>
          <w:color w:val="auto"/>
        </w:rPr>
      </w:pPr>
      <w:r>
        <w:t>: Please describe the impacts on the processes and operations from compressing the intended settlement date to T+1 and to T+0. Please:</w:t>
      </w:r>
    </w:p>
    <w:p w14:paraId="7DD21609" w14:textId="77777777" w:rsidR="00C5469A" w:rsidRDefault="00C5469A" w:rsidP="0040236B">
      <w:pPr>
        <w:pStyle w:val="ListParagraph"/>
        <w:numPr>
          <w:ilvl w:val="0"/>
          <w:numId w:val="15"/>
        </w:numPr>
        <w:ind w:left="426"/>
      </w:pPr>
      <w:r>
        <w:t xml:space="preserve">provide as much detail as possible on what issues would emerge in both cases and how they could be addressed with special attention to critical processes (matching, allocation, affirmation and confirmation) and interdependencies. Where relevant please explain if these are general or asset class/instrument/ trade specific. </w:t>
      </w:r>
    </w:p>
    <w:p w14:paraId="7FA44DF4" w14:textId="77777777" w:rsidR="00C5469A" w:rsidRDefault="00C5469A" w:rsidP="0040236B">
      <w:pPr>
        <w:pStyle w:val="ListParagraph"/>
        <w:numPr>
          <w:ilvl w:val="0"/>
          <w:numId w:val="15"/>
        </w:numPr>
        <w:ind w:left="426"/>
      </w:pPr>
      <w:r>
        <w:t xml:space="preserve"> Identify processes, operations or types of transaction or financial instrument class that would be severely impacted or no longer doable in a T+1 and in a T+0 environment. </w:t>
      </w:r>
    </w:p>
    <w:p w14:paraId="4DCA07D7" w14:textId="53DFAE34" w:rsidR="00C5469A" w:rsidRPr="00C5469A" w:rsidRDefault="00C5469A" w:rsidP="00C5469A">
      <w:pPr>
        <w:ind w:left="-284"/>
        <w:rPr>
          <w:rFonts w:ascii="Arial" w:hAnsi="Arial" w:cs="Arial"/>
          <w:b/>
          <w:lang w:val="en-US"/>
        </w:rPr>
      </w:pPr>
      <w:r>
        <w:rPr>
          <w:rFonts w:ascii="Arial" w:hAnsi="Arial" w:cs="Arial"/>
          <w:b/>
          <w:lang w:val="en-US"/>
        </w:rPr>
        <w:t xml:space="preserve">Please, suggest if there are </w:t>
      </w:r>
      <w:r w:rsidR="009F68D8">
        <w:rPr>
          <w:rFonts w:ascii="Arial" w:hAnsi="Arial" w:cs="Arial"/>
          <w:b/>
          <w:lang w:val="en-US"/>
        </w:rPr>
        <w:t>legislative</w:t>
      </w:r>
      <w:r>
        <w:rPr>
          <w:rFonts w:ascii="Arial" w:hAnsi="Arial" w:cs="Arial"/>
          <w:b/>
          <w:lang w:val="en-US"/>
        </w:rPr>
        <w:t xml:space="preserve"> or regulatory actions that would help address the problems. Where relevant please explain if these are general or asset class/instrument/ trade specific.  </w:t>
      </w:r>
    </w:p>
    <w:p w14:paraId="5A9B8F15" w14:textId="77777777" w:rsidR="00C5469A" w:rsidRDefault="00C5469A" w:rsidP="00C5469A">
      <w:r>
        <w:t>&lt;ESMA_QUESTION_SETT_1&gt;</w:t>
      </w:r>
    </w:p>
    <w:p w14:paraId="3A339FC8" w14:textId="4F07DDE3" w:rsidR="00252EBF" w:rsidRPr="00252EBF" w:rsidRDefault="00252EBF" w:rsidP="005C731D">
      <w:pPr>
        <w:jc w:val="left"/>
        <w:rPr>
          <w:bCs/>
        </w:rPr>
      </w:pPr>
      <w:permStart w:id="1228560568" w:edGrp="everyone"/>
      <w:r>
        <w:rPr>
          <w:bCs/>
        </w:rPr>
        <w:t>For this question, w</w:t>
      </w:r>
      <w:r w:rsidRPr="00252EBF">
        <w:rPr>
          <w:bCs/>
        </w:rPr>
        <w:t>e cover the impacts</w:t>
      </w:r>
      <w:r>
        <w:rPr>
          <w:bCs/>
        </w:rPr>
        <w:t xml:space="preserve"> and corresponding operational remedies.</w:t>
      </w:r>
      <w:r w:rsidR="00F23F7E">
        <w:rPr>
          <w:bCs/>
        </w:rPr>
        <w:t xml:space="preserve"> In case operational remedies do not suffice, we will develop targeted legislative forbearance request.</w:t>
      </w:r>
    </w:p>
    <w:p w14:paraId="46FCAC7E" w14:textId="77777777" w:rsidR="00F23F7E" w:rsidRDefault="005C731D" w:rsidP="005C731D">
      <w:pPr>
        <w:jc w:val="left"/>
        <w:rPr>
          <w:rFonts w:ascii="Arial" w:hAnsi="Arial" w:cs="Arial"/>
          <w:i/>
        </w:rPr>
      </w:pPr>
      <w:r>
        <w:rPr>
          <w:b/>
          <w:bCs/>
        </w:rPr>
        <w:t xml:space="preserve">I. </w:t>
      </w:r>
      <w:r w:rsidR="00252EBF">
        <w:rPr>
          <w:b/>
          <w:bCs/>
        </w:rPr>
        <w:t>Trading on s</w:t>
      </w:r>
      <w:r>
        <w:rPr>
          <w:b/>
          <w:bCs/>
        </w:rPr>
        <w:t>econdary markets</w:t>
      </w:r>
      <w:r w:rsidR="00935479">
        <w:rPr>
          <w:b/>
          <w:bCs/>
        </w:rPr>
        <w:br/>
      </w:r>
    </w:p>
    <w:p w14:paraId="7AF8012A" w14:textId="1FDEF228" w:rsidR="005C731D" w:rsidRPr="00761D16" w:rsidRDefault="00220CB4" w:rsidP="005C731D">
      <w:pPr>
        <w:jc w:val="left"/>
        <w:rPr>
          <w:rFonts w:ascii="Arial" w:hAnsi="Arial" w:cs="Arial"/>
          <w:b/>
          <w:i/>
        </w:rPr>
      </w:pPr>
      <w:r w:rsidRPr="00761D16">
        <w:rPr>
          <w:rFonts w:ascii="Arial" w:hAnsi="Arial" w:cs="Arial"/>
          <w:b/>
          <w:i/>
        </w:rPr>
        <w:t>*</w:t>
      </w:r>
      <w:r w:rsidR="00F23F7E" w:rsidRPr="00761D16">
        <w:rPr>
          <w:rFonts w:ascii="Arial" w:hAnsi="Arial" w:cs="Arial"/>
          <w:b/>
          <w:i/>
        </w:rPr>
        <w:t>Impacts - f</w:t>
      </w:r>
      <w:r w:rsidRPr="00761D16">
        <w:rPr>
          <w:rFonts w:ascii="Arial" w:hAnsi="Arial" w:cs="Arial"/>
          <w:b/>
          <w:i/>
        </w:rPr>
        <w:t>or US T+1</w:t>
      </w:r>
    </w:p>
    <w:p w14:paraId="420E1B51" w14:textId="2D719F46" w:rsidR="00220CB4" w:rsidRPr="00252EBF" w:rsidRDefault="00220CB4" w:rsidP="005C731D">
      <w:pPr>
        <w:jc w:val="left"/>
        <w:rPr>
          <w:rFonts w:ascii="Arial" w:eastAsia="Times New Roman" w:hAnsi="Arial" w:cs="Arial"/>
          <w:color w:val="000000"/>
          <w:szCs w:val="22"/>
          <w:lang w:val="en-IE" w:eastAsia="en-IE"/>
        </w:rPr>
      </w:pPr>
      <w:r w:rsidRPr="00252EBF">
        <w:rPr>
          <w:rFonts w:ascii="Arial" w:eastAsia="Times New Roman" w:hAnsi="Arial" w:cs="Arial"/>
          <w:color w:val="000000"/>
          <w:szCs w:val="22"/>
          <w:lang w:val="en-IE" w:eastAsia="en-IE"/>
        </w:rPr>
        <w:t>Pressure will be added along the value chain: from execution, matching/affirmation and settlement. Additional attention and focus will be brought on the impacted markets, leveraging of US based resources to resolve issues in a timely manner.</w:t>
      </w:r>
      <w:r w:rsidRPr="00252EBF">
        <w:rPr>
          <w:rFonts w:ascii="Arial" w:eastAsia="Times New Roman" w:hAnsi="Arial" w:cs="Arial"/>
          <w:color w:val="000000"/>
          <w:szCs w:val="22"/>
          <w:lang w:val="en-IE" w:eastAsia="en-IE"/>
        </w:rPr>
        <w:br/>
      </w:r>
      <w:r w:rsidRPr="00252EBF">
        <w:rPr>
          <w:rFonts w:ascii="Arial" w:eastAsia="Times New Roman" w:hAnsi="Arial" w:cs="Arial"/>
          <w:color w:val="000000"/>
          <w:szCs w:val="22"/>
          <w:lang w:val="en-IE" w:eastAsia="en-IE"/>
        </w:rPr>
        <w:lastRenderedPageBreak/>
        <w:t xml:space="preserve">T+1 </w:t>
      </w:r>
      <w:proofErr w:type="gramStart"/>
      <w:r w:rsidRPr="00252EBF">
        <w:rPr>
          <w:rFonts w:ascii="Arial" w:eastAsia="Times New Roman" w:hAnsi="Arial" w:cs="Arial"/>
          <w:color w:val="000000"/>
          <w:szCs w:val="22"/>
          <w:lang w:val="en-IE" w:eastAsia="en-IE"/>
        </w:rPr>
        <w:t>cut-offs</w:t>
      </w:r>
      <w:proofErr w:type="gramEnd"/>
      <w:r w:rsidRPr="00252EBF">
        <w:rPr>
          <w:rFonts w:ascii="Arial" w:eastAsia="Times New Roman" w:hAnsi="Arial" w:cs="Arial"/>
          <w:color w:val="000000"/>
          <w:szCs w:val="22"/>
          <w:lang w:val="en-IE" w:eastAsia="en-IE"/>
        </w:rPr>
        <w:t xml:space="preserve"> will be hardly met when the custodian banks are located in Asia, unless they provide a full follow-the-sun process 24/24 - 5/7</w:t>
      </w:r>
    </w:p>
    <w:p w14:paraId="19DC13B9" w14:textId="4FB68C81" w:rsidR="006B1AE9" w:rsidRPr="00761D16" w:rsidRDefault="006B1AE9" w:rsidP="000B66DD">
      <w:pPr>
        <w:jc w:val="left"/>
        <w:rPr>
          <w:b/>
        </w:rPr>
      </w:pPr>
      <w:r w:rsidRPr="00761D16">
        <w:rPr>
          <w:b/>
          <w:i/>
        </w:rPr>
        <w:t xml:space="preserve">* </w:t>
      </w:r>
      <w:r w:rsidR="00F23F7E" w:rsidRPr="00761D16">
        <w:rPr>
          <w:b/>
          <w:i/>
        </w:rPr>
        <w:t>Impacts - f</w:t>
      </w:r>
      <w:r w:rsidRPr="00761D16">
        <w:rPr>
          <w:b/>
          <w:i/>
        </w:rPr>
        <w:t>or EU T+1</w:t>
      </w:r>
    </w:p>
    <w:p w14:paraId="3409FBFF" w14:textId="65A8DABB" w:rsidR="00935479" w:rsidRDefault="00935479" w:rsidP="000B66DD">
      <w:pPr>
        <w:jc w:val="left"/>
        <w:rPr>
          <w:color w:val="auto"/>
        </w:rPr>
      </w:pPr>
      <w:r>
        <w:t xml:space="preserve">We don’t anticipate any significant impact to our trade processing in the event of a shift to T+1 in the EU. Exceptions-based trade processing structure and “follow-the-sun” operational model has generally allowed us to achieve high STP rates. </w:t>
      </w:r>
    </w:p>
    <w:p w14:paraId="31A2C68B" w14:textId="2648DA0B" w:rsidR="00F23F7E" w:rsidRPr="00761D16" w:rsidRDefault="00F23F7E" w:rsidP="00F23F7E">
      <w:pPr>
        <w:jc w:val="left"/>
        <w:rPr>
          <w:rFonts w:ascii="Arial" w:hAnsi="Arial" w:cs="Arial"/>
          <w:b/>
          <w:i/>
        </w:rPr>
      </w:pPr>
      <w:r w:rsidRPr="00761D16">
        <w:rPr>
          <w:rFonts w:ascii="Arial" w:hAnsi="Arial" w:cs="Arial"/>
          <w:b/>
          <w:i/>
        </w:rPr>
        <w:t>*</w:t>
      </w:r>
      <w:r w:rsidR="00761D16">
        <w:rPr>
          <w:rFonts w:ascii="Arial" w:hAnsi="Arial" w:cs="Arial"/>
          <w:b/>
          <w:i/>
        </w:rPr>
        <w:t xml:space="preserve"> </w:t>
      </w:r>
      <w:r w:rsidRPr="00761D16">
        <w:rPr>
          <w:rFonts w:ascii="Arial" w:hAnsi="Arial" w:cs="Arial"/>
          <w:b/>
          <w:i/>
        </w:rPr>
        <w:t>Remedies - for US T+1</w:t>
      </w:r>
    </w:p>
    <w:p w14:paraId="77C74482" w14:textId="77777777" w:rsidR="00C214B8" w:rsidRPr="006F1F10" w:rsidRDefault="00C214B8" w:rsidP="00F53F6D">
      <w:pPr>
        <w:numPr>
          <w:ilvl w:val="0"/>
          <w:numId w:val="27"/>
        </w:numPr>
        <w:spacing w:after="0" w:line="240" w:lineRule="auto"/>
        <w:ind w:left="714" w:hanging="357"/>
        <w:rPr>
          <w:rFonts w:ascii="Arial" w:eastAsia="Times New Roman" w:hAnsi="Arial" w:cs="Arial"/>
          <w:color w:val="000000"/>
          <w:szCs w:val="22"/>
          <w:lang w:val="en-IE" w:eastAsia="en-IE"/>
        </w:rPr>
      </w:pPr>
      <w:r w:rsidRPr="00611547">
        <w:rPr>
          <w:rFonts w:ascii="Arial" w:eastAsia="Times New Roman" w:hAnsi="Arial" w:cs="Arial"/>
          <w:color w:val="000000"/>
          <w:szCs w:val="22"/>
          <w:lang w:eastAsia="en-IE"/>
        </w:rPr>
        <w:t xml:space="preserve">The asset </w:t>
      </w:r>
      <w:r w:rsidRPr="006F1F10">
        <w:rPr>
          <w:rFonts w:ascii="Arial" w:eastAsia="Times New Roman" w:hAnsi="Arial" w:cs="Arial"/>
          <w:color w:val="000000"/>
          <w:szCs w:val="22"/>
          <w:lang w:eastAsia="en-IE"/>
        </w:rPr>
        <w:t xml:space="preserve">manager should check how its </w:t>
      </w:r>
      <w:r w:rsidRPr="006F1F10">
        <w:rPr>
          <w:rFonts w:ascii="Arial" w:eastAsia="Times New Roman" w:hAnsi="Arial" w:cs="Arial"/>
          <w:bCs/>
          <w:color w:val="000000"/>
          <w:szCs w:val="22"/>
          <w:lang w:eastAsia="en-IE"/>
        </w:rPr>
        <w:t>custodian is able to settle</w:t>
      </w:r>
      <w:r w:rsidRPr="006F1F10">
        <w:rPr>
          <w:rFonts w:ascii="Arial" w:eastAsia="Times New Roman" w:hAnsi="Arial" w:cs="Arial"/>
          <w:color w:val="000000"/>
          <w:szCs w:val="22"/>
          <w:lang w:eastAsia="en-IE"/>
        </w:rPr>
        <w:t xml:space="preserve"> the financial instruments </w:t>
      </w:r>
      <w:r w:rsidRPr="006F1F10">
        <w:rPr>
          <w:rFonts w:ascii="Arial" w:eastAsia="Times New Roman" w:hAnsi="Arial" w:cs="Arial"/>
          <w:bCs/>
          <w:color w:val="000000"/>
          <w:szCs w:val="22"/>
          <w:lang w:eastAsia="en-IE"/>
        </w:rPr>
        <w:t>at T+1</w:t>
      </w:r>
      <w:r w:rsidRPr="006F1F10">
        <w:rPr>
          <w:rFonts w:ascii="Arial" w:eastAsia="Times New Roman" w:hAnsi="Arial" w:cs="Arial"/>
          <w:color w:val="000000"/>
          <w:szCs w:val="22"/>
          <w:lang w:eastAsia="en-IE"/>
        </w:rPr>
        <w:t>.</w:t>
      </w:r>
    </w:p>
    <w:p w14:paraId="329C2790" w14:textId="37E29E8F" w:rsidR="00C214B8" w:rsidRPr="006F1F10" w:rsidRDefault="00C214B8" w:rsidP="00F53F6D">
      <w:pPr>
        <w:numPr>
          <w:ilvl w:val="0"/>
          <w:numId w:val="27"/>
        </w:numPr>
        <w:spacing w:after="0" w:line="240" w:lineRule="auto"/>
        <w:ind w:left="714" w:hanging="357"/>
        <w:rPr>
          <w:rFonts w:ascii="Arial" w:eastAsia="Times New Roman" w:hAnsi="Arial" w:cs="Arial"/>
          <w:color w:val="000000"/>
          <w:szCs w:val="22"/>
          <w:lang w:val="en-IE" w:eastAsia="en-IE"/>
        </w:rPr>
      </w:pPr>
      <w:r w:rsidRPr="006F1F10">
        <w:rPr>
          <w:rFonts w:ascii="Arial" w:eastAsia="Times New Roman" w:hAnsi="Arial" w:cs="Arial"/>
          <w:color w:val="000000"/>
          <w:szCs w:val="22"/>
          <w:lang w:eastAsia="en-IE"/>
        </w:rPr>
        <w:t>Implement the DTCC affirmation/confirmation process</w:t>
      </w:r>
      <w:r w:rsidRPr="006F1F10">
        <w:rPr>
          <w:rFonts w:ascii="Arial" w:eastAsia="Times New Roman" w:hAnsi="Arial" w:cs="Arial"/>
          <w:color w:val="000000"/>
          <w:szCs w:val="22"/>
          <w:vertAlign w:val="superscript"/>
          <w:lang w:eastAsia="en-IE"/>
        </w:rPr>
        <w:t xml:space="preserve"> </w:t>
      </w:r>
      <w:r w:rsidRPr="006F1F10">
        <w:rPr>
          <w:rFonts w:ascii="Arial" w:eastAsia="Times New Roman" w:hAnsi="Arial" w:cs="Arial"/>
          <w:color w:val="000000"/>
          <w:szCs w:val="22"/>
          <w:lang w:eastAsia="en-IE"/>
        </w:rPr>
        <w:t>recommended by local market infrastructure.</w:t>
      </w:r>
    </w:p>
    <w:p w14:paraId="2BA68E5D" w14:textId="77777777" w:rsidR="00C214B8" w:rsidRPr="006F1F10" w:rsidRDefault="00C214B8" w:rsidP="00F53F6D">
      <w:pPr>
        <w:numPr>
          <w:ilvl w:val="0"/>
          <w:numId w:val="27"/>
        </w:numPr>
        <w:spacing w:after="0" w:line="240" w:lineRule="auto"/>
        <w:ind w:left="714" w:hanging="357"/>
        <w:rPr>
          <w:rFonts w:ascii="Arial" w:eastAsia="Times New Roman" w:hAnsi="Arial" w:cs="Arial"/>
          <w:color w:val="000000"/>
          <w:szCs w:val="22"/>
          <w:lang w:val="en-IE" w:eastAsia="en-IE"/>
        </w:rPr>
      </w:pPr>
      <w:r w:rsidRPr="006F1F10">
        <w:rPr>
          <w:rFonts w:ascii="Arial" w:eastAsia="Times New Roman" w:hAnsi="Arial" w:cs="Arial"/>
          <w:color w:val="000000"/>
          <w:szCs w:val="22"/>
          <w:lang w:val="en-US" w:eastAsia="en-IE"/>
        </w:rPr>
        <w:t>Ensure that execution information is sent without delay to custodians i.e. prior to their cut-off times.</w:t>
      </w:r>
    </w:p>
    <w:p w14:paraId="2FB05177" w14:textId="77777777" w:rsidR="00C214B8" w:rsidRPr="006F1F10" w:rsidRDefault="00C214B8" w:rsidP="00F53F6D">
      <w:pPr>
        <w:numPr>
          <w:ilvl w:val="0"/>
          <w:numId w:val="27"/>
        </w:numPr>
        <w:spacing w:after="0" w:line="240" w:lineRule="auto"/>
        <w:ind w:left="714" w:hanging="357"/>
        <w:rPr>
          <w:rFonts w:ascii="Arial" w:eastAsia="Times New Roman" w:hAnsi="Arial" w:cs="Arial"/>
          <w:color w:val="000000"/>
          <w:szCs w:val="22"/>
          <w:lang w:val="en-IE" w:eastAsia="en-IE"/>
        </w:rPr>
      </w:pPr>
      <w:r w:rsidRPr="006F1F10">
        <w:rPr>
          <w:rFonts w:ascii="Arial" w:eastAsia="Times New Roman" w:hAnsi="Arial" w:cs="Arial"/>
          <w:color w:val="000000"/>
          <w:szCs w:val="22"/>
          <w:lang w:eastAsia="en-IE"/>
        </w:rPr>
        <w:t xml:space="preserve">Ensure staff responsible for the settlements is </w:t>
      </w:r>
      <w:r w:rsidRPr="006F1F10">
        <w:rPr>
          <w:rFonts w:ascii="Arial" w:eastAsia="Times New Roman" w:hAnsi="Arial" w:cs="Arial"/>
          <w:bCs/>
          <w:color w:val="000000"/>
          <w:szCs w:val="22"/>
          <w:lang w:eastAsia="en-IE"/>
        </w:rPr>
        <w:t>able to operate within the US time zone</w:t>
      </w:r>
      <w:r w:rsidRPr="006F1F10">
        <w:rPr>
          <w:rFonts w:ascii="Arial" w:eastAsia="Times New Roman" w:hAnsi="Arial" w:cs="Arial"/>
          <w:color w:val="000000"/>
          <w:szCs w:val="22"/>
          <w:lang w:eastAsia="en-IE"/>
        </w:rPr>
        <w:t>.</w:t>
      </w:r>
    </w:p>
    <w:p w14:paraId="1A32073E" w14:textId="18FAF8E6" w:rsidR="00C214B8" w:rsidRDefault="00C214B8" w:rsidP="00F53F6D">
      <w:pPr>
        <w:numPr>
          <w:ilvl w:val="0"/>
          <w:numId w:val="27"/>
        </w:numPr>
        <w:spacing w:after="0" w:line="240" w:lineRule="auto"/>
        <w:ind w:left="714" w:hanging="357"/>
        <w:rPr>
          <w:rFonts w:ascii="Arial" w:eastAsia="Times New Roman" w:hAnsi="Arial" w:cs="Arial"/>
          <w:color w:val="000000"/>
          <w:szCs w:val="22"/>
          <w:lang w:val="en-IE" w:eastAsia="en-IE"/>
        </w:rPr>
      </w:pPr>
      <w:r w:rsidRPr="00611547">
        <w:rPr>
          <w:rFonts w:ascii="Arial" w:eastAsia="Times New Roman" w:hAnsi="Arial" w:cs="Arial"/>
          <w:color w:val="000000"/>
          <w:szCs w:val="22"/>
          <w:lang w:val="en-IE" w:eastAsia="en-IE"/>
        </w:rPr>
        <w:t>Agree on different settlement cycle with trading counterparties.</w:t>
      </w:r>
    </w:p>
    <w:p w14:paraId="6F2B4E1E" w14:textId="77777777" w:rsidR="00611547" w:rsidRPr="00611547" w:rsidRDefault="00611547" w:rsidP="00611547">
      <w:pPr>
        <w:spacing w:after="0" w:line="240" w:lineRule="auto"/>
        <w:ind w:left="714"/>
        <w:rPr>
          <w:rFonts w:ascii="Arial" w:eastAsia="Times New Roman" w:hAnsi="Arial" w:cs="Arial"/>
          <w:color w:val="000000"/>
          <w:szCs w:val="22"/>
          <w:lang w:val="en-IE" w:eastAsia="en-IE"/>
        </w:rPr>
      </w:pPr>
    </w:p>
    <w:p w14:paraId="3FF9FB8D" w14:textId="6D98CA18" w:rsidR="005C731D" w:rsidRDefault="00252EBF" w:rsidP="00935479">
      <w:r>
        <w:rPr>
          <w:b/>
          <w:bCs/>
        </w:rPr>
        <w:t>I</w:t>
      </w:r>
      <w:r w:rsidR="005C731D">
        <w:rPr>
          <w:b/>
          <w:bCs/>
        </w:rPr>
        <w:t>I. Securities lending</w:t>
      </w:r>
    </w:p>
    <w:p w14:paraId="3DAA2436" w14:textId="40F50477" w:rsidR="00935479" w:rsidRDefault="00F23F7E" w:rsidP="00935479">
      <w:r>
        <w:t xml:space="preserve">However, we do </w:t>
      </w:r>
      <w:r w:rsidR="00252EBF">
        <w:t>foresee</w:t>
      </w:r>
      <w:r w:rsidR="00935479">
        <w:t xml:space="preserve"> market barriers in the securities lending space</w:t>
      </w:r>
      <w:r w:rsidR="00633048">
        <w:t xml:space="preserve">, where the </w:t>
      </w:r>
      <w:r w:rsidR="00935479">
        <w:t xml:space="preserve">infrastructure </w:t>
      </w:r>
      <w:r w:rsidR="00633048">
        <w:t xml:space="preserve">is </w:t>
      </w:r>
      <w:r w:rsidR="00935479">
        <w:t xml:space="preserve">likely behind other spaces. </w:t>
      </w:r>
      <w:r w:rsidR="00633048">
        <w:t>T</w:t>
      </w:r>
      <w:r w:rsidR="00935479">
        <w:t xml:space="preserve">he prevalent use of less efficient communication methods (like emails) indicates a lack of automation which is inadequate for the quick turnaround required in T+1 </w:t>
      </w:r>
      <w:proofErr w:type="gramStart"/>
      <w:r w:rsidR="00935479">
        <w:t>settlements</w:t>
      </w:r>
      <w:proofErr w:type="gramEnd"/>
      <w:r w:rsidR="00935479">
        <w:t xml:space="preserve">. </w:t>
      </w:r>
    </w:p>
    <w:p w14:paraId="357DC35E" w14:textId="79BD2BDF" w:rsidR="00C35883" w:rsidRPr="00761D16" w:rsidRDefault="00C35883" w:rsidP="00C35883">
      <w:pPr>
        <w:rPr>
          <w:b/>
          <w:i/>
          <w:lang w:val="en-IE"/>
        </w:rPr>
      </w:pPr>
      <w:r w:rsidRPr="00761D16">
        <w:rPr>
          <w:b/>
          <w:i/>
        </w:rPr>
        <w:t>* Impacts (on the securities lent recall process)</w:t>
      </w:r>
    </w:p>
    <w:p w14:paraId="34BCCB1C" w14:textId="77777777" w:rsidR="00C214B8" w:rsidRPr="00C35883" w:rsidRDefault="00C214B8" w:rsidP="00F53F6D">
      <w:pPr>
        <w:numPr>
          <w:ilvl w:val="0"/>
          <w:numId w:val="28"/>
        </w:numPr>
        <w:spacing w:after="0" w:line="240" w:lineRule="auto"/>
        <w:ind w:left="714" w:hanging="357"/>
        <w:rPr>
          <w:lang w:val="en-IE"/>
        </w:rPr>
      </w:pPr>
      <w:r w:rsidRPr="00C35883">
        <w:rPr>
          <w:lang w:val="en-IE"/>
        </w:rPr>
        <w:t>Borrowers of securities (lent by Asset Managers as part of EPM techniques) will have to comply with a shortened period of recall.</w:t>
      </w:r>
    </w:p>
    <w:p w14:paraId="49C8C278" w14:textId="77777777" w:rsidR="00C214B8" w:rsidRPr="00C35883" w:rsidRDefault="00C214B8" w:rsidP="00F53F6D">
      <w:pPr>
        <w:numPr>
          <w:ilvl w:val="0"/>
          <w:numId w:val="28"/>
        </w:numPr>
        <w:spacing w:after="0" w:line="240" w:lineRule="auto"/>
        <w:ind w:left="714" w:hanging="357"/>
        <w:rPr>
          <w:lang w:val="en-IE"/>
        </w:rPr>
      </w:pPr>
      <w:r w:rsidRPr="00C35883">
        <w:t>I</w:t>
      </w:r>
      <w:r w:rsidRPr="00C35883">
        <w:rPr>
          <w:lang w:val="en-IE"/>
        </w:rPr>
        <w:t>t may potentially impact the pricing of the lending agreement, and the operational cost with the securities lending agent (at the detriment of the Asset Manager).</w:t>
      </w:r>
    </w:p>
    <w:p w14:paraId="35D95281" w14:textId="77777777" w:rsidR="00C214B8" w:rsidRPr="00C35883" w:rsidRDefault="00C214B8" w:rsidP="00F53F6D">
      <w:pPr>
        <w:numPr>
          <w:ilvl w:val="0"/>
          <w:numId w:val="28"/>
        </w:numPr>
        <w:spacing w:after="0" w:line="240" w:lineRule="auto"/>
        <w:ind w:left="714" w:hanging="357"/>
        <w:rPr>
          <w:lang w:val="en-IE"/>
        </w:rPr>
      </w:pPr>
      <w:r w:rsidRPr="00C35883">
        <w:t>T</w:t>
      </w:r>
      <w:r w:rsidRPr="00C35883">
        <w:rPr>
          <w:lang w:val="en-IE"/>
        </w:rPr>
        <w:t>he induced complexity might put pressure on the lending agent</w:t>
      </w:r>
      <w:r w:rsidRPr="00C35883">
        <w:rPr>
          <w:vertAlign w:val="superscript"/>
        </w:rPr>
        <w:t xml:space="preserve"> 1</w:t>
      </w:r>
      <w:r w:rsidRPr="00C35883">
        <w:t xml:space="preserve"> </w:t>
      </w:r>
      <w:r w:rsidRPr="00C35883">
        <w:rPr>
          <w:lang w:val="en-IE"/>
        </w:rPr>
        <w:t>processes, which may potentially pass on to lenders the “increased operational costs”.</w:t>
      </w:r>
    </w:p>
    <w:p w14:paraId="6D3F01B1" w14:textId="77777777" w:rsidR="00C214B8" w:rsidRPr="00C35883" w:rsidRDefault="00C214B8" w:rsidP="00F53F6D">
      <w:pPr>
        <w:numPr>
          <w:ilvl w:val="0"/>
          <w:numId w:val="28"/>
        </w:numPr>
        <w:spacing w:after="0" w:line="240" w:lineRule="auto"/>
        <w:ind w:left="714" w:hanging="357"/>
        <w:rPr>
          <w:lang w:val="en-IE"/>
        </w:rPr>
      </w:pPr>
      <w:r w:rsidRPr="00C35883">
        <w:rPr>
          <w:lang w:val="en-IE"/>
        </w:rPr>
        <w:t>Collateral re-use will have to comply with the shortened period.</w:t>
      </w:r>
    </w:p>
    <w:p w14:paraId="42F3C46D" w14:textId="77777777" w:rsidR="00DA6009" w:rsidRDefault="00DA6009" w:rsidP="00DA6009">
      <w:pPr>
        <w:rPr>
          <w:i/>
        </w:rPr>
      </w:pPr>
    </w:p>
    <w:p w14:paraId="2E9DCECE" w14:textId="77138575" w:rsidR="00DA6009" w:rsidRPr="00761D16" w:rsidRDefault="00DA6009" w:rsidP="00DA6009">
      <w:pPr>
        <w:rPr>
          <w:b/>
          <w:i/>
        </w:rPr>
      </w:pPr>
      <w:r w:rsidRPr="00761D16">
        <w:rPr>
          <w:b/>
          <w:i/>
        </w:rPr>
        <w:t>* Remedies:</w:t>
      </w:r>
    </w:p>
    <w:p w14:paraId="158D974B" w14:textId="77777777" w:rsidR="00C214B8" w:rsidRPr="00DA6009" w:rsidRDefault="00C214B8" w:rsidP="00F53F6D">
      <w:pPr>
        <w:numPr>
          <w:ilvl w:val="0"/>
          <w:numId w:val="29"/>
        </w:numPr>
        <w:spacing w:after="0" w:line="240" w:lineRule="auto"/>
        <w:ind w:left="714" w:hanging="357"/>
        <w:rPr>
          <w:lang w:val="en-IE"/>
        </w:rPr>
      </w:pPr>
      <w:r w:rsidRPr="00DA6009">
        <w:t xml:space="preserve">Ensure the </w:t>
      </w:r>
      <w:r w:rsidRPr="00DA6009">
        <w:rPr>
          <w:lang w:val="en-IE"/>
        </w:rPr>
        <w:t>lending agent receive and process recall instructions</w:t>
      </w:r>
      <w:r w:rsidRPr="00DA6009">
        <w:t xml:space="preserve"> before their cut-off time.</w:t>
      </w:r>
    </w:p>
    <w:p w14:paraId="73F1E006" w14:textId="77777777" w:rsidR="00C214B8" w:rsidRPr="00DA6009" w:rsidRDefault="00C214B8" w:rsidP="00F53F6D">
      <w:pPr>
        <w:numPr>
          <w:ilvl w:val="0"/>
          <w:numId w:val="29"/>
        </w:numPr>
        <w:spacing w:after="0" w:line="240" w:lineRule="auto"/>
        <w:ind w:left="714" w:hanging="357"/>
        <w:rPr>
          <w:lang w:val="en-IE"/>
        </w:rPr>
      </w:pPr>
      <w:r w:rsidRPr="00DA6009">
        <w:t xml:space="preserve">Closely monitor the </w:t>
      </w:r>
      <w:r w:rsidRPr="00DA6009">
        <w:rPr>
          <w:lang w:val="en-IE"/>
        </w:rPr>
        <w:t>lending agent operational efficiency, including collateral management, and potential issues with certain borrowers.</w:t>
      </w:r>
    </w:p>
    <w:p w14:paraId="212C46D5" w14:textId="77777777" w:rsidR="00C214B8" w:rsidRPr="00DA6009" w:rsidRDefault="00C214B8" w:rsidP="00F53F6D">
      <w:pPr>
        <w:numPr>
          <w:ilvl w:val="0"/>
          <w:numId w:val="29"/>
        </w:numPr>
        <w:spacing w:after="0" w:line="240" w:lineRule="auto"/>
        <w:ind w:left="714" w:hanging="357"/>
        <w:rPr>
          <w:lang w:val="en-IE"/>
        </w:rPr>
      </w:pPr>
      <w:r w:rsidRPr="00DA6009">
        <w:rPr>
          <w:lang w:val="en-US"/>
        </w:rPr>
        <w:lastRenderedPageBreak/>
        <w:t>Ensure that regulatory obligations (e.g. SFTR, EMIR) are still correctly fulfilled in case of process changes.</w:t>
      </w:r>
    </w:p>
    <w:p w14:paraId="552E0C81" w14:textId="77777777" w:rsidR="00C35883" w:rsidRPr="00C35883" w:rsidRDefault="00C35883" w:rsidP="00935479">
      <w:pPr>
        <w:rPr>
          <w:lang w:val="en-IE"/>
        </w:rPr>
      </w:pPr>
    </w:p>
    <w:p w14:paraId="0C3A0A9A" w14:textId="1DB3B1CA" w:rsidR="00C35883" w:rsidRDefault="00C35883" w:rsidP="00C35883">
      <w:r>
        <w:rPr>
          <w:b/>
          <w:bCs/>
        </w:rPr>
        <w:t>III. Corporate actions</w:t>
      </w:r>
    </w:p>
    <w:p w14:paraId="64705D6E" w14:textId="77777777" w:rsidR="00C35883" w:rsidRPr="00761D16" w:rsidRDefault="00C35883" w:rsidP="00C35883">
      <w:pPr>
        <w:rPr>
          <w:b/>
          <w:i/>
        </w:rPr>
      </w:pPr>
      <w:r w:rsidRPr="00761D16">
        <w:rPr>
          <w:b/>
          <w:i/>
        </w:rPr>
        <w:t>* Impacts:</w:t>
      </w:r>
    </w:p>
    <w:p w14:paraId="70E0CDEA" w14:textId="69286EE1" w:rsidR="00C35883" w:rsidRPr="006F1F10" w:rsidRDefault="00C35883" w:rsidP="00C35883">
      <w:pPr>
        <w:rPr>
          <w:lang w:val="en-IE"/>
        </w:rPr>
      </w:pPr>
      <w:r w:rsidRPr="006F1F10">
        <w:t xml:space="preserve">The </w:t>
      </w:r>
      <w:r w:rsidRPr="006F1F10">
        <w:rPr>
          <w:bCs/>
        </w:rPr>
        <w:t>window</w:t>
      </w:r>
      <w:r w:rsidRPr="006F1F10">
        <w:t xml:space="preserve"> between ex-date (</w:t>
      </w:r>
      <w:r w:rsidRPr="006F1F10">
        <w:rPr>
          <w:lang w:val="en-IE"/>
        </w:rPr>
        <w:t xml:space="preserve">date from which a security trades without entitlements) </w:t>
      </w:r>
      <w:r w:rsidRPr="006F1F10">
        <w:t xml:space="preserve">and record date (last eligibility date to </w:t>
      </w:r>
      <w:r w:rsidRPr="006F1F10">
        <w:rPr>
          <w:lang w:val="en-IE"/>
        </w:rPr>
        <w:t>entitlements</w:t>
      </w:r>
      <w:r w:rsidRPr="006F1F10">
        <w:t xml:space="preserve">) will be </w:t>
      </w:r>
      <w:r w:rsidRPr="006F1F10">
        <w:rPr>
          <w:bCs/>
        </w:rPr>
        <w:t>shortened</w:t>
      </w:r>
      <w:r w:rsidRPr="006F1F10">
        <w:t>.</w:t>
      </w:r>
    </w:p>
    <w:p w14:paraId="704F1C76" w14:textId="77777777" w:rsidR="00C35883" w:rsidRPr="00761D16" w:rsidRDefault="00C35883" w:rsidP="00C35883">
      <w:pPr>
        <w:rPr>
          <w:b/>
          <w:i/>
        </w:rPr>
      </w:pPr>
      <w:r w:rsidRPr="00761D16">
        <w:rPr>
          <w:b/>
          <w:i/>
        </w:rPr>
        <w:t>* Remedies:</w:t>
      </w:r>
    </w:p>
    <w:p w14:paraId="3C464EF0" w14:textId="6F84E811" w:rsidR="00C35883" w:rsidRPr="00C35883" w:rsidRDefault="00C214B8" w:rsidP="00935479">
      <w:pPr>
        <w:rPr>
          <w:lang w:val="en-IE"/>
        </w:rPr>
      </w:pPr>
      <w:r w:rsidRPr="00C35883">
        <w:t>Ensure custodians have adjusted their processes with regard to the new reference dates for corporate actions.</w:t>
      </w:r>
    </w:p>
    <w:p w14:paraId="4CE0D554" w14:textId="027D07F9" w:rsidR="00220CB4" w:rsidRDefault="005C731D" w:rsidP="00A26C2A">
      <w:pPr>
        <w:rPr>
          <w:b/>
          <w:bCs/>
        </w:rPr>
      </w:pPr>
      <w:r>
        <w:rPr>
          <w:b/>
          <w:bCs/>
        </w:rPr>
        <w:t>I</w:t>
      </w:r>
      <w:r w:rsidR="00C35883">
        <w:rPr>
          <w:b/>
          <w:bCs/>
        </w:rPr>
        <w:t>V</w:t>
      </w:r>
      <w:r>
        <w:rPr>
          <w:b/>
          <w:bCs/>
        </w:rPr>
        <w:t xml:space="preserve">. </w:t>
      </w:r>
      <w:r w:rsidR="00593B87">
        <w:rPr>
          <w:b/>
          <w:bCs/>
        </w:rPr>
        <w:t>P</w:t>
      </w:r>
      <w:r w:rsidR="00A52BBF">
        <w:rPr>
          <w:b/>
          <w:bCs/>
        </w:rPr>
        <w:t>rimary market transactions</w:t>
      </w:r>
    </w:p>
    <w:p w14:paraId="3E9F8F76" w14:textId="77777777" w:rsidR="006F1F10" w:rsidRPr="00761D16" w:rsidRDefault="006F1F10" w:rsidP="006F1F10">
      <w:pPr>
        <w:rPr>
          <w:b/>
          <w:i/>
        </w:rPr>
      </w:pPr>
      <w:r w:rsidRPr="00761D16">
        <w:rPr>
          <w:b/>
          <w:i/>
        </w:rPr>
        <w:t>* Impacts:</w:t>
      </w:r>
    </w:p>
    <w:p w14:paraId="64151E97" w14:textId="5C426B41" w:rsidR="006F1F10" w:rsidRPr="006F1F10" w:rsidRDefault="006F1F10" w:rsidP="006F1F10">
      <w:pPr>
        <w:rPr>
          <w:lang w:val="en-IE"/>
        </w:rPr>
      </w:pPr>
      <w:r w:rsidRPr="006F1F10">
        <w:t xml:space="preserve">On subscriptions, </w:t>
      </w:r>
      <w:r w:rsidRPr="006F1F10">
        <w:rPr>
          <w:bCs/>
        </w:rPr>
        <w:t xml:space="preserve">the liquidity mismatch </w:t>
      </w:r>
      <w:r w:rsidRPr="006F1F10">
        <w:t>created by timing differences may create a need for a specific funding (e.g. cash or borrowings)</w:t>
      </w:r>
      <w:r w:rsidRPr="006F1F10">
        <w:rPr>
          <w:lang w:val="en-IE"/>
        </w:rPr>
        <w:t xml:space="preserve">. Some funds that typically settle at T+3 may face a </w:t>
      </w:r>
      <w:r w:rsidRPr="006F1F10">
        <w:rPr>
          <w:bCs/>
          <w:lang w:val="en-IE"/>
        </w:rPr>
        <w:t xml:space="preserve">shortage of cash </w:t>
      </w:r>
      <w:r w:rsidRPr="006F1F10">
        <w:rPr>
          <w:lang w:val="en-IE"/>
        </w:rPr>
        <w:t>if they have to invest in US Securities at T+</w:t>
      </w:r>
      <w:proofErr w:type="gramStart"/>
      <w:r w:rsidRPr="006F1F10">
        <w:rPr>
          <w:lang w:val="en-IE"/>
        </w:rPr>
        <w:t>1</w:t>
      </w:r>
      <w:r w:rsidRPr="006F1F10">
        <w:rPr>
          <w:vertAlign w:val="superscript"/>
        </w:rPr>
        <w:t xml:space="preserve"> </w:t>
      </w:r>
      <w:r w:rsidRPr="006F1F10">
        <w:rPr>
          <w:lang w:val="en-IE"/>
        </w:rPr>
        <w:t>.</w:t>
      </w:r>
      <w:proofErr w:type="gramEnd"/>
    </w:p>
    <w:p w14:paraId="0DC9FA1E" w14:textId="77777777" w:rsidR="00C214B8" w:rsidRPr="006F1F10" w:rsidRDefault="00C214B8" w:rsidP="006F1F10">
      <w:pPr>
        <w:rPr>
          <w:lang w:val="en-IE"/>
        </w:rPr>
      </w:pPr>
      <w:r w:rsidRPr="006F1F10">
        <w:t xml:space="preserve">On redemptions, </w:t>
      </w:r>
      <w:r w:rsidRPr="006F1F10">
        <w:rPr>
          <w:bCs/>
        </w:rPr>
        <w:t>the liquidity mismatch</w:t>
      </w:r>
      <w:r w:rsidRPr="006F1F10">
        <w:rPr>
          <w:b/>
          <w:bCs/>
        </w:rPr>
        <w:t xml:space="preserve"> </w:t>
      </w:r>
      <w:r w:rsidRPr="006F1F10">
        <w:t>may create a need for at least one more day of cash management to ensure diversification (from current T+2, between T+1 and T+3)</w:t>
      </w:r>
    </w:p>
    <w:p w14:paraId="12121541" w14:textId="3BB86EF5" w:rsidR="006F1F10" w:rsidRPr="006F1F10" w:rsidRDefault="006F1F10" w:rsidP="006F1F10">
      <w:pPr>
        <w:tabs>
          <w:tab w:val="num" w:pos="1440"/>
        </w:tabs>
        <w:rPr>
          <w:lang w:val="en-IE"/>
        </w:rPr>
      </w:pPr>
      <w:r>
        <w:rPr>
          <w:lang w:val="en-IE"/>
        </w:rPr>
        <w:t>Overall, there is a confirmed r</w:t>
      </w:r>
      <w:r w:rsidR="00C214B8" w:rsidRPr="006F1F10">
        <w:rPr>
          <w:lang w:val="en-IE"/>
        </w:rPr>
        <w:t xml:space="preserve">isk of </w:t>
      </w:r>
      <w:r w:rsidR="00C214B8" w:rsidRPr="006F1F10">
        <w:rPr>
          <w:bCs/>
          <w:lang w:val="en-IE"/>
        </w:rPr>
        <w:t xml:space="preserve">breaches of investment restrictions </w:t>
      </w:r>
      <w:r w:rsidR="00C214B8" w:rsidRPr="006F1F10">
        <w:rPr>
          <w:lang w:val="en-IE"/>
        </w:rPr>
        <w:t>within the meaning of the UCITS framework</w:t>
      </w:r>
      <w:r>
        <w:rPr>
          <w:vertAlign w:val="superscript"/>
        </w:rPr>
        <w:t xml:space="preserve">, </w:t>
      </w:r>
      <w:r>
        <w:t xml:space="preserve">as regards </w:t>
      </w:r>
      <w:r w:rsidR="00C214B8" w:rsidRPr="006F1F10">
        <w:rPr>
          <w:lang w:val="en-IE"/>
        </w:rPr>
        <w:t>Cas</w:t>
      </w:r>
      <w:r>
        <w:rPr>
          <w:lang w:val="en-IE"/>
        </w:rPr>
        <w:t xml:space="preserve">h, </w:t>
      </w:r>
      <w:r w:rsidR="00C214B8" w:rsidRPr="006F1F10">
        <w:rPr>
          <w:lang w:val="en-IE"/>
        </w:rPr>
        <w:t>Time Deposits</w:t>
      </w:r>
      <w:r>
        <w:rPr>
          <w:lang w:val="en-IE"/>
        </w:rPr>
        <w:t>, Bo</w:t>
      </w:r>
      <w:r w:rsidR="00C214B8" w:rsidRPr="006F1F10">
        <w:rPr>
          <w:lang w:val="en-IE"/>
        </w:rPr>
        <w:t>rrowings, with a mechanical impact on leverage increase</w:t>
      </w:r>
      <w:r>
        <w:rPr>
          <w:lang w:val="en-IE"/>
        </w:rPr>
        <w:t>.</w:t>
      </w:r>
    </w:p>
    <w:p w14:paraId="1D93F2C7" w14:textId="77777777" w:rsidR="006F1F10" w:rsidRPr="00761D16" w:rsidRDefault="006F1F10" w:rsidP="006F1F10">
      <w:pPr>
        <w:rPr>
          <w:b/>
          <w:i/>
        </w:rPr>
      </w:pPr>
      <w:bookmarkStart w:id="1" w:name="_Hlk152228284"/>
      <w:r w:rsidRPr="00761D16">
        <w:rPr>
          <w:b/>
          <w:i/>
        </w:rPr>
        <w:t>* Remedies:</w:t>
      </w:r>
    </w:p>
    <w:bookmarkEnd w:id="1"/>
    <w:p w14:paraId="2F0E96C6" w14:textId="7CBB6F19" w:rsidR="00761D16" w:rsidRPr="00761D16" w:rsidRDefault="00761D16" w:rsidP="00761D16">
      <w:pPr>
        <w:rPr>
          <w:lang w:val="en-IE"/>
        </w:rPr>
      </w:pPr>
      <w:r w:rsidRPr="006F1F10">
        <w:t>On subscriptions</w:t>
      </w:r>
      <w:r>
        <w:t xml:space="preserve">: </w:t>
      </w:r>
      <w:r w:rsidRPr="00761D16">
        <w:t>Adjust the settlement processes to align investment and subscription dates</w:t>
      </w:r>
      <w:r>
        <w:t xml:space="preserve">, </w:t>
      </w:r>
      <w:r w:rsidRPr="00761D16">
        <w:t xml:space="preserve">could be envisaged </w:t>
      </w:r>
      <w:proofErr w:type="spellStart"/>
      <w:r w:rsidRPr="00761D16">
        <w:t>i</w:t>
      </w:r>
      <w:proofErr w:type="spellEnd"/>
      <w:r w:rsidRPr="00761D16">
        <w:t>) at portfolio level, and/or ii) at investor level</w:t>
      </w:r>
      <w:r>
        <w:t>:</w:t>
      </w:r>
    </w:p>
    <w:p w14:paraId="69F2493B" w14:textId="77777777" w:rsidR="00761D16" w:rsidRPr="00761D16" w:rsidRDefault="00761D16" w:rsidP="00761D16">
      <w:pPr>
        <w:rPr>
          <w:lang w:val="en-IE"/>
        </w:rPr>
      </w:pPr>
      <w:proofErr w:type="spellStart"/>
      <w:r w:rsidRPr="00761D16">
        <w:rPr>
          <w:u w:val="single"/>
        </w:rPr>
        <w:t>i</w:t>
      </w:r>
      <w:proofErr w:type="spellEnd"/>
      <w:r w:rsidRPr="00761D16">
        <w:rPr>
          <w:u w:val="single"/>
        </w:rPr>
        <w:t>) Portfolio level</w:t>
      </w:r>
    </w:p>
    <w:p w14:paraId="0EF0596B" w14:textId="77777777" w:rsidR="00C214B8" w:rsidRPr="00761D16" w:rsidRDefault="00C214B8" w:rsidP="00F53F6D">
      <w:pPr>
        <w:numPr>
          <w:ilvl w:val="1"/>
          <w:numId w:val="30"/>
        </w:numPr>
        <w:spacing w:after="0" w:line="240" w:lineRule="auto"/>
        <w:ind w:left="1434" w:hanging="357"/>
        <w:rPr>
          <w:lang w:val="en-IE"/>
        </w:rPr>
      </w:pPr>
      <w:r w:rsidRPr="00761D16">
        <w:t>Agree</w:t>
      </w:r>
      <w:r w:rsidRPr="00761D16">
        <w:rPr>
          <w:bCs/>
        </w:rPr>
        <w:t xml:space="preserve"> a bespoke settlement cycle with the concerned broker</w:t>
      </w:r>
    </w:p>
    <w:p w14:paraId="35A31073" w14:textId="77777777" w:rsidR="00C214B8" w:rsidRPr="00761D16" w:rsidRDefault="00C214B8" w:rsidP="00F53F6D">
      <w:pPr>
        <w:numPr>
          <w:ilvl w:val="1"/>
          <w:numId w:val="30"/>
        </w:numPr>
        <w:spacing w:after="0" w:line="240" w:lineRule="auto"/>
        <w:ind w:left="1434" w:hanging="357"/>
        <w:rPr>
          <w:lang w:val="en-IE"/>
        </w:rPr>
      </w:pPr>
      <w:r w:rsidRPr="00761D16">
        <w:t>Maintain a “cash buffer” on the US accounts</w:t>
      </w:r>
    </w:p>
    <w:p w14:paraId="404ACF58" w14:textId="66862EEE" w:rsidR="00761D16" w:rsidRDefault="00761D16" w:rsidP="00220CB4">
      <w:pPr>
        <w:rPr>
          <w:lang w:val="en-IE"/>
        </w:rPr>
      </w:pPr>
    </w:p>
    <w:p w14:paraId="4E0B9663" w14:textId="77777777" w:rsidR="00761D16" w:rsidRPr="00761D16" w:rsidRDefault="00761D16" w:rsidP="00761D16">
      <w:pPr>
        <w:rPr>
          <w:lang w:val="en-IE"/>
        </w:rPr>
      </w:pPr>
      <w:r w:rsidRPr="00761D16">
        <w:rPr>
          <w:u w:val="single"/>
        </w:rPr>
        <w:t>ii) At investor level</w:t>
      </w:r>
    </w:p>
    <w:p w14:paraId="2D952F61" w14:textId="77777777" w:rsidR="00C214B8" w:rsidRPr="00B3217B" w:rsidRDefault="00C214B8" w:rsidP="00F53F6D">
      <w:pPr>
        <w:numPr>
          <w:ilvl w:val="1"/>
          <w:numId w:val="31"/>
        </w:numPr>
        <w:rPr>
          <w:lang w:val="en-IE"/>
        </w:rPr>
      </w:pPr>
      <w:r w:rsidRPr="00B3217B">
        <w:rPr>
          <w:bCs/>
        </w:rPr>
        <w:lastRenderedPageBreak/>
        <w:t xml:space="preserve">Anti-dilution mechanisms </w:t>
      </w:r>
      <w:r w:rsidRPr="00B3217B">
        <w:t>such as swing pricing could be leveraged to ensure that existing investors do not bear costs specifically generated by the liquidity mismatch from</w:t>
      </w:r>
      <w:r w:rsidRPr="00B3217B">
        <w:rPr>
          <w:bCs/>
        </w:rPr>
        <w:t xml:space="preserve"> </w:t>
      </w:r>
      <w:r w:rsidRPr="00B3217B">
        <w:t>new entrants.</w:t>
      </w:r>
    </w:p>
    <w:p w14:paraId="4F4766CB" w14:textId="7A788CBD" w:rsidR="00C214B8" w:rsidRPr="00761D16" w:rsidRDefault="00B36CF2" w:rsidP="00F53F6D">
      <w:pPr>
        <w:numPr>
          <w:ilvl w:val="1"/>
          <w:numId w:val="31"/>
        </w:numPr>
        <w:rPr>
          <w:lang w:val="en-IE"/>
        </w:rPr>
      </w:pPr>
      <w:r>
        <w:t xml:space="preserve">Should the asset manager </w:t>
      </w:r>
      <w:r w:rsidR="00992FA3">
        <w:t>decide to b</w:t>
      </w:r>
      <w:r w:rsidR="00C214B8" w:rsidRPr="00B3217B">
        <w:t xml:space="preserve">ring the </w:t>
      </w:r>
      <w:r w:rsidR="00C214B8" w:rsidRPr="00B3217B">
        <w:rPr>
          <w:bCs/>
        </w:rPr>
        <w:t>fund settlement forward</w:t>
      </w:r>
      <w:r w:rsidR="00C214B8" w:rsidRPr="00761D16">
        <w:rPr>
          <w:b/>
          <w:bCs/>
        </w:rPr>
        <w:t xml:space="preserve"> </w:t>
      </w:r>
      <w:r w:rsidR="00C214B8" w:rsidRPr="00761D16">
        <w:t>(i.e. to T+1 or T+2), this implies to check:</w:t>
      </w:r>
    </w:p>
    <w:p w14:paraId="013F4953" w14:textId="77777777" w:rsidR="00761D16" w:rsidRPr="00761D16" w:rsidRDefault="00761D16" w:rsidP="00761D16">
      <w:pPr>
        <w:spacing w:after="0" w:line="240" w:lineRule="auto"/>
        <w:ind w:left="1418"/>
        <w:rPr>
          <w:lang w:val="en-IE"/>
        </w:rPr>
      </w:pPr>
      <w:r w:rsidRPr="00761D16">
        <w:t xml:space="preserve">- whether a prospectus modification is necessary, as well as any other marketing documents, </w:t>
      </w:r>
      <w:r w:rsidRPr="00761D16">
        <w:rPr>
          <w:lang w:val="en-US"/>
        </w:rPr>
        <w:t>and check any possible impact on reporting and on costs for investors</w:t>
      </w:r>
      <w:r w:rsidRPr="00761D16">
        <w:t>;</w:t>
      </w:r>
    </w:p>
    <w:p w14:paraId="3D434383" w14:textId="77777777" w:rsidR="00761D16" w:rsidRDefault="00761D16" w:rsidP="00761D16">
      <w:pPr>
        <w:tabs>
          <w:tab w:val="num" w:pos="2160"/>
        </w:tabs>
        <w:spacing w:after="0" w:line="240" w:lineRule="auto"/>
        <w:ind w:left="1418"/>
      </w:pPr>
      <w:r w:rsidRPr="00761D16">
        <w:t>- the impact on distributor(s) and fund clients, for example can they easily accommodate that sub-funds within an umbrella may have different settlement cycles, are they able to transfer funds within the reduced settlement cycle, etc;</w:t>
      </w:r>
    </w:p>
    <w:p w14:paraId="753C2BE4" w14:textId="77777777" w:rsidR="00761D16" w:rsidRDefault="00761D16" w:rsidP="00761D16">
      <w:pPr>
        <w:tabs>
          <w:tab w:val="num" w:pos="2160"/>
        </w:tabs>
        <w:spacing w:after="0" w:line="240" w:lineRule="auto"/>
        <w:ind w:left="1418"/>
      </w:pPr>
      <w:r>
        <w:t xml:space="preserve">- </w:t>
      </w:r>
      <w:r w:rsidR="00C214B8" w:rsidRPr="00761D16">
        <w:t>the impact on the workflow with distributors, for example the impact on contract notes timing.</w:t>
      </w:r>
    </w:p>
    <w:p w14:paraId="7E822D49" w14:textId="5BABA98E" w:rsidR="00C214B8" w:rsidRDefault="00761D16" w:rsidP="00761D16">
      <w:pPr>
        <w:tabs>
          <w:tab w:val="num" w:pos="2160"/>
        </w:tabs>
        <w:spacing w:after="0" w:line="240" w:lineRule="auto"/>
        <w:ind w:left="1418"/>
      </w:pPr>
      <w:r>
        <w:t xml:space="preserve">- </w:t>
      </w:r>
      <w:r w:rsidR="00C214B8" w:rsidRPr="00761D16">
        <w:t>Potential reduced ability to switch between funds.</w:t>
      </w:r>
    </w:p>
    <w:p w14:paraId="63948141" w14:textId="77777777" w:rsidR="00761D16" w:rsidRPr="00761D16" w:rsidRDefault="00761D16" w:rsidP="00761D16">
      <w:pPr>
        <w:tabs>
          <w:tab w:val="num" w:pos="2160"/>
        </w:tabs>
        <w:spacing w:after="0" w:line="240" w:lineRule="auto"/>
        <w:ind w:left="1418"/>
        <w:rPr>
          <w:lang w:val="en-IE"/>
        </w:rPr>
      </w:pPr>
    </w:p>
    <w:p w14:paraId="631050B0" w14:textId="3638EDBC" w:rsidR="00761D16" w:rsidRDefault="00761D16" w:rsidP="00F53F6D">
      <w:pPr>
        <w:numPr>
          <w:ilvl w:val="1"/>
          <w:numId w:val="31"/>
        </w:numPr>
      </w:pPr>
      <w:r w:rsidRPr="00761D16">
        <w:t>Bring the investor cut-off forward (e.g. to T-1)</w:t>
      </w:r>
      <w:r>
        <w:t>:</w:t>
      </w:r>
    </w:p>
    <w:p w14:paraId="03F463DB" w14:textId="3B869CC4" w:rsidR="00C214B8" w:rsidRPr="00761D16" w:rsidRDefault="00761D16" w:rsidP="00761D16">
      <w:pPr>
        <w:spacing w:after="0" w:line="240" w:lineRule="auto"/>
        <w:ind w:left="1418"/>
      </w:pPr>
      <w:r>
        <w:t>-A</w:t>
      </w:r>
      <w:r w:rsidR="00C214B8" w:rsidRPr="00761D16">
        <w:t>llowing a reasonable time for the administrator to clear exceptions prior estimated cashflows deliveries to the Asset Manager;</w:t>
      </w:r>
    </w:p>
    <w:p w14:paraId="51A77BF5" w14:textId="625A72ED" w:rsidR="00C214B8" w:rsidRPr="00761D16" w:rsidRDefault="00761D16" w:rsidP="00761D16">
      <w:pPr>
        <w:spacing w:after="0" w:line="240" w:lineRule="auto"/>
        <w:ind w:left="1418"/>
      </w:pPr>
      <w:r>
        <w:t>-</w:t>
      </w:r>
      <w:r w:rsidR="00C214B8" w:rsidRPr="00761D16">
        <w:t>Allowing more time to the asset manager to reviews its projected positions (for example settled cash vs pending cash).</w:t>
      </w:r>
    </w:p>
    <w:p w14:paraId="44C33D86" w14:textId="6816EFAA" w:rsidR="00761D16" w:rsidRDefault="00761D16" w:rsidP="00220CB4">
      <w:pPr>
        <w:rPr>
          <w:lang w:val="en-IE"/>
        </w:rPr>
      </w:pPr>
    </w:p>
    <w:p w14:paraId="48A7F752" w14:textId="37F0155C" w:rsidR="00C214B8" w:rsidRPr="00593B87" w:rsidRDefault="00761D16" w:rsidP="00593B87">
      <w:pPr>
        <w:rPr>
          <w:lang w:val="en-IE"/>
        </w:rPr>
      </w:pPr>
      <w:r w:rsidRPr="00593B87">
        <w:rPr>
          <w:bCs/>
        </w:rPr>
        <w:t xml:space="preserve">On redemptions and as regards the overall risk of investment limits breaches specifically due to </w:t>
      </w:r>
      <w:r w:rsidR="00C214B8" w:rsidRPr="00593B87">
        <w:t xml:space="preserve">T+1 </w:t>
      </w:r>
      <w:proofErr w:type="gramStart"/>
      <w:r w:rsidR="00C214B8" w:rsidRPr="00593B87">
        <w:t>impacts</w:t>
      </w:r>
      <w:proofErr w:type="gramEnd"/>
    </w:p>
    <w:p w14:paraId="6EC7EAC4" w14:textId="77777777" w:rsidR="00C214B8" w:rsidRPr="00761D16" w:rsidRDefault="00C214B8" w:rsidP="00F53F6D">
      <w:pPr>
        <w:numPr>
          <w:ilvl w:val="1"/>
          <w:numId w:val="32"/>
        </w:numPr>
        <w:spacing w:after="0" w:line="240" w:lineRule="auto"/>
        <w:ind w:left="1434" w:hanging="357"/>
        <w:rPr>
          <w:lang w:val="en-IE"/>
        </w:rPr>
      </w:pPr>
      <w:r w:rsidRPr="00761D16">
        <w:t>Upgrade monitoring of cash position</w:t>
      </w:r>
      <w:r w:rsidRPr="00761D16">
        <w:rPr>
          <w:vertAlign w:val="superscript"/>
        </w:rPr>
        <w:t>3</w:t>
      </w:r>
    </w:p>
    <w:p w14:paraId="06864337" w14:textId="77777777" w:rsidR="00C214B8" w:rsidRPr="00761D16" w:rsidRDefault="00C214B8" w:rsidP="00F53F6D">
      <w:pPr>
        <w:numPr>
          <w:ilvl w:val="1"/>
          <w:numId w:val="32"/>
        </w:numPr>
        <w:spacing w:after="0" w:line="240" w:lineRule="auto"/>
        <w:ind w:left="1434" w:hanging="357"/>
        <w:rPr>
          <w:lang w:val="en-IE"/>
        </w:rPr>
      </w:pPr>
      <w:r w:rsidRPr="00761D16">
        <w:t>Use of cash forecast to foresee investments</w:t>
      </w:r>
    </w:p>
    <w:p w14:paraId="7BB67CD3" w14:textId="77777777" w:rsidR="00761D16" w:rsidRPr="00761D16" w:rsidRDefault="00761D16" w:rsidP="00220CB4">
      <w:pPr>
        <w:rPr>
          <w:lang w:val="en-IE"/>
        </w:rPr>
      </w:pPr>
    </w:p>
    <w:p w14:paraId="5A9D6BBD" w14:textId="23F9846E" w:rsidR="006F1F10" w:rsidRPr="00F23F7E" w:rsidRDefault="006F1F10" w:rsidP="006F1F10">
      <w:pPr>
        <w:rPr>
          <w:i/>
        </w:rPr>
      </w:pPr>
      <w:r w:rsidRPr="00F23F7E">
        <w:rPr>
          <w:i/>
        </w:rPr>
        <w:t xml:space="preserve">* </w:t>
      </w:r>
      <w:r>
        <w:rPr>
          <w:i/>
        </w:rPr>
        <w:t>Request for forbearance from EU policy makers</w:t>
      </w:r>
      <w:r w:rsidRPr="00F23F7E">
        <w:rPr>
          <w:i/>
        </w:rPr>
        <w:t>:</w:t>
      </w:r>
    </w:p>
    <w:p w14:paraId="737050D4" w14:textId="6FB412E2" w:rsidR="00AF2158" w:rsidRDefault="00761D16" w:rsidP="00761D16">
      <w:r>
        <w:t xml:space="preserve">According to a survey performed by ALFI, only 1 of the asset managers consulted has planned to bring forward the settlement date of the fund from T+3 to T+2 or even T+1. Hence the vast majority </w:t>
      </w:r>
      <w:r w:rsidR="00992FA3">
        <w:t>is still evaluating what actions to take to ensure they minimise impact to underlying clients and the funds that they manage.</w:t>
      </w:r>
    </w:p>
    <w:p w14:paraId="64AD515B" w14:textId="188CFC31" w:rsidR="00761D16" w:rsidRDefault="00AF2158" w:rsidP="00761D16">
      <w:r>
        <w:t>In Luxembourg, t</w:t>
      </w:r>
      <w:r w:rsidR="00761D16">
        <w:t>his scenario implies an active breach of the cash/borrowing limits set by the UCITS Directive, pursuant to the CSSF FAQ on the Circular 02/77. An a</w:t>
      </w:r>
      <w:r w:rsidR="00761D16" w:rsidRPr="00A26C2A">
        <w:t>ctive breach does not lead only to a reporting obligation to the NCA. In L</w:t>
      </w:r>
      <w:r w:rsidR="00761D16">
        <w:t>uxembourg</w:t>
      </w:r>
      <w:r w:rsidR="00761D16" w:rsidRPr="00A26C2A">
        <w:t>, it also potentially triggers a compensation mechanism to the investor in accordance with the provisions of the Circular 02/77.</w:t>
      </w:r>
    </w:p>
    <w:p w14:paraId="73B3A8E2" w14:textId="2CD0F6F4" w:rsidR="00AF2158" w:rsidRDefault="00AF2158" w:rsidP="00761D16">
      <w:r>
        <w:lastRenderedPageBreak/>
        <w:t>In other member states of the EU: this scenario implies a passive breach.</w:t>
      </w:r>
    </w:p>
    <w:p w14:paraId="56F64ADF" w14:textId="0E61CDAF" w:rsidR="00AF2158" w:rsidRDefault="00C214B8" w:rsidP="00761D16">
      <w:r>
        <w:t>Against this background, we recommend that EU policy makers grant a forbearance as regards the likely breaches of the cash/borrowing limits pursuant to the UCITS Directive</w:t>
      </w:r>
      <w:r w:rsidR="00593B87">
        <w:t xml:space="preserve">, specifically due to the T+1 </w:t>
      </w:r>
      <w:proofErr w:type="gramStart"/>
      <w:r w:rsidR="00593B87">
        <w:t>impacts</w:t>
      </w:r>
      <w:proofErr w:type="gramEnd"/>
      <w:r w:rsidR="00AF2158">
        <w:t>. The asset management industry is undergoing such impacts with respect to the imposed moved to T+1.</w:t>
      </w:r>
    </w:p>
    <w:p w14:paraId="53F4113B" w14:textId="22947A6E" w:rsidR="006505BE" w:rsidRDefault="00AF2158" w:rsidP="00761D16">
      <w:pPr>
        <w:rPr>
          <w:rFonts w:ascii="Arial" w:eastAsia="Times New Roman" w:hAnsi="Arial" w:cs="Arial"/>
          <w:color w:val="auto"/>
          <w:szCs w:val="22"/>
          <w:lang w:val="en-IE"/>
        </w:rPr>
      </w:pPr>
      <w:r>
        <w:t>T</w:t>
      </w:r>
      <w:r w:rsidR="00593B87">
        <w:t xml:space="preserve">his forbearance would target only </w:t>
      </w:r>
      <w:r w:rsidR="00875976">
        <w:t xml:space="preserve">the portion of </w:t>
      </w:r>
      <w:r w:rsidR="00593B87">
        <w:t xml:space="preserve">EU domiciled investment funds that have a </w:t>
      </w:r>
      <w:r w:rsidR="00593B87" w:rsidRPr="006505BE">
        <w:rPr>
          <w:szCs w:val="22"/>
        </w:rPr>
        <w:t xml:space="preserve">significant exposure on US securities. </w:t>
      </w:r>
      <w:r w:rsidR="00574D38" w:rsidRPr="006505BE">
        <w:rPr>
          <w:szCs w:val="22"/>
        </w:rPr>
        <w:t>T</w:t>
      </w:r>
      <w:r w:rsidR="00593B87" w:rsidRPr="006505BE">
        <w:rPr>
          <w:szCs w:val="22"/>
        </w:rPr>
        <w:t xml:space="preserve">hese breaches of the current UCITS Directive cash/borrowing limits would be mainly due to </w:t>
      </w:r>
      <w:r w:rsidR="006505BE" w:rsidRPr="006505BE">
        <w:rPr>
          <w:szCs w:val="22"/>
        </w:rPr>
        <w:t>the co</w:t>
      </w:r>
      <w:r w:rsidR="0064344B">
        <w:rPr>
          <w:szCs w:val="22"/>
        </w:rPr>
        <w:t xml:space="preserve">mbination </w:t>
      </w:r>
      <w:r w:rsidR="006505BE" w:rsidRPr="006505BE">
        <w:rPr>
          <w:szCs w:val="22"/>
        </w:rPr>
        <w:t>of 3 factors:</w:t>
      </w:r>
      <w:r w:rsidR="006505BE">
        <w:rPr>
          <w:szCs w:val="22"/>
        </w:rPr>
        <w:t xml:space="preserve"> </w:t>
      </w:r>
      <w:r w:rsidR="006505BE" w:rsidRPr="006505BE">
        <w:rPr>
          <w:rFonts w:ascii="Arial" w:eastAsia="Times New Roman" w:hAnsi="Arial" w:cs="Arial"/>
          <w:szCs w:val="22"/>
        </w:rPr>
        <w:t>1. High % of exposure of the fund on US securities, 2. Medium/Small size of the fund, 3. Large size of the order (subscription/redemption)</w:t>
      </w:r>
      <w:r w:rsidR="006505BE">
        <w:rPr>
          <w:rFonts w:ascii="Arial" w:eastAsia="Times New Roman" w:hAnsi="Arial" w:cs="Arial"/>
          <w:szCs w:val="22"/>
        </w:rPr>
        <w:t>.</w:t>
      </w:r>
    </w:p>
    <w:p w14:paraId="01AD07C3" w14:textId="65ED1964" w:rsidR="00574D38" w:rsidRPr="006505BE" w:rsidRDefault="00574D38" w:rsidP="00761D16">
      <w:pPr>
        <w:rPr>
          <w:rFonts w:ascii="Arial" w:eastAsia="Times New Roman" w:hAnsi="Arial" w:cs="Arial"/>
          <w:color w:val="auto"/>
          <w:szCs w:val="22"/>
          <w:lang w:val="en-IE"/>
        </w:rPr>
      </w:pPr>
      <w:r>
        <w:t>EFAMA Factbook 2023 indicates that UCITS equity funds have a 42% exposure on US equities, and UCITS Bond funds have a 28% exposure on US bonds</w:t>
      </w:r>
      <w:r w:rsidR="00270D6C">
        <w:t xml:space="preserve"> (see in annex V.)</w:t>
      </w:r>
      <w:r>
        <w:t xml:space="preserve">. </w:t>
      </w:r>
      <w:r w:rsidR="00875976">
        <w:t>Therefore</w:t>
      </w:r>
      <w:r w:rsidR="00536E72">
        <w:t>,</w:t>
      </w:r>
      <w:r w:rsidR="00875976">
        <w:t xml:space="preserve"> not all EU domiciled investments funds would benefit from this exemption.</w:t>
      </w:r>
    </w:p>
    <w:p w14:paraId="083079B5" w14:textId="6EE38404" w:rsidR="00C214B8" w:rsidRDefault="00536E72" w:rsidP="00761D16">
      <w:r>
        <w:t>The forbearance would be temporary and would</w:t>
      </w:r>
      <w:r w:rsidR="00992FA3">
        <w:t xml:space="preserve"> naturally stop when asset managers have established the cost-efficient mechanisms to manage the liquid</w:t>
      </w:r>
      <w:r>
        <w:t>ity mismatch</w:t>
      </w:r>
      <w:r w:rsidR="00992FA3">
        <w:t>.</w:t>
      </w:r>
    </w:p>
    <w:p w14:paraId="0D54CDD9" w14:textId="7AA3D4EB" w:rsidR="006F1F10" w:rsidRDefault="00C214B8" w:rsidP="00220CB4">
      <w:r>
        <w:t xml:space="preserve">Please also refer in annex to the details mentioned in </w:t>
      </w:r>
      <w:r w:rsidRPr="00744512">
        <w:t>section</w:t>
      </w:r>
      <w:r w:rsidR="00AF2158" w:rsidRPr="00744512">
        <w:t xml:space="preserve">s </w:t>
      </w:r>
      <w:r w:rsidR="00AF2158" w:rsidRPr="00744512">
        <w:rPr>
          <w:lang w:val="en-IE"/>
        </w:rPr>
        <w:t>I. Q1 3-7</w:t>
      </w:r>
      <w:r w:rsidRPr="00744512">
        <w:t>.</w:t>
      </w:r>
    </w:p>
    <w:p w14:paraId="31F093A2" w14:textId="030D885D" w:rsidR="006F1F10" w:rsidRDefault="00275E51" w:rsidP="00220CB4">
      <w:r>
        <w:t>This forbearance request is the result of a lengthy work that ALFI has performed to define business/operational remedies with regards to the identified impacts. The forbearance</w:t>
      </w:r>
      <w:r w:rsidR="00590CD2">
        <w:t xml:space="preserve"> request is aimed at dealing with cases where no possible business remedy was sufficient.</w:t>
      </w:r>
    </w:p>
    <w:permEnd w:id="1228560568"/>
    <w:p w14:paraId="7E8CEB1B" w14:textId="77777777" w:rsidR="00C5469A" w:rsidRDefault="00C5469A" w:rsidP="00C5469A">
      <w:r>
        <w:t>&lt;ESMA_QUESTION_SETT_1&gt;</w:t>
      </w:r>
    </w:p>
    <w:p w14:paraId="7F2466D0" w14:textId="2EB1C3A2" w:rsidR="00C5469A" w:rsidRDefault="00C5469A" w:rsidP="00C5469A"/>
    <w:p w14:paraId="74AAE734" w14:textId="77777777" w:rsidR="00C5469A" w:rsidRDefault="00C5469A" w:rsidP="00C5469A"/>
    <w:p w14:paraId="32892B14" w14:textId="77777777" w:rsidR="00C5469A" w:rsidRDefault="00C5469A" w:rsidP="00C5469A">
      <w:pPr>
        <w:pStyle w:val="Questionstyle"/>
        <w:numPr>
          <w:ilvl w:val="0"/>
          <w:numId w:val="14"/>
        </w:numPr>
      </w:pPr>
      <w:r>
        <w:t>: What would be the consequences of a move to a shorter settlement cycle for (a) hedging practices (i.e. would it lead to increase pre-hedging practices?), (b) transactions with an FX component?</w:t>
      </w:r>
    </w:p>
    <w:p w14:paraId="53467F4C" w14:textId="77777777" w:rsidR="00C5469A" w:rsidRDefault="00C5469A" w:rsidP="00C5469A">
      <w:r>
        <w:t>&lt;ESMA_QUESTION_SETT_2&gt;</w:t>
      </w:r>
    </w:p>
    <w:p w14:paraId="1EB466CF" w14:textId="7A837478" w:rsidR="00F23F7E" w:rsidRDefault="00F23F7E" w:rsidP="00F23F7E">
      <w:permStart w:id="45707097" w:edGrp="everyone"/>
      <w:r>
        <w:rPr>
          <w:b/>
          <w:bCs/>
        </w:rPr>
        <w:t>Transactions in foreign currencies (FX)</w:t>
      </w:r>
    </w:p>
    <w:p w14:paraId="09D8D5AA" w14:textId="77777777" w:rsidR="00F23F7E" w:rsidRDefault="00F23F7E" w:rsidP="00F23F7E">
      <w:r>
        <w:t xml:space="preserve">However, we do foresee market barriers in the FX funding space. The current cut-off times in the Continuous Linked Settlement (CLS) system may not align well with a T+1 settlement cycle. The shift to T+1 would pose significant challenges for transactions involving different </w:t>
      </w:r>
      <w:r>
        <w:lastRenderedPageBreak/>
        <w:t>time zones. International time zone differences will impact the feasibility of same-day matching processes for investors outside Europe, reducing the time available to communicate and resolve any breaks or exceptions. This issue is particularly significant for cross-currency transactions with a FX component​.</w:t>
      </w:r>
    </w:p>
    <w:p w14:paraId="5E8992A7" w14:textId="3FF48160" w:rsidR="00F23F7E" w:rsidRPr="00F23F7E" w:rsidRDefault="00F23F7E" w:rsidP="00F23F7E">
      <w:pPr>
        <w:rPr>
          <w:i/>
        </w:rPr>
      </w:pPr>
      <w:r w:rsidRPr="00F23F7E">
        <w:rPr>
          <w:i/>
        </w:rPr>
        <w:t xml:space="preserve">* </w:t>
      </w:r>
      <w:r w:rsidR="00611547">
        <w:rPr>
          <w:i/>
        </w:rPr>
        <w:t>I</w:t>
      </w:r>
      <w:r w:rsidRPr="00F23F7E">
        <w:rPr>
          <w:i/>
        </w:rPr>
        <w:t>mpacts:</w:t>
      </w:r>
    </w:p>
    <w:p w14:paraId="5ECBFDD6" w14:textId="77777777" w:rsidR="00F23F7E" w:rsidRPr="00252EBF" w:rsidRDefault="00F23F7E" w:rsidP="00F53F6D">
      <w:pPr>
        <w:numPr>
          <w:ilvl w:val="0"/>
          <w:numId w:val="25"/>
        </w:numPr>
        <w:spacing w:after="0" w:line="240" w:lineRule="auto"/>
        <w:ind w:left="714" w:hanging="357"/>
        <w:rPr>
          <w:lang w:val="en-IE"/>
        </w:rPr>
      </w:pPr>
      <w:r w:rsidRPr="00252EBF">
        <w:t xml:space="preserve">Funding need in </w:t>
      </w:r>
      <w:r>
        <w:t>FX</w:t>
      </w:r>
      <w:r w:rsidRPr="00252EBF">
        <w:t>, to settle at T+1 in FX</w:t>
      </w:r>
    </w:p>
    <w:p w14:paraId="52D5ED88" w14:textId="77777777" w:rsidR="00F23F7E" w:rsidRPr="00252EBF" w:rsidRDefault="00F23F7E" w:rsidP="00F53F6D">
      <w:pPr>
        <w:numPr>
          <w:ilvl w:val="0"/>
          <w:numId w:val="25"/>
        </w:numPr>
        <w:spacing w:after="0" w:line="240" w:lineRule="auto"/>
        <w:ind w:left="714" w:hanging="357"/>
        <w:rPr>
          <w:lang w:val="en-IE"/>
        </w:rPr>
      </w:pPr>
      <w:r w:rsidRPr="00252EBF">
        <w:rPr>
          <w:lang w:val="en-IE"/>
        </w:rPr>
        <w:t xml:space="preserve">Risk of overdraft if </w:t>
      </w:r>
      <w:r>
        <w:rPr>
          <w:lang w:val="en-IE"/>
        </w:rPr>
        <w:t>FX</w:t>
      </w:r>
      <w:r w:rsidRPr="00252EBF">
        <w:rPr>
          <w:lang w:val="en-IE"/>
        </w:rPr>
        <w:t xml:space="preserve"> remain</w:t>
      </w:r>
      <w:r>
        <w:rPr>
          <w:lang w:val="en-IE"/>
        </w:rPr>
        <w:t>s</w:t>
      </w:r>
      <w:r w:rsidRPr="00252EBF">
        <w:rPr>
          <w:lang w:val="en-IE"/>
        </w:rPr>
        <w:t xml:space="preserve"> bought on the spot market based on a T+2 delivery.</w:t>
      </w:r>
    </w:p>
    <w:p w14:paraId="74065EBB" w14:textId="77777777" w:rsidR="00F23F7E" w:rsidRPr="00252EBF" w:rsidRDefault="00F23F7E" w:rsidP="00F53F6D">
      <w:pPr>
        <w:numPr>
          <w:ilvl w:val="0"/>
          <w:numId w:val="25"/>
        </w:numPr>
        <w:spacing w:after="0" w:line="240" w:lineRule="auto"/>
        <w:ind w:left="714" w:hanging="357"/>
        <w:rPr>
          <w:lang w:val="en-IE"/>
        </w:rPr>
      </w:pPr>
      <w:r w:rsidRPr="00252EBF">
        <w:rPr>
          <w:lang w:val="en-IE"/>
        </w:rPr>
        <w:t xml:space="preserve">cash/treasury management processes will have at least one day less to transform the available cash into </w:t>
      </w:r>
      <w:r>
        <w:rPr>
          <w:lang w:val="en-IE"/>
        </w:rPr>
        <w:t>FX</w:t>
      </w:r>
      <w:r w:rsidRPr="00252EBF">
        <w:rPr>
          <w:lang w:val="en-IE"/>
        </w:rPr>
        <w:t xml:space="preserve"> to buy securities</w:t>
      </w:r>
      <w:r>
        <w:rPr>
          <w:lang w:val="en-IE"/>
        </w:rPr>
        <w:t xml:space="preserve"> on American markets</w:t>
      </w:r>
      <w:r w:rsidRPr="00252EBF">
        <w:rPr>
          <w:lang w:val="en-IE"/>
        </w:rPr>
        <w:t>.</w:t>
      </w:r>
    </w:p>
    <w:p w14:paraId="336D3474" w14:textId="77777777" w:rsidR="00F23F7E" w:rsidRPr="00252EBF" w:rsidRDefault="00F23F7E" w:rsidP="00F53F6D">
      <w:pPr>
        <w:numPr>
          <w:ilvl w:val="0"/>
          <w:numId w:val="25"/>
        </w:numPr>
        <w:spacing w:after="0" w:line="240" w:lineRule="auto"/>
        <w:ind w:left="714" w:hanging="357"/>
        <w:rPr>
          <w:lang w:val="en-IE"/>
        </w:rPr>
      </w:pPr>
      <w:r w:rsidRPr="00252EBF">
        <w:rPr>
          <w:lang w:val="en-IE"/>
        </w:rPr>
        <w:t xml:space="preserve">Risk of over/under hedging on </w:t>
      </w:r>
      <w:r w:rsidRPr="00252EBF">
        <w:t>UCITS hedged share class</w:t>
      </w:r>
    </w:p>
    <w:p w14:paraId="16C92C5F" w14:textId="1F9756DF" w:rsidR="00252EBF" w:rsidRDefault="00252EBF" w:rsidP="00F23F7E">
      <w:pPr>
        <w:jc w:val="left"/>
        <w:rPr>
          <w:b/>
          <w:bCs/>
          <w:lang w:val="en-IE"/>
        </w:rPr>
      </w:pPr>
    </w:p>
    <w:p w14:paraId="0A0EBD43" w14:textId="1D89CE12" w:rsidR="00F23F7E" w:rsidRPr="00F23F7E" w:rsidRDefault="00F23F7E" w:rsidP="00F23F7E">
      <w:pPr>
        <w:rPr>
          <w:i/>
        </w:rPr>
      </w:pPr>
      <w:r w:rsidRPr="00F23F7E">
        <w:rPr>
          <w:i/>
        </w:rPr>
        <w:t xml:space="preserve">* </w:t>
      </w:r>
      <w:r w:rsidR="00611547">
        <w:rPr>
          <w:i/>
        </w:rPr>
        <w:t>R</w:t>
      </w:r>
      <w:r>
        <w:rPr>
          <w:i/>
        </w:rPr>
        <w:t>emedies</w:t>
      </w:r>
      <w:r w:rsidRPr="00F23F7E">
        <w:rPr>
          <w:i/>
        </w:rPr>
        <w:t>:</w:t>
      </w:r>
    </w:p>
    <w:p w14:paraId="3CA5DD80" w14:textId="77777777" w:rsidR="00C214B8" w:rsidRPr="00F23F7E" w:rsidRDefault="00C214B8" w:rsidP="00F53F6D">
      <w:pPr>
        <w:numPr>
          <w:ilvl w:val="0"/>
          <w:numId w:val="26"/>
        </w:numPr>
        <w:spacing w:after="0" w:line="240" w:lineRule="auto"/>
        <w:ind w:left="714" w:hanging="357"/>
        <w:jc w:val="left"/>
        <w:rPr>
          <w:bCs/>
          <w:lang w:val="en-IE"/>
        </w:rPr>
      </w:pPr>
      <w:r w:rsidRPr="00F23F7E">
        <w:rPr>
          <w:bCs/>
        </w:rPr>
        <w:t xml:space="preserve">Funding to be performed with or without using the custodian. </w:t>
      </w:r>
    </w:p>
    <w:p w14:paraId="422F589B" w14:textId="77777777" w:rsidR="00C214B8" w:rsidRPr="00F23F7E" w:rsidRDefault="00C214B8" w:rsidP="00F53F6D">
      <w:pPr>
        <w:numPr>
          <w:ilvl w:val="0"/>
          <w:numId w:val="26"/>
        </w:numPr>
        <w:spacing w:after="0" w:line="240" w:lineRule="auto"/>
        <w:ind w:left="714" w:hanging="357"/>
        <w:jc w:val="left"/>
        <w:rPr>
          <w:bCs/>
          <w:lang w:val="en-IE"/>
        </w:rPr>
      </w:pPr>
      <w:r w:rsidRPr="00F23F7E">
        <w:rPr>
          <w:bCs/>
          <w:lang w:val="en-IE"/>
        </w:rPr>
        <w:t>Adjust all cash management (including FX) processes, including strict respect of custodian &amp; CLS cut-off times.</w:t>
      </w:r>
    </w:p>
    <w:p w14:paraId="2D671BBC" w14:textId="77777777" w:rsidR="00C214B8" w:rsidRPr="00F23F7E" w:rsidRDefault="00C214B8" w:rsidP="00F53F6D">
      <w:pPr>
        <w:numPr>
          <w:ilvl w:val="0"/>
          <w:numId w:val="26"/>
        </w:numPr>
        <w:spacing w:after="0" w:line="240" w:lineRule="auto"/>
        <w:ind w:left="714" w:hanging="357"/>
        <w:jc w:val="left"/>
        <w:rPr>
          <w:bCs/>
          <w:lang w:val="en-IE"/>
        </w:rPr>
      </w:pPr>
      <w:r w:rsidRPr="00F23F7E">
        <w:rPr>
          <w:bCs/>
        </w:rPr>
        <w:t>Ensure staff responsible for cash management, including FX booking, is able to operate within the US time zone.</w:t>
      </w:r>
    </w:p>
    <w:p w14:paraId="679FC493" w14:textId="77777777" w:rsidR="00C214B8" w:rsidRPr="00F23F7E" w:rsidRDefault="00C214B8" w:rsidP="00F53F6D">
      <w:pPr>
        <w:numPr>
          <w:ilvl w:val="0"/>
          <w:numId w:val="26"/>
        </w:numPr>
        <w:spacing w:after="0" w:line="240" w:lineRule="auto"/>
        <w:ind w:left="714" w:hanging="357"/>
        <w:jc w:val="left"/>
        <w:rPr>
          <w:bCs/>
          <w:lang w:val="en-IE"/>
        </w:rPr>
      </w:pPr>
      <w:r w:rsidRPr="00F23F7E">
        <w:rPr>
          <w:bCs/>
          <w:lang w:val="en-IE"/>
        </w:rPr>
        <w:t>The portfolio managers need to carefully monitor their available cash positions, including the ability for same day T+0 FX.</w:t>
      </w:r>
    </w:p>
    <w:p w14:paraId="77452DF7" w14:textId="77777777" w:rsidR="00C214B8" w:rsidRPr="00F23F7E" w:rsidRDefault="00C214B8" w:rsidP="00F53F6D">
      <w:pPr>
        <w:numPr>
          <w:ilvl w:val="0"/>
          <w:numId w:val="26"/>
        </w:numPr>
        <w:spacing w:after="0" w:line="240" w:lineRule="auto"/>
        <w:ind w:left="714" w:hanging="357"/>
        <w:jc w:val="left"/>
        <w:rPr>
          <w:bCs/>
          <w:lang w:val="en-IE"/>
        </w:rPr>
      </w:pPr>
      <w:r w:rsidRPr="00F23F7E">
        <w:rPr>
          <w:bCs/>
        </w:rPr>
        <w:t>Ensure that regulatory obligations (e.g. EMIR) are still correctly fulfilled in case of a change in the FX trading, booking or settlement.</w:t>
      </w:r>
    </w:p>
    <w:permEnd w:id="45707097"/>
    <w:p w14:paraId="3C617E94" w14:textId="77777777" w:rsidR="00C5469A" w:rsidRDefault="00C5469A" w:rsidP="00C5469A">
      <w:r>
        <w:t>&lt;ESMA_QUESTION_SETT_2&gt;</w:t>
      </w:r>
    </w:p>
    <w:p w14:paraId="0341BF99" w14:textId="77777777" w:rsidR="00C5469A" w:rsidRDefault="00C5469A" w:rsidP="00C5469A"/>
    <w:p w14:paraId="0C5FFD2B" w14:textId="77777777" w:rsidR="00C5469A" w:rsidRDefault="00C5469A" w:rsidP="00C5469A">
      <w:pPr>
        <w:pStyle w:val="Questionstyle"/>
        <w:numPr>
          <w:ilvl w:val="0"/>
          <w:numId w:val="14"/>
        </w:numPr>
      </w:pPr>
      <w:r>
        <w:t>: Which is your current rate of straight-through processing (STP ), in percentage of the number and of the volume of transactions broken down per type of transaction or per instrument as relevant? In case STP is used only for certain processes/operations, please identify them. Which are the anticipated challenges that you envisage in improving your current rate of STP?</w:t>
      </w:r>
    </w:p>
    <w:p w14:paraId="59801105" w14:textId="77777777" w:rsidR="00C5469A" w:rsidRDefault="00C5469A" w:rsidP="00C5469A">
      <w:r>
        <w:t>&lt;ESMA_QUESTION_SETT_3&gt;</w:t>
      </w:r>
    </w:p>
    <w:p w14:paraId="4381B421" w14:textId="3792FC90" w:rsidR="004D0DE1" w:rsidRDefault="0053187B" w:rsidP="004D0DE1">
      <w:pPr>
        <w:spacing w:after="0" w:line="240" w:lineRule="auto"/>
        <w:rPr>
          <w:rFonts w:eastAsia="Times New Roman" w:cstheme="minorHAnsi"/>
          <w:color w:val="000000"/>
          <w:szCs w:val="22"/>
          <w:lang w:val="en-IE" w:eastAsia="en-IE"/>
        </w:rPr>
      </w:pPr>
      <w:permStart w:id="1188046948" w:edGrp="everyone"/>
      <w:r w:rsidRPr="00D841BB">
        <w:rPr>
          <w:rFonts w:eastAsia="Times New Roman" w:cstheme="minorHAnsi"/>
          <w:color w:val="000000"/>
          <w:szCs w:val="22"/>
          <w:lang w:val="en-IE" w:eastAsia="en-IE"/>
        </w:rPr>
        <w:t>W</w:t>
      </w:r>
      <w:r w:rsidR="004D0DE1" w:rsidRPr="00D841BB">
        <w:rPr>
          <w:rFonts w:eastAsia="Times New Roman" w:cstheme="minorHAnsi"/>
          <w:color w:val="000000"/>
          <w:szCs w:val="22"/>
          <w:lang w:val="en-IE" w:eastAsia="en-IE"/>
        </w:rPr>
        <w:t xml:space="preserve">e have a fairly high level of STP in our operational processes. </w:t>
      </w:r>
      <w:r w:rsidRPr="00D841BB">
        <w:rPr>
          <w:rFonts w:eastAsia="Times New Roman" w:cstheme="minorHAnsi"/>
          <w:color w:val="000000"/>
          <w:szCs w:val="22"/>
          <w:lang w:val="en-IE" w:eastAsia="en-IE"/>
        </w:rPr>
        <w:t>In average, o</w:t>
      </w:r>
      <w:r w:rsidR="004D0DE1" w:rsidRPr="00D841BB">
        <w:rPr>
          <w:rFonts w:eastAsia="Times New Roman" w:cstheme="minorHAnsi"/>
          <w:color w:val="000000"/>
          <w:szCs w:val="22"/>
          <w:lang w:val="en-IE" w:eastAsia="en-IE"/>
        </w:rPr>
        <w:t xml:space="preserve">ur matching ratio, across markets and vanilla instruments is </w:t>
      </w:r>
      <w:r w:rsidRPr="00D841BB">
        <w:rPr>
          <w:rFonts w:eastAsia="Times New Roman" w:cstheme="minorHAnsi"/>
          <w:color w:val="000000"/>
          <w:szCs w:val="22"/>
          <w:lang w:val="en-IE" w:eastAsia="en-IE"/>
        </w:rPr>
        <w:t>higher than 95%</w:t>
      </w:r>
      <w:r w:rsidR="004D0DE1" w:rsidRPr="00D841BB">
        <w:rPr>
          <w:rFonts w:eastAsia="Times New Roman" w:cstheme="minorHAnsi"/>
          <w:color w:val="000000"/>
          <w:szCs w:val="22"/>
          <w:lang w:val="en-IE" w:eastAsia="en-IE"/>
        </w:rPr>
        <w:t>. The industry challenge we see if to have CP/CDs matched automatically and possibly no longer using some brokers who are currently not matching trades electronically</w:t>
      </w:r>
      <w:r w:rsidR="00D04DE7" w:rsidRPr="00D841BB">
        <w:rPr>
          <w:rFonts w:eastAsia="Times New Roman" w:cstheme="minorHAnsi"/>
          <w:color w:val="000000"/>
          <w:szCs w:val="22"/>
          <w:lang w:val="en-IE" w:eastAsia="en-IE"/>
        </w:rPr>
        <w:t>.</w:t>
      </w:r>
    </w:p>
    <w:p w14:paraId="794D92EA" w14:textId="1095F6CC" w:rsidR="00992FA3" w:rsidRPr="00D841BB" w:rsidRDefault="00992FA3" w:rsidP="004D0DE1">
      <w:pPr>
        <w:spacing w:after="0" w:line="240" w:lineRule="auto"/>
        <w:rPr>
          <w:rFonts w:eastAsia="Times New Roman" w:cstheme="minorHAnsi"/>
          <w:color w:val="000000"/>
          <w:szCs w:val="22"/>
          <w:lang w:val="en-IE" w:eastAsia="en-IE"/>
        </w:rPr>
      </w:pPr>
      <w:r>
        <w:rPr>
          <w:szCs w:val="22"/>
        </w:rPr>
        <w:t>The vast majority of settlement fails is due to the counterparty being short (on T+2).  It is expected that under T+1, the settlement fails will increase, and it may take months/years for all market players to come back to the current settlement efficiency.</w:t>
      </w:r>
    </w:p>
    <w:permEnd w:id="1188046948"/>
    <w:p w14:paraId="779B5185" w14:textId="77777777" w:rsidR="00C5469A" w:rsidRDefault="00C5469A" w:rsidP="00C5469A">
      <w:r>
        <w:lastRenderedPageBreak/>
        <w:t>&lt;ESMA_QUESTION_SETT_3&gt;</w:t>
      </w:r>
    </w:p>
    <w:p w14:paraId="1C935D3F" w14:textId="77777777" w:rsidR="00C5469A" w:rsidRDefault="00C5469A" w:rsidP="00C5469A"/>
    <w:p w14:paraId="5C6CEC2A" w14:textId="77777777" w:rsidR="00C5469A" w:rsidRDefault="00C5469A" w:rsidP="00C5469A">
      <w:pPr>
        <w:pStyle w:val="Questionstyle"/>
        <w:numPr>
          <w:ilvl w:val="0"/>
          <w:numId w:val="14"/>
        </w:numPr>
      </w:pPr>
      <w:r>
        <w:t>: Please describe the impacts that, in your views, the shortening of the securities settlement cycle could have beyond post-trade processes, in particular on the functioning of markets (trading) and on the access of retail investors to financial markets. If you identify any negative impact, please identify the piece of legislation affected (MiFID II, MiFIR, Short Selling Regulation…) and elaborate on possible avenues to address it.</w:t>
      </w:r>
    </w:p>
    <w:p w14:paraId="59ACDC86" w14:textId="77777777" w:rsidR="00C5469A" w:rsidRDefault="00C5469A" w:rsidP="00C5469A">
      <w:r>
        <w:t>&lt;ESMA_QUESTION_SETT_4&gt;</w:t>
      </w:r>
    </w:p>
    <w:p w14:paraId="5003AD5E" w14:textId="7FD2F160" w:rsidR="00663D21" w:rsidRPr="00B076FD" w:rsidRDefault="00663D21" w:rsidP="00A86974">
      <w:pPr>
        <w:pStyle w:val="ListParagraph"/>
        <w:numPr>
          <w:ilvl w:val="0"/>
          <w:numId w:val="38"/>
        </w:numPr>
        <w:rPr>
          <w:lang w:eastAsia="en-IE"/>
        </w:rPr>
      </w:pPr>
      <w:permStart w:id="19423711" w:edGrp="everyone"/>
      <w:r w:rsidRPr="00B076FD">
        <w:rPr>
          <w:lang w:eastAsia="en-IE"/>
        </w:rPr>
        <w:t xml:space="preserve">We do not see any potential conflict Conflicts between T+1 and CSDR. Indeed, </w:t>
      </w:r>
      <w:r w:rsidRPr="00B076FD">
        <w:rPr>
          <w:lang w:eastAsia="en-IE"/>
        </w:rPr>
        <w:br/>
        <w:t>T+1 and CSDR are 2 disconnected initiatives, having no adherences.</w:t>
      </w:r>
    </w:p>
    <w:p w14:paraId="3F4CBF21" w14:textId="7813AF25" w:rsidR="00663D21" w:rsidRDefault="00663D21" w:rsidP="00663D21">
      <w:pPr>
        <w:spacing w:after="0" w:line="240" w:lineRule="auto"/>
        <w:rPr>
          <w:rFonts w:ascii="Calibri" w:eastAsia="Times New Roman" w:hAnsi="Calibri" w:cs="Calibri"/>
          <w:color w:val="000000"/>
          <w:szCs w:val="22"/>
          <w:lang w:val="en-IE" w:eastAsia="en-IE"/>
        </w:rPr>
      </w:pPr>
    </w:p>
    <w:p w14:paraId="62EC103F" w14:textId="5A95323B" w:rsidR="00663D21" w:rsidRPr="00B076FD" w:rsidRDefault="00B076FD" w:rsidP="00A86974">
      <w:pPr>
        <w:pStyle w:val="ListParagraph"/>
        <w:numPr>
          <w:ilvl w:val="0"/>
          <w:numId w:val="38"/>
        </w:numPr>
        <w:rPr>
          <w:lang w:eastAsia="en-IE"/>
        </w:rPr>
      </w:pPr>
      <w:r>
        <w:rPr>
          <w:lang w:eastAsia="en-IE"/>
        </w:rPr>
        <w:t xml:space="preserve">During </w:t>
      </w:r>
      <w:r w:rsidR="00663D21" w:rsidRPr="00B076FD">
        <w:rPr>
          <w:lang w:eastAsia="en-IE"/>
        </w:rPr>
        <w:t>the transition phase (US T+1 / EU T+2)</w:t>
      </w:r>
      <w:r>
        <w:rPr>
          <w:lang w:eastAsia="en-IE"/>
        </w:rPr>
        <w:t>, some trading arbitrages could occur on dual traded</w:t>
      </w:r>
      <w:r w:rsidR="00721686">
        <w:rPr>
          <w:lang w:eastAsia="en-IE"/>
        </w:rPr>
        <w:t xml:space="preserve"> instruments (US and EU) leading to market manipulation (short selling in the EU at T+1 but buying at US T+1) in the meaning of MAR.</w:t>
      </w:r>
    </w:p>
    <w:p w14:paraId="6F078C7A" w14:textId="77777777" w:rsidR="00663D21" w:rsidRDefault="00663D21" w:rsidP="00663D21">
      <w:pPr>
        <w:spacing w:after="0" w:line="240" w:lineRule="auto"/>
        <w:rPr>
          <w:rFonts w:ascii="Calibri" w:eastAsia="Times New Roman" w:hAnsi="Calibri" w:cs="Calibri"/>
          <w:color w:val="000000"/>
          <w:szCs w:val="22"/>
          <w:lang w:val="en-IE" w:eastAsia="en-IE"/>
        </w:rPr>
      </w:pPr>
    </w:p>
    <w:p w14:paraId="4BFC2899" w14:textId="42AA1898" w:rsidR="00663D21" w:rsidRPr="00B076FD" w:rsidRDefault="00663D21" w:rsidP="00A86974">
      <w:pPr>
        <w:pStyle w:val="ListParagraph"/>
        <w:numPr>
          <w:ilvl w:val="0"/>
          <w:numId w:val="38"/>
        </w:numPr>
        <w:rPr>
          <w:lang w:eastAsia="en-IE"/>
        </w:rPr>
      </w:pPr>
      <w:r w:rsidRPr="00B076FD">
        <w:rPr>
          <w:lang w:eastAsia="en-IE"/>
        </w:rPr>
        <w:t>Hopefully existing regulations should not further shorten their reporting timeframes</w:t>
      </w:r>
      <w:r w:rsidR="00D04DE7">
        <w:rPr>
          <w:lang w:eastAsia="en-IE"/>
        </w:rPr>
        <w:t>.</w:t>
      </w:r>
    </w:p>
    <w:permEnd w:id="19423711"/>
    <w:p w14:paraId="08A0832D" w14:textId="77777777" w:rsidR="00C5469A" w:rsidRDefault="00C5469A" w:rsidP="00C5469A">
      <w:r>
        <w:t>&lt;ESMA_QUESTION_SETT_4&gt;</w:t>
      </w:r>
    </w:p>
    <w:p w14:paraId="10D50CB9" w14:textId="48742D0D" w:rsidR="00C5469A" w:rsidRDefault="00C5469A" w:rsidP="00C5469A"/>
    <w:p w14:paraId="2BF11A79" w14:textId="77777777" w:rsidR="00C5469A" w:rsidRDefault="00C5469A" w:rsidP="00C5469A"/>
    <w:p w14:paraId="5855D199" w14:textId="77777777" w:rsidR="00C5469A" w:rsidRDefault="00C5469A" w:rsidP="00C5469A">
      <w:pPr>
        <w:pStyle w:val="Questionstyle"/>
        <w:numPr>
          <w:ilvl w:val="0"/>
          <w:numId w:val="14"/>
        </w:numPr>
      </w:pPr>
      <w:r>
        <w:t>: What would be the costs you would have to incur in order to implement the technology and operational changes required to work in a T+1 environment? And in a T+0 environment? Please differentiate between one-off costs and on-going costs, comparing the on-going costs of T+1 and T+0 to those in the current T+2 environment. Where relevant please explain if these are general or asset class/instrument/ trade specific.</w:t>
      </w:r>
    </w:p>
    <w:p w14:paraId="6F56C3DB" w14:textId="77777777" w:rsidR="00C5469A" w:rsidRDefault="00C5469A" w:rsidP="00C5469A">
      <w:r>
        <w:t>&lt;ESMA_QUESTION_SETT_5&gt;</w:t>
      </w:r>
    </w:p>
    <w:p w14:paraId="21600318" w14:textId="7A4657F6" w:rsidR="004D0DE1" w:rsidRPr="00D04DE7" w:rsidRDefault="00E35008" w:rsidP="004D0DE1">
      <w:pPr>
        <w:spacing w:after="0" w:line="240" w:lineRule="auto"/>
        <w:rPr>
          <w:rFonts w:eastAsia="Times New Roman" w:cstheme="minorHAnsi"/>
          <w:color w:val="000000"/>
          <w:szCs w:val="22"/>
          <w:lang w:val="en-IE" w:eastAsia="en-IE"/>
        </w:rPr>
      </w:pPr>
      <w:permStart w:id="1238857977" w:edGrp="everyone"/>
      <w:r w:rsidRPr="00D04DE7">
        <w:rPr>
          <w:rFonts w:eastAsia="Times New Roman" w:cstheme="minorHAnsi"/>
          <w:color w:val="000000"/>
          <w:szCs w:val="22"/>
          <w:lang w:val="en-IE" w:eastAsia="en-IE"/>
        </w:rPr>
        <w:t>W</w:t>
      </w:r>
      <w:r w:rsidR="004D0DE1" w:rsidRPr="00D04DE7">
        <w:rPr>
          <w:rFonts w:eastAsia="Times New Roman" w:cstheme="minorHAnsi"/>
          <w:color w:val="000000"/>
          <w:szCs w:val="22"/>
          <w:lang w:val="en-IE" w:eastAsia="en-IE"/>
        </w:rPr>
        <w:t>e expect both operational</w:t>
      </w:r>
      <w:r w:rsidR="00B86FAE" w:rsidRPr="00D04DE7">
        <w:rPr>
          <w:rFonts w:eastAsia="Times New Roman" w:cstheme="minorHAnsi"/>
          <w:color w:val="000000"/>
          <w:szCs w:val="22"/>
          <w:lang w:val="en-IE" w:eastAsia="en-IE"/>
        </w:rPr>
        <w:t xml:space="preserve"> and technical</w:t>
      </w:r>
      <w:r w:rsidR="004D0DE1" w:rsidRPr="00D04DE7">
        <w:rPr>
          <w:rFonts w:eastAsia="Times New Roman" w:cstheme="minorHAnsi"/>
          <w:color w:val="000000"/>
          <w:szCs w:val="22"/>
          <w:lang w:val="en-IE" w:eastAsia="en-IE"/>
        </w:rPr>
        <w:t xml:space="preserve"> increased costs</w:t>
      </w:r>
      <w:r w:rsidR="00820E7E" w:rsidRPr="00D04DE7">
        <w:rPr>
          <w:rFonts w:eastAsia="Times New Roman" w:cstheme="minorHAnsi"/>
          <w:color w:val="000000"/>
          <w:szCs w:val="22"/>
          <w:lang w:val="en-IE" w:eastAsia="en-IE"/>
        </w:rPr>
        <w:t>. As regards the latter they should be specifically considered for the T+0 stage; hence they will be developed in this section.</w:t>
      </w:r>
    </w:p>
    <w:p w14:paraId="021C5C6A" w14:textId="77777777" w:rsidR="00D04DE7" w:rsidRDefault="00D04DE7" w:rsidP="00D10735"/>
    <w:p w14:paraId="564F73AA" w14:textId="151C84B9" w:rsidR="00D10735" w:rsidRDefault="00D10735" w:rsidP="00D10735">
      <w:r>
        <w:t>We do not anticipate any direct benefits for the asset management industry.</w:t>
      </w:r>
    </w:p>
    <w:p w14:paraId="246166E9" w14:textId="5253BCD0" w:rsidR="00D16C1D" w:rsidRPr="00D04DE7" w:rsidRDefault="00D16C1D" w:rsidP="00A86974">
      <w:pPr>
        <w:pStyle w:val="ListParagraph"/>
        <w:numPr>
          <w:ilvl w:val="0"/>
          <w:numId w:val="34"/>
        </w:numPr>
      </w:pPr>
      <w:r w:rsidRPr="00D04DE7">
        <w:t>T+1 settlement</w:t>
      </w:r>
    </w:p>
    <w:p w14:paraId="47B5BC9B" w14:textId="77777777" w:rsidR="00D16C1D" w:rsidRPr="00D16C1D" w:rsidRDefault="00D16C1D" w:rsidP="00D04DE7">
      <w:pPr>
        <w:ind w:left="1440"/>
      </w:pPr>
    </w:p>
    <w:p w14:paraId="2211567C" w14:textId="66B02AA7" w:rsidR="00D16C1D" w:rsidRPr="00820E7E" w:rsidRDefault="00D16C1D" w:rsidP="00A86974">
      <w:pPr>
        <w:pStyle w:val="ListParagraph"/>
        <w:numPr>
          <w:ilvl w:val="0"/>
          <w:numId w:val="33"/>
        </w:numPr>
      </w:pPr>
      <w:r>
        <w:lastRenderedPageBreak/>
        <w:t>Cost of trading</w:t>
      </w:r>
    </w:p>
    <w:p w14:paraId="7B88F08F" w14:textId="74396E5E" w:rsidR="00D16C1D" w:rsidRDefault="0078517F" w:rsidP="00A86974">
      <w:pPr>
        <w:pStyle w:val="ListParagraph"/>
        <w:numPr>
          <w:ilvl w:val="0"/>
          <w:numId w:val="36"/>
        </w:numPr>
      </w:pPr>
      <w:r>
        <w:t>The usage of new market infra</w:t>
      </w:r>
      <w:r w:rsidR="00744512">
        <w:t>s</w:t>
      </w:r>
      <w:r>
        <w:t>tructures with the affirmation/confirmation/allocation process will increase the transaction costs</w:t>
      </w:r>
      <w:r w:rsidR="00C92AE6">
        <w:t xml:space="preserve"> (see the details of this process in annex I. Q1-1).</w:t>
      </w:r>
    </w:p>
    <w:p w14:paraId="0063D071" w14:textId="6C3F3B2F" w:rsidR="001D60BC" w:rsidRDefault="001D60BC" w:rsidP="00A86974">
      <w:pPr>
        <w:pStyle w:val="ListParagraph"/>
        <w:numPr>
          <w:ilvl w:val="0"/>
          <w:numId w:val="36"/>
        </w:numPr>
      </w:pPr>
      <w:r>
        <w:t xml:space="preserve">Securities lending transactions will be less favourable </w:t>
      </w:r>
      <w:r w:rsidR="00F918EE">
        <w:t xml:space="preserve">for asset managers </w:t>
      </w:r>
      <w:r>
        <w:t>with a one day recall period only versus two days currently.</w:t>
      </w:r>
    </w:p>
    <w:p w14:paraId="50CE7448" w14:textId="68D99BA2" w:rsidR="00CC0475" w:rsidRDefault="0053187B" w:rsidP="00A86974">
      <w:pPr>
        <w:pStyle w:val="ListParagraph"/>
        <w:numPr>
          <w:ilvl w:val="0"/>
          <w:numId w:val="36"/>
        </w:numPr>
      </w:pPr>
      <w:r>
        <w:t>Higher operational risk should be considered in light of the redution of the available timelin</w:t>
      </w:r>
      <w:r w:rsidR="008074AA">
        <w:t>e.</w:t>
      </w:r>
    </w:p>
    <w:p w14:paraId="7F347A40" w14:textId="2628AB1C" w:rsidR="008074AA" w:rsidRDefault="008074AA" w:rsidP="00A86974">
      <w:pPr>
        <w:pStyle w:val="ListParagraph"/>
        <w:numPr>
          <w:ilvl w:val="0"/>
          <w:numId w:val="36"/>
        </w:numPr>
      </w:pPr>
      <w:r>
        <w:t>Potential cost to relocate staff in the America have to be considered to process the transactions in due time on the America’s time zone</w:t>
      </w:r>
      <w:r w:rsidR="005433CE">
        <w:t xml:space="preserve">, combined with a loss </w:t>
      </w:r>
      <w:r w:rsidR="00052CF2">
        <w:t xml:space="preserve">of jobs in the EU. </w:t>
      </w:r>
    </w:p>
    <w:p w14:paraId="2E15E063" w14:textId="184E0DEF" w:rsidR="001D22B8" w:rsidRDefault="001D22B8" w:rsidP="00D04DE7">
      <w:pPr>
        <w:ind w:left="1440"/>
      </w:pPr>
    </w:p>
    <w:p w14:paraId="1878FD6F" w14:textId="77777777" w:rsidR="0078517F" w:rsidRDefault="0078517F" w:rsidP="00D04DE7">
      <w:pPr>
        <w:ind w:left="1440"/>
      </w:pPr>
    </w:p>
    <w:p w14:paraId="4533EB33" w14:textId="3CA00FF9" w:rsidR="00D16C1D" w:rsidRPr="00820E7E" w:rsidRDefault="00D16C1D" w:rsidP="00A86974">
      <w:pPr>
        <w:pStyle w:val="ListParagraph"/>
        <w:numPr>
          <w:ilvl w:val="0"/>
          <w:numId w:val="33"/>
        </w:numPr>
      </w:pPr>
      <w:r>
        <w:t>Cost of fu</w:t>
      </w:r>
      <w:r w:rsidR="0078517F">
        <w:t>n</w:t>
      </w:r>
      <w:r>
        <w:t>ding</w:t>
      </w:r>
    </w:p>
    <w:p w14:paraId="78606075" w14:textId="22D00FE3" w:rsidR="00D16C1D" w:rsidRDefault="0078517F" w:rsidP="00A86974">
      <w:pPr>
        <w:pStyle w:val="ListParagraph"/>
        <w:numPr>
          <w:ilvl w:val="0"/>
          <w:numId w:val="35"/>
        </w:numPr>
      </w:pPr>
      <w:r>
        <w:t>On primary market transactions, the liquidity mismatch created by the gap between the funding leg now at T+1 and the settlement/funding leg typically at T+3 for the Luxembourg market</w:t>
      </w:r>
      <w:r w:rsidR="00C92AE6">
        <w:t xml:space="preserve"> (see the illustration of this gap in annex I. Q1-2)</w:t>
      </w:r>
      <w:r>
        <w:t>.</w:t>
      </w:r>
      <w:r w:rsidR="009976A8">
        <w:t xml:space="preserve"> This gap will be bridged by extra cash or additional overdrad</w:t>
      </w:r>
      <w:r w:rsidR="001D60BC">
        <w:t>fs, more costly in light of the higher interest rate environment.</w:t>
      </w:r>
      <w:r>
        <w:t xml:space="preserve"> </w:t>
      </w:r>
    </w:p>
    <w:p w14:paraId="1F40DAAE" w14:textId="5A5728DA" w:rsidR="001D60BC" w:rsidRDefault="001D60BC" w:rsidP="00A86974">
      <w:pPr>
        <w:pStyle w:val="ListParagraph"/>
        <w:numPr>
          <w:ilvl w:val="0"/>
          <w:numId w:val="35"/>
        </w:numPr>
      </w:pPr>
      <w:r>
        <w:t>Funding in FX will be performed at a higher cost</w:t>
      </w:r>
      <w:r w:rsidR="009E4699">
        <w:t>. Given the FX spot market is settling at T+2, buffers are envisaged to have enough foreigh curencies to settle at T+1. Moreover, given the early positionning of the CLS cut-off time, a substantial portion of the end-of day transactions might have to be settled outside CLS, hence OTC with a higher counterparty risk.</w:t>
      </w:r>
    </w:p>
    <w:p w14:paraId="43AD0712" w14:textId="77777777" w:rsidR="001D60BC" w:rsidRDefault="001D60BC" w:rsidP="00D04DE7">
      <w:pPr>
        <w:ind w:left="1440"/>
      </w:pPr>
    </w:p>
    <w:p w14:paraId="6D34F941" w14:textId="2BBC8A70" w:rsidR="0078517F" w:rsidRPr="00820E7E" w:rsidRDefault="0078517F" w:rsidP="00A86974">
      <w:pPr>
        <w:pStyle w:val="ListParagraph"/>
        <w:numPr>
          <w:ilvl w:val="0"/>
          <w:numId w:val="33"/>
        </w:numPr>
      </w:pPr>
      <w:r>
        <w:t>Cost to rep</w:t>
      </w:r>
      <w:r w:rsidR="001D60BC">
        <w:t>aper</w:t>
      </w:r>
    </w:p>
    <w:p w14:paraId="50BFE805" w14:textId="5C76AB7B" w:rsidR="0078517F" w:rsidRDefault="001D60BC" w:rsidP="001D60BC">
      <w:pPr>
        <w:ind w:left="1080"/>
      </w:pPr>
      <w:r>
        <w:t xml:space="preserve">Investment funds documentation/prospectuses will have to be updated to </w:t>
      </w:r>
      <w:r w:rsidR="009E4699">
        <w:t>reflect the change of policy with a settlement/funding date brought forward.</w:t>
      </w:r>
    </w:p>
    <w:p w14:paraId="4F9D63DA" w14:textId="33E8E1BB" w:rsidR="008B66E2" w:rsidRDefault="008B66E2" w:rsidP="00A86974">
      <w:pPr>
        <w:pStyle w:val="ListParagraph"/>
        <w:numPr>
          <w:ilvl w:val="0"/>
          <w:numId w:val="33"/>
        </w:numPr>
      </w:pPr>
      <w:r>
        <w:t>Cost to isolate the T+1 effect on the higher cost of funding.</w:t>
      </w:r>
    </w:p>
    <w:p w14:paraId="7B6E8FE7" w14:textId="403B5709" w:rsidR="008B66E2" w:rsidRDefault="008B66E2" w:rsidP="00A86974">
      <w:pPr>
        <w:pStyle w:val="ListParagraph"/>
        <w:numPr>
          <w:ilvl w:val="0"/>
          <w:numId w:val="37"/>
        </w:numPr>
      </w:pPr>
      <w:r>
        <w:t>Identifiy the breaches of the UCITSD cash/borrowing limits specifically due to T+1.</w:t>
      </w:r>
    </w:p>
    <w:p w14:paraId="3F86D6BA" w14:textId="73EC1337" w:rsidR="008B66E2" w:rsidRDefault="008B66E2" w:rsidP="00A86974">
      <w:pPr>
        <w:pStyle w:val="ListParagraph"/>
        <w:numPr>
          <w:ilvl w:val="0"/>
          <w:numId w:val="37"/>
        </w:numPr>
      </w:pPr>
      <w:r>
        <w:t>Assess the increase in trading and funding i order to incorporate it into the swing factors. Existing investors should not bear these extra T+1 costs which should be charged to the entrants in the new T+1 regime</w:t>
      </w:r>
      <w:r w:rsidR="00D04DE7">
        <w:t>.</w:t>
      </w:r>
    </w:p>
    <w:p w14:paraId="49EE8F05" w14:textId="4349AE36" w:rsidR="008B66E2" w:rsidRDefault="008B66E2" w:rsidP="008B66E2"/>
    <w:p w14:paraId="444205E4" w14:textId="77777777" w:rsidR="008B66E2" w:rsidRDefault="008B66E2" w:rsidP="00D04DE7">
      <w:pPr>
        <w:ind w:left="1440"/>
      </w:pPr>
    </w:p>
    <w:p w14:paraId="25B1D5D8" w14:textId="28EB91C1" w:rsidR="00D16C1D" w:rsidRPr="00D04DE7" w:rsidRDefault="00D16C1D" w:rsidP="00A86974">
      <w:pPr>
        <w:pStyle w:val="ListParagraph"/>
        <w:numPr>
          <w:ilvl w:val="0"/>
          <w:numId w:val="34"/>
        </w:numPr>
      </w:pPr>
      <w:r w:rsidRPr="00D04DE7">
        <w:t>T+0 settlement</w:t>
      </w:r>
    </w:p>
    <w:p w14:paraId="70436922" w14:textId="77777777" w:rsidR="00D16C1D" w:rsidRPr="00D16C1D" w:rsidRDefault="00D16C1D" w:rsidP="00D04DE7">
      <w:pPr>
        <w:ind w:left="1440"/>
      </w:pPr>
    </w:p>
    <w:p w14:paraId="7A8389A0" w14:textId="258A408D" w:rsidR="00C043B6" w:rsidRDefault="00A86974" w:rsidP="00A86974">
      <w:pPr>
        <w:ind w:left="720"/>
      </w:pPr>
      <w:r>
        <w:t>1.</w:t>
      </w:r>
      <w:r w:rsidR="00820E7E" w:rsidRPr="00820E7E">
        <w:t xml:space="preserve">Main challenges </w:t>
      </w:r>
      <w:r w:rsidR="00C043B6" w:rsidRPr="00820E7E">
        <w:t>in T+0 settlement</w:t>
      </w:r>
    </w:p>
    <w:p w14:paraId="2343BD15" w14:textId="3501C7B4" w:rsidR="00C043B6" w:rsidRDefault="00C043B6" w:rsidP="00A86974">
      <w:pPr>
        <w:pStyle w:val="ListParagraph"/>
        <w:numPr>
          <w:ilvl w:val="0"/>
          <w:numId w:val="23"/>
        </w:numPr>
        <w:rPr>
          <w:color w:val="0F0F0F"/>
          <w:sz w:val="24"/>
          <w:szCs w:val="24"/>
        </w:rPr>
      </w:pPr>
      <w:r>
        <w:lastRenderedPageBreak/>
        <w:t>Real-time T+0 likely necessitates advanced technologies such as blockchain, which present substantial challenges in terms of infrastructure improvements and significant costs that are not easily quantifiable without adequate market-wide adoption.</w:t>
      </w:r>
      <w:r>
        <w:rPr>
          <w:color w:val="0F0F0F"/>
          <w:sz w:val="24"/>
          <w:szCs w:val="24"/>
        </w:rPr>
        <w:t xml:space="preserve"> </w:t>
      </w:r>
    </w:p>
    <w:p w14:paraId="78B98F24" w14:textId="4CBF5E43" w:rsidR="00C043B6" w:rsidRDefault="00C043B6" w:rsidP="00A86974">
      <w:pPr>
        <w:pStyle w:val="ListParagraph"/>
        <w:numPr>
          <w:ilvl w:val="0"/>
          <w:numId w:val="23"/>
        </w:numPr>
      </w:pPr>
      <w:r>
        <w:t xml:space="preserve">The DVP T+0 model involves the settlement of trades on the same day as the transaction but follows the conventional processes used in current settlement systems, albeit within a much shorter timeframe. Unlike real-time T+0, DVP T+0 doesn't necessarily require a complete transformation of the existing settlement infrastructure but rather an acceleration and optimization of current processes. Transitioning to a DVP T+0 settlement cycle, even though it leverages existing systems, would entail an increased workload due to the condensed time frame for processing trades. To efficiently manage this increased volume of transactions and the likelihood of more frequent exceptions, there would be a need for a larger workforce dedicated to handling these exceptions. </w:t>
      </w:r>
    </w:p>
    <w:p w14:paraId="6DE63EBD" w14:textId="77777777" w:rsidR="00820E7E" w:rsidRDefault="00820E7E" w:rsidP="00761D16">
      <w:pPr>
        <w:ind w:left="1080"/>
      </w:pPr>
    </w:p>
    <w:p w14:paraId="01669DEE" w14:textId="43AE65BF" w:rsidR="00416C03" w:rsidRPr="00820E7E" w:rsidRDefault="00A86974" w:rsidP="00A86974">
      <w:pPr>
        <w:ind w:left="360"/>
      </w:pPr>
      <w:r>
        <w:t>2. C</w:t>
      </w:r>
      <w:r w:rsidR="00416C03" w:rsidRPr="00820E7E">
        <w:t>ost dependent on speed and scope of implementation</w:t>
      </w:r>
    </w:p>
    <w:p w14:paraId="58C57446" w14:textId="70961420" w:rsidR="00416C03" w:rsidRDefault="00416C03" w:rsidP="00A86974">
      <w:pPr>
        <w:pStyle w:val="ListParagraph"/>
        <w:numPr>
          <w:ilvl w:val="0"/>
          <w:numId w:val="46"/>
        </w:numPr>
      </w:pPr>
      <w:r>
        <w:t>From a trading perspective, the overall magnitude of associated costs is acceptable.</w:t>
      </w:r>
    </w:p>
    <w:p w14:paraId="2A0A7FD8" w14:textId="77777777" w:rsidR="00416C03" w:rsidRDefault="00416C03" w:rsidP="00A86974">
      <w:pPr>
        <w:pStyle w:val="ListParagraph"/>
      </w:pPr>
      <w:r>
        <w:t>The different asset classes, instruments and trade-related aspects could be supported by the trading venue, from a market operator’s perspective.</w:t>
      </w:r>
    </w:p>
    <w:p w14:paraId="6FD73B50" w14:textId="77777777" w:rsidR="00416C03" w:rsidRDefault="00416C03" w:rsidP="00A86974">
      <w:pPr>
        <w:pStyle w:val="ListParagraph"/>
      </w:pPr>
      <w:r>
        <w:t>Yet it depends and can increase to substantial amount if:</w:t>
      </w:r>
    </w:p>
    <w:p w14:paraId="2F0B4E98" w14:textId="77777777" w:rsidR="00416C03" w:rsidRDefault="00416C03" w:rsidP="00A86974">
      <w:pPr>
        <w:pStyle w:val="ListParagraph"/>
        <w:numPr>
          <w:ilvl w:val="2"/>
          <w:numId w:val="45"/>
        </w:numPr>
      </w:pPr>
      <w:r>
        <w:t>The implementation timeline is very short and is needed too fast</w:t>
      </w:r>
    </w:p>
    <w:p w14:paraId="5FD2F1A9" w14:textId="77777777" w:rsidR="00416C03" w:rsidRPr="003718B9" w:rsidRDefault="00416C03" w:rsidP="00A86974">
      <w:pPr>
        <w:pStyle w:val="ListParagraph"/>
        <w:numPr>
          <w:ilvl w:val="2"/>
          <w:numId w:val="45"/>
        </w:numPr>
      </w:pPr>
      <w:r>
        <w:t>Concerns a large scope of securities simultaneously.</w:t>
      </w:r>
    </w:p>
    <w:p w14:paraId="3A8DD56F" w14:textId="77777777" w:rsidR="00416C03" w:rsidRPr="003718B9" w:rsidRDefault="00416C03" w:rsidP="00A86974">
      <w:pPr>
        <w:pStyle w:val="ListParagraph"/>
      </w:pPr>
      <w:r>
        <w:t>This cost dependency on time and scope is stemming from the fact that if the streamlining of all process, including procedures review and solutions migration, needs to be done under a short time, the implementation will need to rely on extra resources that are inherently costlier.</w:t>
      </w:r>
    </w:p>
    <w:p w14:paraId="15E3D18D" w14:textId="77777777" w:rsidR="00416C03" w:rsidRDefault="00416C03" w:rsidP="00820E7E">
      <w:pPr>
        <w:ind w:left="1080"/>
      </w:pPr>
    </w:p>
    <w:p w14:paraId="6E36384B" w14:textId="6E96C5E4" w:rsidR="00416C03" w:rsidRPr="00820E7E" w:rsidRDefault="00A86974" w:rsidP="00A86974">
      <w:pPr>
        <w:ind w:left="1068" w:hanging="360"/>
      </w:pPr>
      <w:r>
        <w:t xml:space="preserve">3. </w:t>
      </w:r>
      <w:r w:rsidR="00416C03" w:rsidRPr="00820E7E">
        <w:t>T+0 is not T+1</w:t>
      </w:r>
    </w:p>
    <w:p w14:paraId="311A7861" w14:textId="77777777" w:rsidR="00416C03" w:rsidRDefault="00416C03" w:rsidP="00A86974">
      <w:pPr>
        <w:pStyle w:val="ListParagraph"/>
        <w:numPr>
          <w:ilvl w:val="0"/>
          <w:numId w:val="8"/>
        </w:numPr>
      </w:pPr>
      <w:r>
        <w:t>Some may assume that moving from T+2 to T+0 is closely related to moving from T+2 to T+1 calling from economies of scale in the implementation.</w:t>
      </w:r>
    </w:p>
    <w:p w14:paraId="5F88E0B3" w14:textId="77777777" w:rsidR="00416C03" w:rsidRDefault="00416C03" w:rsidP="00A86974">
      <w:pPr>
        <w:pStyle w:val="ListParagraph"/>
        <w:numPr>
          <w:ilvl w:val="0"/>
          <w:numId w:val="8"/>
        </w:numPr>
      </w:pPr>
      <w:r>
        <w:t>However, from a technical and technological point of view, the two situations fundamentally diverge.</w:t>
      </w:r>
    </w:p>
    <w:p w14:paraId="21212D76" w14:textId="77777777" w:rsidR="00416C03" w:rsidRDefault="00416C03" w:rsidP="00A86974">
      <w:pPr>
        <w:pStyle w:val="ListParagraph"/>
        <w:numPr>
          <w:ilvl w:val="0"/>
          <w:numId w:val="8"/>
        </w:numPr>
      </w:pPr>
      <w:r>
        <w:t>Accordingly, in term of implementation costs, a phased approach with an initial move from T+2 to T+1 and later on to T+0 would be substantially more cost efficient that a direct implementation from T+2 to T+0.</w:t>
      </w:r>
    </w:p>
    <w:p w14:paraId="10D9DA11" w14:textId="77777777" w:rsidR="00416C03" w:rsidRDefault="00416C03" w:rsidP="00A86974">
      <w:pPr>
        <w:pStyle w:val="ListParagraph"/>
        <w:numPr>
          <w:ilvl w:val="0"/>
          <w:numId w:val="8"/>
        </w:numPr>
      </w:pPr>
      <w:r>
        <w:t>Indeed, additional challenges would need to be addressed in moving to T+0, with specific focus on processes for cancelation of order, time zone management consideration in a context of global trading and potential liquidity bottlenecking (potentially exacerbated through the use of LMTs).</w:t>
      </w:r>
    </w:p>
    <w:p w14:paraId="108F7B9F" w14:textId="77777777" w:rsidR="00416C03" w:rsidRDefault="00416C03" w:rsidP="00A86974">
      <w:pPr>
        <w:pStyle w:val="ListParagraph"/>
        <w:numPr>
          <w:ilvl w:val="0"/>
          <w:numId w:val="8"/>
        </w:numPr>
      </w:pPr>
      <w:r>
        <w:lastRenderedPageBreak/>
        <w:t>In addition, in term of available technologies, T+1 could be achieved through incremental adjustments and parameterization to the already existing solutions while T+0 would require more of a technological disruption.</w:t>
      </w:r>
    </w:p>
    <w:p w14:paraId="59E0958E" w14:textId="77777777" w:rsidR="00416C03" w:rsidRDefault="00416C03" w:rsidP="00820E7E">
      <w:pPr>
        <w:ind w:left="1080"/>
      </w:pPr>
    </w:p>
    <w:p w14:paraId="168B1775" w14:textId="251646B6" w:rsidR="00416C03" w:rsidRPr="00820E7E" w:rsidRDefault="00416C03" w:rsidP="00A86974">
      <w:pPr>
        <w:pStyle w:val="ListParagraph"/>
        <w:numPr>
          <w:ilvl w:val="0"/>
          <w:numId w:val="38"/>
        </w:numPr>
      </w:pPr>
      <w:r w:rsidRPr="00820E7E">
        <w:t>Coordination / technology costs</w:t>
      </w:r>
    </w:p>
    <w:p w14:paraId="710F96FA" w14:textId="77777777" w:rsidR="00416C03" w:rsidRDefault="00416C03" w:rsidP="00A86974">
      <w:pPr>
        <w:pStyle w:val="ListParagraph"/>
        <w:numPr>
          <w:ilvl w:val="0"/>
          <w:numId w:val="9"/>
        </w:numPr>
      </w:pPr>
      <w:r>
        <w:t>From a technological perspective, the ensuring interoperability is essential.</w:t>
      </w:r>
    </w:p>
    <w:p w14:paraId="7E1FECDA" w14:textId="77777777" w:rsidR="00416C03" w:rsidRDefault="00416C03" w:rsidP="00A86974">
      <w:pPr>
        <w:pStyle w:val="ListParagraph"/>
        <w:numPr>
          <w:ilvl w:val="0"/>
          <w:numId w:val="9"/>
        </w:numPr>
      </w:pPr>
      <w:r>
        <w:t>While interoperability is ensured for integrated models, other models relying on independent stakeholders create dependency.</w:t>
      </w:r>
    </w:p>
    <w:p w14:paraId="29CE6719" w14:textId="77777777" w:rsidR="00416C03" w:rsidRDefault="00416C03" w:rsidP="00A86974">
      <w:pPr>
        <w:pStyle w:val="ListParagraph"/>
        <w:numPr>
          <w:ilvl w:val="0"/>
          <w:numId w:val="9"/>
        </w:numPr>
      </w:pPr>
      <w:r>
        <w:t xml:space="preserve">In order to ensure interoperability this will either take time of induce significant costs if carried out </w:t>
      </w:r>
      <w:r w:rsidRPr="00861E7E">
        <w:t>expeditiously</w:t>
      </w:r>
      <w:r>
        <w:t>.</w:t>
      </w:r>
    </w:p>
    <w:p w14:paraId="6E560651" w14:textId="77777777" w:rsidR="00416C03" w:rsidRDefault="00416C03" w:rsidP="00A86974">
      <w:pPr>
        <w:pStyle w:val="ListParagraph"/>
        <w:numPr>
          <w:ilvl w:val="0"/>
          <w:numId w:val="9"/>
        </w:numPr>
      </w:pPr>
      <w:r>
        <w:t>This again calls for a consideration on the timeline of implementation especially for non-fully integrated models.</w:t>
      </w:r>
    </w:p>
    <w:p w14:paraId="753D4244" w14:textId="77777777" w:rsidR="00416C03" w:rsidRDefault="00416C03" w:rsidP="00A86974">
      <w:pPr>
        <w:pStyle w:val="ListParagraph"/>
        <w:numPr>
          <w:ilvl w:val="0"/>
          <w:numId w:val="9"/>
        </w:numPr>
      </w:pPr>
      <w:r>
        <w:t>Indeed, in case of reliance on counterparty, this involve an adaptation of the technological ecosystem, which takes time, or rely on facilitator (e.g. payment provider) that generates additional costs.</w:t>
      </w:r>
    </w:p>
    <w:p w14:paraId="4A2419D2" w14:textId="77777777" w:rsidR="00416C03" w:rsidRDefault="00416C03" w:rsidP="00A86974">
      <w:pPr>
        <w:pStyle w:val="ListParagraph"/>
        <w:numPr>
          <w:ilvl w:val="0"/>
          <w:numId w:val="9"/>
        </w:numPr>
      </w:pPr>
      <w:r>
        <w:t>Repeatedly, since T+1 does not require an entire technology revolution the coordination with stakeholder would be more achievable.</w:t>
      </w:r>
    </w:p>
    <w:p w14:paraId="65FF7583" w14:textId="77777777" w:rsidR="00416C03" w:rsidRPr="00FE0494" w:rsidRDefault="00416C03" w:rsidP="00A86974">
      <w:pPr>
        <w:pStyle w:val="ListParagraph"/>
        <w:numPr>
          <w:ilvl w:val="0"/>
          <w:numId w:val="9"/>
        </w:numPr>
      </w:pPr>
      <w:r w:rsidRPr="00FE0494">
        <w:t xml:space="preserve">Eventually and considering the various blocks of the chain would not necessarily all be inhouse, incremental migration is all the more important. Specific considerations to cyber security concerns and related cost should not be omitted. </w:t>
      </w:r>
    </w:p>
    <w:p w14:paraId="6DF81F52" w14:textId="77777777" w:rsidR="00416C03" w:rsidRDefault="00416C03" w:rsidP="00820E7E">
      <w:pPr>
        <w:ind w:left="1080"/>
      </w:pPr>
    </w:p>
    <w:p w14:paraId="45EE4DCB" w14:textId="70D85ABA" w:rsidR="00416C03" w:rsidRPr="0097014F" w:rsidRDefault="00416C03" w:rsidP="00A86974">
      <w:pPr>
        <w:pStyle w:val="ListParagraph"/>
        <w:numPr>
          <w:ilvl w:val="0"/>
          <w:numId w:val="38"/>
        </w:numPr>
      </w:pPr>
      <w:r w:rsidRPr="0097014F">
        <w:t>Definition of costs</w:t>
      </w:r>
    </w:p>
    <w:p w14:paraId="622B2E2D" w14:textId="77777777" w:rsidR="00416C03" w:rsidRDefault="00416C03" w:rsidP="00A86974">
      <w:pPr>
        <w:pStyle w:val="ListParagraph"/>
        <w:numPr>
          <w:ilvl w:val="0"/>
          <w:numId w:val="10"/>
        </w:numPr>
      </w:pPr>
      <w:r>
        <w:t>It is important when costs are considered to include all costs and not limiting to financial costs.</w:t>
      </w:r>
    </w:p>
    <w:p w14:paraId="2D974E7D" w14:textId="77777777" w:rsidR="00416C03" w:rsidRDefault="00416C03" w:rsidP="00A86974">
      <w:pPr>
        <w:pStyle w:val="ListParagraph"/>
        <w:numPr>
          <w:ilvl w:val="0"/>
          <w:numId w:val="10"/>
        </w:numPr>
      </w:pPr>
      <w:r>
        <w:t>Externalities and induced risks are non-financial costs associated with technological development.</w:t>
      </w:r>
    </w:p>
    <w:p w14:paraId="20AAD898" w14:textId="77777777" w:rsidR="00416C03" w:rsidRDefault="00416C03" w:rsidP="00A86974">
      <w:pPr>
        <w:pStyle w:val="ListParagraph"/>
        <w:numPr>
          <w:ilvl w:val="0"/>
          <w:numId w:val="10"/>
        </w:numPr>
      </w:pPr>
      <w:r>
        <w:t>As an example, enhanced cyber risk is an inherent part of the technological development, that needs proper addressing.</w:t>
      </w:r>
    </w:p>
    <w:p w14:paraId="5544081F" w14:textId="77777777" w:rsidR="00416C03" w:rsidRPr="00DC4182" w:rsidRDefault="00416C03" w:rsidP="00A86974">
      <w:pPr>
        <w:pStyle w:val="ListParagraph"/>
        <w:numPr>
          <w:ilvl w:val="0"/>
          <w:numId w:val="10"/>
        </w:numPr>
      </w:pPr>
      <w:r>
        <w:t>This consideration exists both for a move to T+1 or T+0, yet with greater perceived impact in the case of T+0.</w:t>
      </w:r>
    </w:p>
    <w:p w14:paraId="08BF139B" w14:textId="77777777" w:rsidR="00416C03" w:rsidRDefault="00416C03" w:rsidP="00820E7E">
      <w:pPr>
        <w:ind w:left="1080"/>
      </w:pPr>
    </w:p>
    <w:p w14:paraId="31D3D15D" w14:textId="5BF608DE" w:rsidR="00416C03" w:rsidRPr="0097014F" w:rsidRDefault="00416C03" w:rsidP="00A86974">
      <w:pPr>
        <w:pStyle w:val="ListParagraph"/>
        <w:numPr>
          <w:ilvl w:val="0"/>
          <w:numId w:val="38"/>
        </w:numPr>
      </w:pPr>
      <w:r w:rsidRPr="0097014F">
        <w:t>Focus on implementation costs at this stage</w:t>
      </w:r>
    </w:p>
    <w:p w14:paraId="5A63AB8D" w14:textId="32A6A4C6" w:rsidR="00416C03" w:rsidRDefault="00416C03" w:rsidP="00A86974">
      <w:pPr>
        <w:pStyle w:val="ListParagraph"/>
        <w:numPr>
          <w:ilvl w:val="0"/>
          <w:numId w:val="11"/>
        </w:numPr>
      </w:pPr>
      <w:r>
        <w:t>At this stage, market participants are focusing on the implementation costs but have a limited view the ongoing costs.</w:t>
      </w:r>
    </w:p>
    <w:p w14:paraId="0D696FAD" w14:textId="77777777" w:rsidR="00016E29" w:rsidRDefault="00016E29" w:rsidP="00016E29">
      <w:pPr>
        <w:ind w:left="1080"/>
      </w:pPr>
    </w:p>
    <w:p w14:paraId="244F07CE" w14:textId="71F63558" w:rsidR="00416C03" w:rsidRPr="0097014F" w:rsidRDefault="00416C03" w:rsidP="00A86974">
      <w:pPr>
        <w:pStyle w:val="ListParagraph"/>
        <w:numPr>
          <w:ilvl w:val="0"/>
          <w:numId w:val="38"/>
        </w:numPr>
      </w:pPr>
      <w:r w:rsidRPr="0097014F">
        <w:t>Technology agnostic view</w:t>
      </w:r>
    </w:p>
    <w:p w14:paraId="06EB3405" w14:textId="2D1D8874" w:rsidR="00416C03" w:rsidRDefault="00416C03" w:rsidP="00A86974">
      <w:pPr>
        <w:pStyle w:val="ListParagraph"/>
        <w:numPr>
          <w:ilvl w:val="0"/>
          <w:numId w:val="12"/>
        </w:numPr>
      </w:pPr>
      <w:r>
        <w:t>The ES</w:t>
      </w:r>
      <w:r w:rsidR="00D16C1D">
        <w:t>MA</w:t>
      </w:r>
      <w:r>
        <w:t xml:space="preserve"> call for evidence suggest explicitly that the technological development relates to the reliance on the distributed ledger technology. It is important to remind ESMA that this is one technology amongst others that can support a settlement model transition and that the technology agnostic view should be privileged.</w:t>
      </w:r>
    </w:p>
    <w:p w14:paraId="0837508D" w14:textId="01B540FB" w:rsidR="00416C03" w:rsidRPr="0006692D" w:rsidRDefault="00416C03" w:rsidP="00A86974">
      <w:pPr>
        <w:pStyle w:val="ListParagraph"/>
        <w:numPr>
          <w:ilvl w:val="0"/>
          <w:numId w:val="12"/>
        </w:numPr>
      </w:pPr>
      <w:r>
        <w:lastRenderedPageBreak/>
        <w:t>To this respect, the cost related to interoperability of systems should not be overlooked</w:t>
      </w:r>
      <w:r w:rsidR="00C043B6">
        <w:t>.</w:t>
      </w:r>
    </w:p>
    <w:permEnd w:id="1238857977"/>
    <w:p w14:paraId="39592726" w14:textId="77777777" w:rsidR="00C5469A" w:rsidRDefault="00C5469A" w:rsidP="00C5469A">
      <w:r>
        <w:t>&lt;ESMA_QUESTION_SETT_5&gt;</w:t>
      </w:r>
    </w:p>
    <w:p w14:paraId="2C3FAB8E" w14:textId="77777777" w:rsidR="00C5469A" w:rsidRDefault="00C5469A" w:rsidP="00C5469A"/>
    <w:p w14:paraId="21A53CC1" w14:textId="77777777" w:rsidR="00C5469A" w:rsidRDefault="00C5469A" w:rsidP="00C5469A">
      <w:pPr>
        <w:pStyle w:val="Questionstyle"/>
        <w:numPr>
          <w:ilvl w:val="0"/>
          <w:numId w:val="14"/>
        </w:numPr>
      </w:pPr>
      <w:r>
        <w:t>: In your view, by how much would settlement fails increase if T+1 would be required in the short, medium and long term? What about T+0? Please provide estimates where possible.</w:t>
      </w:r>
    </w:p>
    <w:p w14:paraId="5B188D9B" w14:textId="77777777" w:rsidR="00C5469A" w:rsidRDefault="00C5469A" w:rsidP="00C5469A">
      <w:r>
        <w:t>&lt;ESMA_QUESTION_SETT_6&gt;</w:t>
      </w:r>
    </w:p>
    <w:p w14:paraId="1D2597CE" w14:textId="48FBA5EF" w:rsidR="004D0DE1" w:rsidRPr="00D04DE7" w:rsidRDefault="00057F47" w:rsidP="004D0DE1">
      <w:pPr>
        <w:spacing w:after="0" w:line="240" w:lineRule="auto"/>
        <w:rPr>
          <w:rFonts w:eastAsia="Times New Roman" w:cstheme="minorHAnsi"/>
          <w:color w:val="000000"/>
          <w:szCs w:val="22"/>
          <w:lang w:val="en-IE" w:eastAsia="en-IE"/>
        </w:rPr>
      </w:pPr>
      <w:permStart w:id="367399486" w:edGrp="everyone"/>
      <w:r w:rsidRPr="00D04DE7">
        <w:rPr>
          <w:rFonts w:eastAsia="Times New Roman" w:cstheme="minorHAnsi"/>
          <w:color w:val="000000"/>
          <w:szCs w:val="22"/>
          <w:lang w:val="en-IE" w:eastAsia="en-IE"/>
        </w:rPr>
        <w:t xml:space="preserve">This is </w:t>
      </w:r>
      <w:r w:rsidR="004D0DE1" w:rsidRPr="00D04DE7">
        <w:rPr>
          <w:rFonts w:eastAsia="Times New Roman" w:cstheme="minorHAnsi"/>
          <w:color w:val="000000"/>
          <w:szCs w:val="22"/>
          <w:lang w:val="en-IE" w:eastAsia="en-IE"/>
        </w:rPr>
        <w:t>hard to estimate, currently we have approx</w:t>
      </w:r>
      <w:r w:rsidR="002A2C69" w:rsidRPr="00D04DE7">
        <w:rPr>
          <w:rFonts w:eastAsia="Times New Roman" w:cstheme="minorHAnsi"/>
          <w:color w:val="000000"/>
          <w:szCs w:val="22"/>
          <w:lang w:val="en-IE" w:eastAsia="en-IE"/>
        </w:rPr>
        <w:t xml:space="preserve">imately </w:t>
      </w:r>
      <w:r w:rsidR="004D0DE1" w:rsidRPr="00D04DE7">
        <w:rPr>
          <w:rFonts w:eastAsia="Times New Roman" w:cstheme="minorHAnsi"/>
          <w:color w:val="000000"/>
          <w:szCs w:val="22"/>
          <w:lang w:val="en-IE" w:eastAsia="en-IE"/>
        </w:rPr>
        <w:t>10% of trades unmatched on T0 in the US market. If there is no increased level of STP in the matching process (i.e. electronic matching for CPs/CDs, etc…) the T+0 settlement cycle will be adding more burden and complexity to monitor all the exceptions.</w:t>
      </w:r>
    </w:p>
    <w:p w14:paraId="1FDEE052" w14:textId="77777777" w:rsidR="0064344B" w:rsidRDefault="0064344B" w:rsidP="00C043B6">
      <w:pPr>
        <w:rPr>
          <w:b/>
          <w:bCs/>
        </w:rPr>
      </w:pPr>
    </w:p>
    <w:p w14:paraId="52D13CCD" w14:textId="2CCF182A" w:rsidR="00C043B6" w:rsidRPr="0064344B" w:rsidRDefault="00C043B6" w:rsidP="00C043B6">
      <w:pPr>
        <w:rPr>
          <w:bCs/>
          <w:color w:val="auto"/>
        </w:rPr>
      </w:pPr>
      <w:r w:rsidRPr="0064344B">
        <w:rPr>
          <w:bCs/>
        </w:rPr>
        <w:t>Increase in settlement fails:</w:t>
      </w:r>
    </w:p>
    <w:p w14:paraId="5A2DE471" w14:textId="77777777" w:rsidR="00016E29" w:rsidRDefault="00C043B6" w:rsidP="00C5469A">
      <w:r>
        <w:t>We believe there would be an increase in settlement fails in the EU markets with a shift to T+1. However, it’s difficult to quantify this. We think the U.S. market, transitioning to T+1 settlement with its singular CSD, will serve as a notable indicator, especially in contrast to the EU's market which operates with multiple CSDs.</w:t>
      </w:r>
    </w:p>
    <w:permEnd w:id="367399486"/>
    <w:p w14:paraId="2CF84BCC" w14:textId="7D3AF74B" w:rsidR="00C5469A" w:rsidRDefault="00C5469A" w:rsidP="00C5469A">
      <w:r>
        <w:t>&lt;ESMA_QUESTION_SETT_6&gt;</w:t>
      </w:r>
    </w:p>
    <w:p w14:paraId="4C80899B" w14:textId="77777777" w:rsidR="00C5469A" w:rsidRDefault="00C5469A" w:rsidP="00C5469A"/>
    <w:p w14:paraId="7A2BD77F" w14:textId="77777777" w:rsidR="00C5469A" w:rsidRDefault="00C5469A" w:rsidP="00C5469A">
      <w:pPr>
        <w:pStyle w:val="Questionstyle"/>
        <w:numPr>
          <w:ilvl w:val="0"/>
          <w:numId w:val="14"/>
        </w:numPr>
      </w:pPr>
      <w:r>
        <w:t>: In your opinion, would the increase in settlement fails/cash penalties remain permanent or would you expect settlement efficiency to come back to higher rates with time? Please elaborate.</w:t>
      </w:r>
    </w:p>
    <w:p w14:paraId="7EF71B51" w14:textId="77777777" w:rsidR="00C5469A" w:rsidRDefault="00C5469A" w:rsidP="00C5469A">
      <w:r>
        <w:t>&lt;ESMA_QUESTION_SETT_7&gt;</w:t>
      </w:r>
    </w:p>
    <w:p w14:paraId="68E0001D" w14:textId="7E29655D" w:rsidR="00C5469A" w:rsidRPr="00D04DE7" w:rsidRDefault="004D0DE1" w:rsidP="00D04DE7">
      <w:pPr>
        <w:spacing w:after="0" w:line="240" w:lineRule="auto"/>
        <w:rPr>
          <w:rFonts w:cstheme="minorHAnsi"/>
        </w:rPr>
      </w:pPr>
      <w:permStart w:id="1217420632" w:edGrp="everyone"/>
      <w:r w:rsidRPr="00D04DE7">
        <w:rPr>
          <w:rFonts w:eastAsia="Times New Roman" w:cstheme="minorHAnsi"/>
          <w:color w:val="000000"/>
          <w:szCs w:val="22"/>
          <w:lang w:val="en-IE" w:eastAsia="en-IE"/>
        </w:rPr>
        <w:t>As mentioned above, we would expect more STP/automated process to support the T+0 settlement cycle. Brokers who do not use electronic matching platforms should not be allowed to do business in such short settlement cycle markets</w:t>
      </w:r>
      <w:r w:rsidR="00D04DE7" w:rsidRPr="00D04DE7">
        <w:rPr>
          <w:rFonts w:eastAsia="Times New Roman" w:cstheme="minorHAnsi"/>
          <w:color w:val="000000"/>
          <w:szCs w:val="22"/>
          <w:lang w:val="en-IE" w:eastAsia="en-IE"/>
        </w:rPr>
        <w:t>.</w:t>
      </w:r>
    </w:p>
    <w:permEnd w:id="1217420632"/>
    <w:p w14:paraId="747144F4" w14:textId="77777777" w:rsidR="00C5469A" w:rsidRDefault="00C5469A" w:rsidP="00C5469A">
      <w:r>
        <w:t>&lt;ESMA_QUESTION_SETT_7&gt;</w:t>
      </w:r>
    </w:p>
    <w:p w14:paraId="386F3E7A" w14:textId="23022D63" w:rsidR="00C5469A" w:rsidRDefault="00C5469A" w:rsidP="00C5469A"/>
    <w:p w14:paraId="2593F09B" w14:textId="77777777" w:rsidR="00C5469A" w:rsidRDefault="00C5469A" w:rsidP="00C5469A"/>
    <w:p w14:paraId="1EBC8F49" w14:textId="77777777" w:rsidR="00C5469A" w:rsidRDefault="00C5469A" w:rsidP="00C5469A">
      <w:pPr>
        <w:pStyle w:val="Questionstyle"/>
        <w:numPr>
          <w:ilvl w:val="0"/>
          <w:numId w:val="14"/>
        </w:numPr>
        <w:ind w:left="0"/>
      </w:pPr>
      <w:r>
        <w:lastRenderedPageBreak/>
        <w:t>: Is there any other cost (in particular those resulting from potential impacts to trading identified in the previous section) that ESMA should take into consideration? If yes, please describe the type of cost and provide estimates.</w:t>
      </w:r>
    </w:p>
    <w:p w14:paraId="42D1A981" w14:textId="77777777" w:rsidR="00C5469A" w:rsidRDefault="00C5469A" w:rsidP="00C5469A">
      <w:r>
        <w:t>&lt;ESMA_QUESTION_SETT_8&gt;</w:t>
      </w:r>
    </w:p>
    <w:p w14:paraId="0060865F" w14:textId="42FA2CB1" w:rsidR="00C5469A" w:rsidRDefault="00052CF2" w:rsidP="00C5469A">
      <w:permStart w:id="736563321" w:edGrp="everyone"/>
      <w:r>
        <w:t>We have mentioned all costs in the response to Q5.</w:t>
      </w:r>
    </w:p>
    <w:permEnd w:id="736563321"/>
    <w:p w14:paraId="120F8916" w14:textId="77777777" w:rsidR="00C5469A" w:rsidRDefault="00C5469A" w:rsidP="00C5469A">
      <w:r>
        <w:t>&lt;ESMA_QUESTION_SETT_8&gt;</w:t>
      </w:r>
    </w:p>
    <w:p w14:paraId="790AC8AA" w14:textId="77777777" w:rsidR="00C5469A" w:rsidRDefault="00C5469A" w:rsidP="00C5469A"/>
    <w:p w14:paraId="2DC10864" w14:textId="77777777" w:rsidR="00C5469A" w:rsidRDefault="00C5469A" w:rsidP="00C5469A">
      <w:pPr>
        <w:pStyle w:val="Questionstyle"/>
        <w:numPr>
          <w:ilvl w:val="0"/>
          <w:numId w:val="14"/>
        </w:numPr>
        <w:ind w:left="0"/>
      </w:pPr>
      <w:r>
        <w:t>: Do you agree with the mentioned benefits? Are there other benefits that should be accounted for in the assessment of an eventual shortening of the securities settlement cycle?</w:t>
      </w:r>
    </w:p>
    <w:p w14:paraId="616BC043" w14:textId="77777777" w:rsidR="00C5469A" w:rsidRDefault="00C5469A" w:rsidP="00C5469A">
      <w:r>
        <w:t>&lt;ESMA_QUESTION_SETT_9&gt;</w:t>
      </w:r>
    </w:p>
    <w:p w14:paraId="7663A8D7" w14:textId="367FC58A" w:rsidR="009E4699" w:rsidRPr="00016E29" w:rsidRDefault="009E4699" w:rsidP="004D0DE1">
      <w:pPr>
        <w:spacing w:after="0" w:line="240" w:lineRule="auto"/>
        <w:rPr>
          <w:rFonts w:eastAsia="Times New Roman" w:cstheme="minorHAnsi"/>
          <w:color w:val="000000"/>
          <w:szCs w:val="22"/>
          <w:lang w:val="en-IE" w:eastAsia="en-IE"/>
        </w:rPr>
      </w:pPr>
      <w:permStart w:id="1982556193" w:edGrp="everyone"/>
      <w:r w:rsidRPr="00016E29">
        <w:rPr>
          <w:rFonts w:eastAsia="Times New Roman" w:cstheme="minorHAnsi"/>
          <w:color w:val="000000"/>
          <w:szCs w:val="22"/>
          <w:lang w:val="en-IE" w:eastAsia="en-IE"/>
        </w:rPr>
        <w:t xml:space="preserve">Official benefits are </w:t>
      </w:r>
      <w:r w:rsidR="00052CF2" w:rsidRPr="00016E29">
        <w:rPr>
          <w:rFonts w:eastAsia="Times New Roman" w:cstheme="minorHAnsi"/>
          <w:color w:val="000000"/>
          <w:szCs w:val="22"/>
          <w:lang w:val="en-IE" w:eastAsia="en-IE"/>
        </w:rPr>
        <w:t xml:space="preserve">formulated </w:t>
      </w:r>
      <w:r w:rsidRPr="00016E29">
        <w:rPr>
          <w:rFonts w:eastAsia="Times New Roman" w:cstheme="minorHAnsi"/>
          <w:color w:val="000000"/>
          <w:szCs w:val="22"/>
          <w:lang w:val="en-IE" w:eastAsia="en-IE"/>
        </w:rPr>
        <w:t>f</w:t>
      </w:r>
      <w:r w:rsidR="00052CF2" w:rsidRPr="00016E29">
        <w:rPr>
          <w:rFonts w:eastAsia="Times New Roman" w:cstheme="minorHAnsi"/>
          <w:color w:val="000000"/>
          <w:szCs w:val="22"/>
          <w:lang w:val="en-IE" w:eastAsia="en-IE"/>
        </w:rPr>
        <w:t>rom</w:t>
      </w:r>
      <w:r w:rsidRPr="00016E29">
        <w:rPr>
          <w:rFonts w:eastAsia="Times New Roman" w:cstheme="minorHAnsi"/>
          <w:color w:val="000000"/>
          <w:szCs w:val="22"/>
          <w:lang w:val="en-IE" w:eastAsia="en-IE"/>
        </w:rPr>
        <w:t xml:space="preserve"> the perspective of the sell-side with less capital</w:t>
      </w:r>
      <w:r w:rsidR="00052CF2" w:rsidRPr="00016E29">
        <w:rPr>
          <w:rFonts w:eastAsia="Times New Roman" w:cstheme="minorHAnsi"/>
          <w:color w:val="000000"/>
          <w:szCs w:val="22"/>
          <w:lang w:val="en-IE" w:eastAsia="en-IE"/>
        </w:rPr>
        <w:t>/collateral</w:t>
      </w:r>
      <w:r w:rsidRPr="00016E29">
        <w:rPr>
          <w:rFonts w:eastAsia="Times New Roman" w:cstheme="minorHAnsi"/>
          <w:color w:val="000000"/>
          <w:szCs w:val="22"/>
          <w:lang w:val="en-IE" w:eastAsia="en-IE"/>
        </w:rPr>
        <w:t xml:space="preserve"> requirements</w:t>
      </w:r>
      <w:r w:rsidR="00052CF2" w:rsidRPr="00016E29">
        <w:rPr>
          <w:rFonts w:eastAsia="Times New Roman" w:cstheme="minorHAnsi"/>
          <w:color w:val="000000"/>
          <w:szCs w:val="22"/>
          <w:lang w:val="en-IE" w:eastAsia="en-IE"/>
        </w:rPr>
        <w:t xml:space="preserve"> mainly.</w:t>
      </w:r>
    </w:p>
    <w:p w14:paraId="6C78B52D" w14:textId="77777777" w:rsidR="00052CF2" w:rsidRPr="00016E29" w:rsidRDefault="009E4699" w:rsidP="00C5469A">
      <w:pPr>
        <w:rPr>
          <w:rFonts w:eastAsia="Times New Roman" w:cstheme="minorHAnsi"/>
          <w:color w:val="000000"/>
          <w:szCs w:val="22"/>
          <w:lang w:val="en-IE" w:eastAsia="en-IE"/>
        </w:rPr>
      </w:pPr>
      <w:r w:rsidRPr="00016E29">
        <w:rPr>
          <w:rFonts w:eastAsia="Times New Roman" w:cstheme="minorHAnsi"/>
          <w:color w:val="000000"/>
          <w:szCs w:val="22"/>
          <w:lang w:val="en-IE" w:eastAsia="en-IE"/>
        </w:rPr>
        <w:t>From the perspective of the buy-side, o</w:t>
      </w:r>
      <w:r w:rsidR="004D0DE1" w:rsidRPr="00016E29">
        <w:rPr>
          <w:rFonts w:eastAsia="Times New Roman" w:cstheme="minorHAnsi"/>
          <w:color w:val="000000"/>
          <w:szCs w:val="22"/>
          <w:lang w:val="en-IE" w:eastAsia="en-IE"/>
        </w:rPr>
        <w:t xml:space="preserve">perationally speaking, we do not see </w:t>
      </w:r>
      <w:r w:rsidR="00052CF2" w:rsidRPr="00016E29">
        <w:rPr>
          <w:rFonts w:eastAsia="Times New Roman" w:cstheme="minorHAnsi"/>
          <w:color w:val="000000"/>
          <w:szCs w:val="22"/>
          <w:lang w:val="en-IE" w:eastAsia="en-IE"/>
        </w:rPr>
        <w:t xml:space="preserve">direct </w:t>
      </w:r>
      <w:r w:rsidR="004D0DE1" w:rsidRPr="00016E29">
        <w:rPr>
          <w:rFonts w:eastAsia="Times New Roman" w:cstheme="minorHAnsi"/>
          <w:color w:val="000000"/>
          <w:szCs w:val="22"/>
          <w:lang w:val="en-IE" w:eastAsia="en-IE"/>
        </w:rPr>
        <w:t>benefits at this stag</w:t>
      </w:r>
      <w:r w:rsidRPr="00016E29">
        <w:rPr>
          <w:rFonts w:eastAsia="Times New Roman" w:cstheme="minorHAnsi"/>
          <w:color w:val="000000"/>
          <w:szCs w:val="22"/>
          <w:lang w:val="en-IE" w:eastAsia="en-IE"/>
        </w:rPr>
        <w:t xml:space="preserve">e; </w:t>
      </w:r>
      <w:r w:rsidR="004D0DE1" w:rsidRPr="00016E29">
        <w:rPr>
          <w:rFonts w:eastAsia="Times New Roman" w:cstheme="minorHAnsi"/>
          <w:color w:val="000000"/>
          <w:szCs w:val="22"/>
          <w:lang w:val="en-IE" w:eastAsia="en-IE"/>
        </w:rPr>
        <w:t>to the contrary, more burden</w:t>
      </w:r>
      <w:r w:rsidRPr="00016E29">
        <w:rPr>
          <w:rFonts w:eastAsia="Times New Roman" w:cstheme="minorHAnsi"/>
          <w:color w:val="000000"/>
          <w:szCs w:val="22"/>
          <w:lang w:val="en-IE" w:eastAsia="en-IE"/>
        </w:rPr>
        <w:t>.</w:t>
      </w:r>
    </w:p>
    <w:permEnd w:id="1982556193"/>
    <w:p w14:paraId="279B3093" w14:textId="7A035249" w:rsidR="00C5469A" w:rsidRDefault="00C5469A" w:rsidP="00C5469A">
      <w:r>
        <w:t>&lt;ESMA_QUESTION_SETT_9&gt;</w:t>
      </w:r>
    </w:p>
    <w:p w14:paraId="07A35032" w14:textId="77777777" w:rsidR="00C5469A" w:rsidRDefault="00C5469A" w:rsidP="00C5469A"/>
    <w:p w14:paraId="1F484B02" w14:textId="70286B38" w:rsidR="00C5469A" w:rsidRDefault="00C5469A" w:rsidP="00C5469A">
      <w:pPr>
        <w:pStyle w:val="Questionstyle"/>
        <w:numPr>
          <w:ilvl w:val="0"/>
          <w:numId w:val="14"/>
        </w:numPr>
        <w:ind w:left="0"/>
      </w:pPr>
      <w:r>
        <w:t>:Please quantify the expected savings from an eventual reduction of collateral requirements derived from T+1 and T+0 (for cleared transactions as well as for non-cleared transactions subject to margin requirements).</w:t>
      </w:r>
    </w:p>
    <w:p w14:paraId="33725216" w14:textId="77777777" w:rsidR="00C5469A" w:rsidRDefault="00C5469A" w:rsidP="00C5469A">
      <w:r>
        <w:t>&lt;ESMA_QUESTION_SETT_10&gt;</w:t>
      </w:r>
    </w:p>
    <w:p w14:paraId="253F1EAA" w14:textId="1909C8E1" w:rsidR="00052CF2" w:rsidRDefault="00052CF2" w:rsidP="00C5469A">
      <w:pPr>
        <w:rPr>
          <w:rFonts w:ascii="Calibri" w:eastAsia="Times New Roman" w:hAnsi="Calibri" w:cs="Calibri"/>
          <w:color w:val="000000"/>
          <w:szCs w:val="22"/>
          <w:lang w:val="en-IE" w:eastAsia="en-IE"/>
        </w:rPr>
      </w:pPr>
      <w:permStart w:id="639642393" w:edGrp="everyone"/>
      <w:r w:rsidRPr="00016E29">
        <w:rPr>
          <w:rFonts w:eastAsia="Times New Roman" w:cstheme="minorHAnsi"/>
          <w:color w:val="000000"/>
          <w:szCs w:val="22"/>
          <w:lang w:val="en-IE" w:eastAsia="en-IE"/>
        </w:rPr>
        <w:t xml:space="preserve">We are not in a </w:t>
      </w:r>
      <w:r w:rsidR="004D0DE1" w:rsidRPr="00016E29">
        <w:rPr>
          <w:rFonts w:eastAsia="Times New Roman" w:cstheme="minorHAnsi"/>
          <w:color w:val="000000"/>
          <w:szCs w:val="22"/>
          <w:lang w:val="en-IE" w:eastAsia="en-IE"/>
        </w:rPr>
        <w:t xml:space="preserve">position to </w:t>
      </w:r>
      <w:r w:rsidRPr="00016E29">
        <w:rPr>
          <w:rFonts w:eastAsia="Times New Roman" w:cstheme="minorHAnsi"/>
          <w:color w:val="000000"/>
          <w:szCs w:val="22"/>
          <w:lang w:val="en-IE" w:eastAsia="en-IE"/>
        </w:rPr>
        <w:t>assess this</w:t>
      </w:r>
      <w:r w:rsidR="00016E29">
        <w:rPr>
          <w:rFonts w:eastAsia="Times New Roman" w:cstheme="minorHAnsi"/>
          <w:color w:val="000000"/>
          <w:szCs w:val="22"/>
          <w:lang w:val="en-IE" w:eastAsia="en-IE"/>
        </w:rPr>
        <w:t xml:space="preserve"> aspect </w:t>
      </w:r>
      <w:r w:rsidR="004D0DE1" w:rsidRPr="00016E29">
        <w:rPr>
          <w:rFonts w:eastAsia="Times New Roman" w:cstheme="minorHAnsi"/>
          <w:color w:val="000000"/>
          <w:szCs w:val="22"/>
          <w:lang w:val="en-IE" w:eastAsia="en-IE"/>
        </w:rPr>
        <w:t>yet</w:t>
      </w:r>
      <w:r>
        <w:rPr>
          <w:rFonts w:ascii="Calibri" w:eastAsia="Times New Roman" w:hAnsi="Calibri" w:cs="Calibri"/>
          <w:color w:val="000000"/>
          <w:szCs w:val="22"/>
          <w:lang w:val="en-IE" w:eastAsia="en-IE"/>
        </w:rPr>
        <w:t>.</w:t>
      </w:r>
    </w:p>
    <w:permEnd w:id="639642393"/>
    <w:p w14:paraId="4C4DCD26" w14:textId="5FC86106" w:rsidR="00C5469A" w:rsidRDefault="00C5469A" w:rsidP="00C5469A">
      <w:r>
        <w:t>&lt;ESMA_QUESTION_SETT_10&gt;</w:t>
      </w:r>
    </w:p>
    <w:p w14:paraId="5FC40AB6" w14:textId="30F37AE7" w:rsidR="00C5469A" w:rsidRDefault="00C5469A" w:rsidP="00C5469A"/>
    <w:p w14:paraId="07BEC62A" w14:textId="3CC4EF5B" w:rsidR="00C5469A" w:rsidRDefault="00C5469A" w:rsidP="00C5469A"/>
    <w:p w14:paraId="6A1F5571" w14:textId="4F1DB2A8" w:rsidR="00C5469A" w:rsidRDefault="00C5469A" w:rsidP="00C5469A"/>
    <w:p w14:paraId="415BB25E" w14:textId="77777777" w:rsidR="00C5469A" w:rsidRDefault="00C5469A" w:rsidP="00C5469A"/>
    <w:p w14:paraId="7EDBD522" w14:textId="77777777" w:rsidR="00C5469A" w:rsidRDefault="00C5469A" w:rsidP="00C5469A">
      <w:pPr>
        <w:pStyle w:val="Questionstyle"/>
        <w:numPr>
          <w:ilvl w:val="0"/>
          <w:numId w:val="14"/>
        </w:numPr>
        <w:ind w:left="0"/>
      </w:pPr>
      <w:r>
        <w:t>: If possible, please provide estimates of the benefits that you would expect from T+1 and from T+0, for example the on-going savings of potentially more automated processes.</w:t>
      </w:r>
    </w:p>
    <w:p w14:paraId="528C8491" w14:textId="77777777" w:rsidR="00C5469A" w:rsidRDefault="00C5469A" w:rsidP="00C5469A">
      <w:r>
        <w:t>&lt;ESMA_QUESTION_SETT_11&gt;</w:t>
      </w:r>
    </w:p>
    <w:p w14:paraId="0A95F1BC" w14:textId="2ECD773C" w:rsidR="004D0DE1" w:rsidRPr="00016E29" w:rsidRDefault="00D5077B" w:rsidP="004D0DE1">
      <w:pPr>
        <w:spacing w:after="0" w:line="240" w:lineRule="auto"/>
        <w:rPr>
          <w:rFonts w:eastAsia="Times New Roman" w:cstheme="minorHAnsi"/>
          <w:color w:val="000000"/>
          <w:szCs w:val="22"/>
          <w:lang w:val="en-IE" w:eastAsia="en-IE"/>
        </w:rPr>
      </w:pPr>
      <w:permStart w:id="78006216" w:edGrp="everyone"/>
      <w:r w:rsidRPr="00016E29">
        <w:rPr>
          <w:rFonts w:eastAsia="Times New Roman" w:cstheme="minorHAnsi"/>
          <w:color w:val="000000"/>
          <w:szCs w:val="22"/>
          <w:lang w:val="en-IE" w:eastAsia="en-IE"/>
        </w:rPr>
        <w:t>S</w:t>
      </w:r>
      <w:r w:rsidR="004D0DE1" w:rsidRPr="00016E29">
        <w:rPr>
          <w:rFonts w:eastAsia="Times New Roman" w:cstheme="minorHAnsi"/>
          <w:color w:val="000000"/>
          <w:szCs w:val="22"/>
          <w:lang w:val="en-IE" w:eastAsia="en-IE"/>
        </w:rPr>
        <w:t>eeing benefits at this stage is a bit too soon. The T+0 environment will deliver benefits only if we can take advantage of fully STP processes/blockchain/tokenization</w:t>
      </w:r>
      <w:r w:rsidRPr="00016E29">
        <w:rPr>
          <w:rFonts w:eastAsia="Times New Roman" w:cstheme="minorHAnsi"/>
          <w:color w:val="000000"/>
          <w:szCs w:val="22"/>
          <w:lang w:val="en-IE" w:eastAsia="en-IE"/>
        </w:rPr>
        <w:t>.</w:t>
      </w:r>
    </w:p>
    <w:p w14:paraId="2A0DC6E8" w14:textId="77777777" w:rsidR="00016E29" w:rsidRDefault="00016E29" w:rsidP="00016E29">
      <w:pPr>
        <w:ind w:left="1080"/>
      </w:pPr>
    </w:p>
    <w:p w14:paraId="1BEDA766" w14:textId="7DB87FDA" w:rsidR="00416C03" w:rsidRPr="006B1E1C" w:rsidRDefault="00416C03" w:rsidP="00A86974">
      <w:pPr>
        <w:pStyle w:val="ListParagraph"/>
        <w:numPr>
          <w:ilvl w:val="0"/>
          <w:numId w:val="13"/>
        </w:numPr>
      </w:pPr>
      <w:r w:rsidRPr="006B1E1C">
        <w:t>Factors to reach benefits</w:t>
      </w:r>
    </w:p>
    <w:p w14:paraId="073BBC24" w14:textId="1261C52A" w:rsidR="00416C03" w:rsidRDefault="00A86974" w:rsidP="00A86974">
      <w:pPr>
        <w:pStyle w:val="ListParagraph"/>
        <w:numPr>
          <w:ilvl w:val="0"/>
          <w:numId w:val="0"/>
        </w:numPr>
        <w:ind w:left="720"/>
      </w:pPr>
      <w:r>
        <w:t xml:space="preserve">a) </w:t>
      </w:r>
      <w:r w:rsidR="00416C03">
        <w:t>Assuming that all FMPS would be moving to T+1 settlement in a robust and effective way, the known list of benefits would be in particular:</w:t>
      </w:r>
    </w:p>
    <w:p w14:paraId="19AD5A84" w14:textId="36C66DFA" w:rsidR="00416C03" w:rsidRDefault="00A86974" w:rsidP="00A86974">
      <w:pPr>
        <w:pStyle w:val="ListParagraph"/>
        <w:numPr>
          <w:ilvl w:val="0"/>
          <w:numId w:val="0"/>
        </w:numPr>
        <w:ind w:left="720"/>
      </w:pPr>
      <w:r>
        <w:t xml:space="preserve">b) </w:t>
      </w:r>
      <w:r w:rsidR="00416C03">
        <w:t>the streamlining of the process</w:t>
      </w:r>
    </w:p>
    <w:p w14:paraId="2A763E97" w14:textId="49BE6A7C" w:rsidR="00416C03" w:rsidRDefault="00A86974" w:rsidP="00A86974">
      <w:pPr>
        <w:pStyle w:val="ListParagraph"/>
        <w:numPr>
          <w:ilvl w:val="0"/>
          <w:numId w:val="0"/>
        </w:numPr>
        <w:ind w:left="720"/>
      </w:pPr>
      <w:r>
        <w:t xml:space="preserve">c) </w:t>
      </w:r>
      <w:r w:rsidR="00416C03">
        <w:t>the adoption of new models (e.g. ‘follow the sun’ trading model)</w:t>
      </w:r>
    </w:p>
    <w:p w14:paraId="154BE905" w14:textId="7186DBCA" w:rsidR="00416C03" w:rsidRDefault="00A86974" w:rsidP="00A86974">
      <w:pPr>
        <w:pStyle w:val="ListParagraph"/>
        <w:numPr>
          <w:ilvl w:val="0"/>
          <w:numId w:val="0"/>
        </w:numPr>
        <w:ind w:left="720"/>
      </w:pPr>
      <w:r>
        <w:t xml:space="preserve">d) </w:t>
      </w:r>
      <w:r w:rsidR="00416C03">
        <w:t>the reduction of the manual processes and corresponding operational costs</w:t>
      </w:r>
    </w:p>
    <w:p w14:paraId="1C372735" w14:textId="6D89A1CC" w:rsidR="00416C03" w:rsidRDefault="00A86974" w:rsidP="00A86974">
      <w:pPr>
        <w:pStyle w:val="ListParagraph"/>
        <w:numPr>
          <w:ilvl w:val="0"/>
          <w:numId w:val="0"/>
        </w:numPr>
        <w:ind w:left="720"/>
      </w:pPr>
      <w:r>
        <w:t xml:space="preserve">e) </w:t>
      </w:r>
      <w:r w:rsidR="00416C03">
        <w:t>the efficiency gains</w:t>
      </w:r>
    </w:p>
    <w:p w14:paraId="0AE7CD30" w14:textId="1D233D35" w:rsidR="00416C03" w:rsidRDefault="00A86974" w:rsidP="00A86974">
      <w:pPr>
        <w:pStyle w:val="ListParagraph"/>
        <w:numPr>
          <w:ilvl w:val="0"/>
          <w:numId w:val="0"/>
        </w:numPr>
        <w:ind w:left="720"/>
      </w:pPr>
      <w:r>
        <w:t xml:space="preserve">f) </w:t>
      </w:r>
      <w:r w:rsidR="00416C03">
        <w:t>a global alignment</w:t>
      </w:r>
    </w:p>
    <w:p w14:paraId="79B74F00" w14:textId="427CEE84" w:rsidR="00416C03" w:rsidRDefault="00A86974" w:rsidP="00A86974">
      <w:pPr>
        <w:pStyle w:val="ListParagraph"/>
        <w:numPr>
          <w:ilvl w:val="0"/>
          <w:numId w:val="0"/>
        </w:numPr>
        <w:ind w:left="720"/>
      </w:pPr>
      <w:r>
        <w:t xml:space="preserve">h) </w:t>
      </w:r>
      <w:r w:rsidR="00416C03">
        <w:t>The most critical requirement is that all market participants would move to the same cycle (e.g. T+1) and the same “technicality” (i.e. technology alignment of all players), allowing to reap the benefit above mentioned and leverage on the technologies.</w:t>
      </w:r>
    </w:p>
    <w:p w14:paraId="085EA56B" w14:textId="1E79A443" w:rsidR="00416C03" w:rsidRDefault="00A86974" w:rsidP="00A86974">
      <w:pPr>
        <w:pStyle w:val="ListParagraph"/>
        <w:numPr>
          <w:ilvl w:val="0"/>
          <w:numId w:val="0"/>
        </w:numPr>
        <w:ind w:left="720"/>
      </w:pPr>
      <w:r>
        <w:t xml:space="preserve">i) </w:t>
      </w:r>
      <w:r w:rsidR="00416C03">
        <w:t>These remain strong assumptions but they are prerequisite for the existence of the benefits associated with the shortening of the settlement cycle.</w:t>
      </w:r>
    </w:p>
    <w:p w14:paraId="31FCBB6F" w14:textId="77777777" w:rsidR="00416C03" w:rsidRDefault="00416C03" w:rsidP="00820E7E">
      <w:pPr>
        <w:ind w:left="1440"/>
      </w:pPr>
    </w:p>
    <w:p w14:paraId="47AF68B1" w14:textId="77777777" w:rsidR="00416C03" w:rsidRPr="006B1E1C" w:rsidRDefault="00416C03" w:rsidP="00A86974">
      <w:pPr>
        <w:pStyle w:val="ListParagraph"/>
        <w:numPr>
          <w:ilvl w:val="0"/>
          <w:numId w:val="13"/>
        </w:numPr>
      </w:pPr>
      <w:r w:rsidRPr="006B1E1C">
        <w:t>Competitiveness</w:t>
      </w:r>
    </w:p>
    <w:p w14:paraId="2F502033" w14:textId="77777777" w:rsidR="00416C03" w:rsidRDefault="00416C03" w:rsidP="00A86974">
      <w:pPr>
        <w:pStyle w:val="ListParagraph"/>
        <w:numPr>
          <w:ilvl w:val="0"/>
          <w:numId w:val="16"/>
        </w:numPr>
      </w:pPr>
      <w:r>
        <w:t xml:space="preserve">One of the major benefits of the shortening settlement cycle is to maintain a competitive positioning (applicable to both for T+1 and T+0). </w:t>
      </w:r>
    </w:p>
    <w:p w14:paraId="2FF00C76" w14:textId="77777777" w:rsidR="00416C03" w:rsidRDefault="00416C03" w:rsidP="00A86974">
      <w:pPr>
        <w:pStyle w:val="ListParagraph"/>
        <w:numPr>
          <w:ilvl w:val="0"/>
          <w:numId w:val="16"/>
        </w:numPr>
      </w:pPr>
      <w:r>
        <w:t>Accordingly, an alignment of global standard is required from a settlement and technological perspective to position the EU global competitiveness.</w:t>
      </w:r>
    </w:p>
    <w:p w14:paraId="271ACCBB" w14:textId="77777777" w:rsidR="00416C03" w:rsidRDefault="00416C03" w:rsidP="00A86974">
      <w:pPr>
        <w:pStyle w:val="ListParagraph"/>
        <w:numPr>
          <w:ilvl w:val="0"/>
          <w:numId w:val="16"/>
        </w:numPr>
      </w:pPr>
      <w:r>
        <w:t>A laggard positioning would be very harmful for the EU in this sphere.</w:t>
      </w:r>
    </w:p>
    <w:p w14:paraId="4A2CEECF" w14:textId="77777777" w:rsidR="00416C03" w:rsidRDefault="00416C03" w:rsidP="00A86974">
      <w:pPr>
        <w:pStyle w:val="ListParagraph"/>
        <w:numPr>
          <w:ilvl w:val="0"/>
          <w:numId w:val="16"/>
        </w:numPr>
      </w:pPr>
      <w:r>
        <w:t>In this context, the need of a coherent and aligned transition with a continuous and common momentum has been highlighted by past experience (e.g. buy-in regime implementation attempt).</w:t>
      </w:r>
    </w:p>
    <w:p w14:paraId="04994CB8" w14:textId="77777777" w:rsidR="00416C03" w:rsidRDefault="00416C03" w:rsidP="00820E7E">
      <w:pPr>
        <w:ind w:left="1080"/>
      </w:pPr>
    </w:p>
    <w:p w14:paraId="7A2BDA3F" w14:textId="56909B0E" w:rsidR="00416C03" w:rsidRPr="00755355" w:rsidRDefault="00416C03" w:rsidP="00A86974">
      <w:pPr>
        <w:pStyle w:val="ListParagraph"/>
        <w:numPr>
          <w:ilvl w:val="0"/>
          <w:numId w:val="13"/>
        </w:numPr>
      </w:pPr>
      <w:r w:rsidRPr="00755355">
        <w:t>Not the same benefits for all</w:t>
      </w:r>
    </w:p>
    <w:p w14:paraId="7F60A363" w14:textId="77777777" w:rsidR="00416C03" w:rsidRDefault="00416C03" w:rsidP="00A86974">
      <w:pPr>
        <w:pStyle w:val="ListParagraph"/>
        <w:numPr>
          <w:ilvl w:val="0"/>
          <w:numId w:val="17"/>
        </w:numPr>
      </w:pPr>
      <w:r>
        <w:t>Past experiences have highlighted that the benefits of such transition are firm and business model specific.</w:t>
      </w:r>
    </w:p>
    <w:p w14:paraId="3968FA96" w14:textId="77777777" w:rsidR="00416C03" w:rsidRPr="00755355" w:rsidRDefault="00416C03" w:rsidP="00A86974">
      <w:pPr>
        <w:pStyle w:val="ListParagraph"/>
        <w:numPr>
          <w:ilvl w:val="0"/>
          <w:numId w:val="17"/>
        </w:numPr>
      </w:pPr>
      <w:r>
        <w:t>As a matter of illustration, notable in the context of transfer agency, it has been observed that the advantages of follow the sun model were only available to sufficiently large players acting globally. Economies of scale is a leverage that is highly dependent on the players’ size.</w:t>
      </w:r>
    </w:p>
    <w:p w14:paraId="524FEE59" w14:textId="77777777" w:rsidR="00416C03" w:rsidRDefault="00416C03" w:rsidP="00820E7E">
      <w:pPr>
        <w:ind w:left="1080"/>
      </w:pPr>
    </w:p>
    <w:p w14:paraId="4DE9ED9F" w14:textId="26422346" w:rsidR="00416C03" w:rsidRPr="008F49E6" w:rsidRDefault="00416C03" w:rsidP="00A86974">
      <w:pPr>
        <w:pStyle w:val="ListParagraph"/>
        <w:numPr>
          <w:ilvl w:val="0"/>
          <w:numId w:val="13"/>
        </w:numPr>
      </w:pPr>
      <w:r w:rsidRPr="008F49E6">
        <w:lastRenderedPageBreak/>
        <w:t>Outreach as a benefit</w:t>
      </w:r>
    </w:p>
    <w:p w14:paraId="224DCD0C" w14:textId="77777777" w:rsidR="00416C03" w:rsidRDefault="00416C03" w:rsidP="00A86974">
      <w:pPr>
        <w:pStyle w:val="ListParagraph"/>
        <w:numPr>
          <w:ilvl w:val="0"/>
          <w:numId w:val="18"/>
        </w:numPr>
      </w:pPr>
      <w:r>
        <w:t>It is important to consider the access of new participants to financial market.</w:t>
      </w:r>
    </w:p>
    <w:p w14:paraId="1DC0087F" w14:textId="77777777" w:rsidR="00416C03" w:rsidRDefault="00416C03" w:rsidP="00A86974">
      <w:pPr>
        <w:pStyle w:val="ListParagraph"/>
        <w:numPr>
          <w:ilvl w:val="0"/>
          <w:numId w:val="18"/>
        </w:numPr>
      </w:pPr>
      <w:r>
        <w:t>Some investors have yet a limited appetite for investing in investment funds through the traditional financial markets due to their preferences for decentralised and digital interface and instant trading. It is observed they would tend to invest in direct line securities through digital investment platforms.</w:t>
      </w:r>
    </w:p>
    <w:p w14:paraId="6B12C062" w14:textId="77777777" w:rsidR="00416C03" w:rsidRDefault="00416C03" w:rsidP="00A86974">
      <w:pPr>
        <w:pStyle w:val="ListParagraph"/>
        <w:numPr>
          <w:ilvl w:val="0"/>
          <w:numId w:val="18"/>
        </w:numPr>
      </w:pPr>
      <w:r>
        <w:t xml:space="preserve">This among other refers to most recent cohort of investors favouring features that would be permissible by shorter settlement time. Hence reducing the settlement cycle for investing in investment funds would allow for catching these potential investors. </w:t>
      </w:r>
    </w:p>
    <w:p w14:paraId="496B5E0C" w14:textId="77777777" w:rsidR="00416C03" w:rsidRPr="008F49E6" w:rsidRDefault="00416C03" w:rsidP="00A86974">
      <w:pPr>
        <w:pStyle w:val="ListParagraph"/>
        <w:numPr>
          <w:ilvl w:val="0"/>
          <w:numId w:val="18"/>
        </w:numPr>
      </w:pPr>
      <w:r>
        <w:t>A key indirect benefit would be to obtain a larger outreach and opening access.</w:t>
      </w:r>
    </w:p>
    <w:p w14:paraId="3703C24F" w14:textId="0930D6E2" w:rsidR="00416C03" w:rsidRDefault="00416C03" w:rsidP="00416C03">
      <w:pPr>
        <w:rPr>
          <w:rFonts w:ascii="Open Sans" w:hAnsi="Open Sans" w:cs="Open Sans"/>
          <w:sz w:val="20"/>
        </w:rPr>
      </w:pPr>
    </w:p>
    <w:p w14:paraId="545CAD43" w14:textId="6BF0D0DE" w:rsidR="00D5077B" w:rsidRPr="008F49E6" w:rsidRDefault="00D5077B" w:rsidP="00A86974">
      <w:pPr>
        <w:pStyle w:val="ListParagraph"/>
        <w:numPr>
          <w:ilvl w:val="0"/>
          <w:numId w:val="13"/>
        </w:numPr>
      </w:pPr>
      <w:r>
        <w:t>Interoperability</w:t>
      </w:r>
    </w:p>
    <w:p w14:paraId="06FB0B1C" w14:textId="5ED16239" w:rsidR="00416C03" w:rsidRDefault="00D5077B" w:rsidP="00016E29">
      <w:pPr>
        <w:ind w:left="1080"/>
      </w:pPr>
      <w:r>
        <w:t>EU players are currently able to deliver securities at T+0 through DLT, but the combination with cash is not already operating, as most DLT platform use their own currency on the cash leg.</w:t>
      </w:r>
    </w:p>
    <w:permEnd w:id="78006216"/>
    <w:p w14:paraId="25446109" w14:textId="77777777" w:rsidR="00C5469A" w:rsidRDefault="00C5469A" w:rsidP="00C5469A">
      <w:r>
        <w:t>&lt;ESMA_QUESTION_SETT_11&gt;</w:t>
      </w:r>
    </w:p>
    <w:p w14:paraId="4B4B6D1C" w14:textId="77777777" w:rsidR="00C5469A" w:rsidRDefault="00C5469A" w:rsidP="00C5469A"/>
    <w:p w14:paraId="27A5B905" w14:textId="77777777" w:rsidR="00C5469A" w:rsidRDefault="00C5469A" w:rsidP="00C5469A">
      <w:pPr>
        <w:pStyle w:val="Questionstyle"/>
        <w:numPr>
          <w:ilvl w:val="0"/>
          <w:numId w:val="14"/>
        </w:numPr>
        <w:ind w:left="0"/>
      </w:pPr>
      <w:r>
        <w:t>: How do you assess the impact that a shorter settlement cycle could have on the liquidity for EU markets (from your perspective and for the market in general)? Please differentiate between T+1 and T+0 where possible.</w:t>
      </w:r>
    </w:p>
    <w:p w14:paraId="1BB7B33C" w14:textId="77777777" w:rsidR="00C5469A" w:rsidRDefault="00C5469A" w:rsidP="00C5469A">
      <w:r>
        <w:t>&lt;ESMA_QUESTION_SETT_12&gt;</w:t>
      </w:r>
    </w:p>
    <w:p w14:paraId="7DD293BF" w14:textId="14A94E47" w:rsidR="006D6578" w:rsidRDefault="00CF5C0A" w:rsidP="00C5469A">
      <w:permStart w:id="27267923" w:edGrp="everyone"/>
      <w:r>
        <w:t>As regards T+1, the gap between the investment date at T+1 and the settlement/funding date typically at T+3</w:t>
      </w:r>
      <w:r w:rsidR="006D6578">
        <w:t xml:space="preserve"> creates a liquidity mismatch that will need extra cash or extra borrowings to be bridged. These borrowings will be all the more burdensome to bear in a higher interest rate environment.</w:t>
      </w:r>
    </w:p>
    <w:permEnd w:id="27267923"/>
    <w:p w14:paraId="1B6472CD" w14:textId="49C74C9A" w:rsidR="00C5469A" w:rsidRDefault="00C5469A" w:rsidP="00C5469A">
      <w:r>
        <w:t>&lt;ESMA_QUESTION_SETT_12&gt;</w:t>
      </w:r>
    </w:p>
    <w:p w14:paraId="7794DABE" w14:textId="77777777" w:rsidR="00C5469A" w:rsidRDefault="00C5469A" w:rsidP="00C5469A"/>
    <w:p w14:paraId="249894AD" w14:textId="77777777" w:rsidR="00C5469A" w:rsidRDefault="00C5469A" w:rsidP="00C5469A">
      <w:pPr>
        <w:pStyle w:val="Questionstyle"/>
        <w:numPr>
          <w:ilvl w:val="0"/>
          <w:numId w:val="14"/>
        </w:numPr>
        <w:ind w:left="0"/>
      </w:pPr>
      <w:r>
        <w:t>: What would be the benefits for retail clients?</w:t>
      </w:r>
    </w:p>
    <w:p w14:paraId="0C8C68D3" w14:textId="77777777" w:rsidR="00C5469A" w:rsidRDefault="00C5469A" w:rsidP="00C5469A">
      <w:r>
        <w:t>&lt;ESMA_QUESTION_SETT_13&gt;</w:t>
      </w:r>
    </w:p>
    <w:p w14:paraId="27A5EAB8" w14:textId="71AF6ED9" w:rsidR="006D6578" w:rsidRDefault="006D6578" w:rsidP="00C5469A">
      <w:permStart w:id="75696228" w:edGrp="everyone"/>
      <w:r>
        <w:t xml:space="preserve">From an </w:t>
      </w:r>
      <w:proofErr w:type="gramStart"/>
      <w:r>
        <w:t>asset management perspective retail investors subscribers</w:t>
      </w:r>
      <w:proofErr w:type="gramEnd"/>
      <w:r w:rsidR="00226CE1">
        <w:t xml:space="preserve"> as part of any</w:t>
      </w:r>
      <w:r w:rsidR="0036651E">
        <w:t xml:space="preserve"> other new investor</w:t>
      </w:r>
      <w:r>
        <w:t xml:space="preserve"> </w:t>
      </w:r>
      <w:r w:rsidR="0036651E">
        <w:t>in</w:t>
      </w:r>
      <w:r>
        <w:t xml:space="preserve"> a fund exposed to US securities will have to bear the extra cost specifically due to T+1. </w:t>
      </w:r>
      <w:r w:rsidR="00854877">
        <w:t>There are no</w:t>
      </w:r>
      <w:r>
        <w:t xml:space="preserve"> benefit</w:t>
      </w:r>
      <w:r w:rsidR="00854877">
        <w:t>s</w:t>
      </w:r>
      <w:r>
        <w:t xml:space="preserve"> for</w:t>
      </w:r>
      <w:r w:rsidR="00854877">
        <w:t xml:space="preserve"> retail clients</w:t>
      </w:r>
      <w:r>
        <w:t>.</w:t>
      </w:r>
    </w:p>
    <w:permEnd w:id="75696228"/>
    <w:p w14:paraId="278E6A7C" w14:textId="23C3BFE8" w:rsidR="00C5469A" w:rsidRDefault="00C5469A" w:rsidP="00C5469A">
      <w:r>
        <w:lastRenderedPageBreak/>
        <w:t>&lt;ESMA_QUESTION_SETT_13&gt;</w:t>
      </w:r>
    </w:p>
    <w:p w14:paraId="1D97D564" w14:textId="77777777" w:rsidR="00C5469A" w:rsidRDefault="00C5469A" w:rsidP="00C5469A"/>
    <w:p w14:paraId="64E22119" w14:textId="77777777" w:rsidR="00C5469A" w:rsidRDefault="00C5469A" w:rsidP="00C5469A">
      <w:pPr>
        <w:pStyle w:val="Questionstyle"/>
        <w:numPr>
          <w:ilvl w:val="0"/>
          <w:numId w:val="14"/>
        </w:numPr>
        <w:ind w:left="0"/>
      </w:pPr>
      <w:r>
        <w:t>: How would you weigh the benefits against the costs of moving to a shorter settlement cycle? Please differentiate between a potential move to T+1 and to T+0.</w:t>
      </w:r>
    </w:p>
    <w:p w14:paraId="521CB461" w14:textId="77777777" w:rsidR="00C5469A" w:rsidRDefault="00C5469A" w:rsidP="00C5469A">
      <w:r>
        <w:t>&lt;ESMA_QUESTION_SETT_14&gt;</w:t>
      </w:r>
    </w:p>
    <w:p w14:paraId="3240CBCD" w14:textId="27E714A7" w:rsidR="00C5469A" w:rsidRDefault="00A86974" w:rsidP="00C5469A">
      <w:permStart w:id="1702320082" w:edGrp="everyone"/>
      <w:r>
        <w:t xml:space="preserve">In light of the costs detailed in the response to Q5, these costs outweigh </w:t>
      </w:r>
      <w:r w:rsidR="0039007A">
        <w:t xml:space="preserve">by far the non-material </w:t>
      </w:r>
      <w:r>
        <w:t>benefits</w:t>
      </w:r>
      <w:r w:rsidR="0039007A">
        <w:t>.</w:t>
      </w:r>
    </w:p>
    <w:permEnd w:id="1702320082"/>
    <w:p w14:paraId="2CEAAEB1" w14:textId="67273781" w:rsidR="00C5469A" w:rsidRDefault="00C5469A" w:rsidP="00C5469A">
      <w:r>
        <w:t>&lt;ESMA_QUESTION_SETT_14&gt;</w:t>
      </w:r>
    </w:p>
    <w:p w14:paraId="423C7BC4" w14:textId="77777777" w:rsidR="00C5469A" w:rsidRDefault="00C5469A" w:rsidP="00C5469A">
      <w:pPr>
        <w:pStyle w:val="Questionstyle"/>
        <w:numPr>
          <w:ilvl w:val="0"/>
          <w:numId w:val="14"/>
        </w:numPr>
        <w:ind w:left="0"/>
      </w:pPr>
      <w:r>
        <w:t>: Please describe the main steps that you would envisage to achieve an eventual shorter securities settlement cycle. In particular, specify: (i) the regulatory and industry milestones; and (ii) the time needed for each milestone and the proposed ultimate deadline.</w:t>
      </w:r>
    </w:p>
    <w:p w14:paraId="2564E246" w14:textId="77777777" w:rsidR="00C5469A" w:rsidRDefault="00C5469A" w:rsidP="00C5469A">
      <w:r>
        <w:t>&lt;ESMA_QUESTION_SETT_15&gt;</w:t>
      </w:r>
    </w:p>
    <w:p w14:paraId="24DE2087" w14:textId="60E4B725" w:rsidR="0039007A" w:rsidRDefault="0039007A" w:rsidP="00C5469A">
      <w:permStart w:id="1673478500" w:edGrp="everyone"/>
      <w:r>
        <w:t>After the milestone of the May 2024 US go-live is met, there will be a transition phase before the EU potentially goes live. This transition phase should incorporate the following tasks:</w:t>
      </w:r>
    </w:p>
    <w:p w14:paraId="5A03810A" w14:textId="55978148" w:rsidR="0039007A" w:rsidRDefault="0039007A" w:rsidP="0039007A">
      <w:pPr>
        <w:spacing w:after="0" w:line="240" w:lineRule="auto"/>
      </w:pPr>
      <w:r>
        <w:tab/>
        <w:t>-assessment of the lessons learnt from the US go-live</w:t>
      </w:r>
    </w:p>
    <w:p w14:paraId="30479C32" w14:textId="6845D912" w:rsidR="0039007A" w:rsidRDefault="0039007A" w:rsidP="0039007A">
      <w:pPr>
        <w:spacing w:after="0" w:line="240" w:lineRule="auto"/>
      </w:pPr>
      <w:r>
        <w:tab/>
        <w:t>-check the fund’s concerned custodian can actually settle at T+1</w:t>
      </w:r>
    </w:p>
    <w:p w14:paraId="279C841E" w14:textId="57024A8D" w:rsidR="0039007A" w:rsidRDefault="0039007A" w:rsidP="0039007A">
      <w:pPr>
        <w:spacing w:after="0" w:line="240" w:lineRule="auto"/>
      </w:pPr>
      <w:r>
        <w:tab/>
        <w:t>-</w:t>
      </w:r>
      <w:r w:rsidR="00854877">
        <w:t xml:space="preserve">potentially </w:t>
      </w:r>
      <w:r>
        <w:t>align the funding leg (currently at T+3) with the investment leg (at T+1)</w:t>
      </w:r>
    </w:p>
    <w:p w14:paraId="3EC81BE6" w14:textId="77777777" w:rsidR="00846284" w:rsidRDefault="00846284" w:rsidP="00C5469A"/>
    <w:p w14:paraId="2A4969A1" w14:textId="7F7B9EFA" w:rsidR="00C5469A" w:rsidRDefault="0039007A" w:rsidP="00C5469A">
      <w:r>
        <w:t xml:space="preserve">Please refer to </w:t>
      </w:r>
      <w:r w:rsidR="00744512">
        <w:t xml:space="preserve">the timeline in </w:t>
      </w:r>
      <w:r>
        <w:t xml:space="preserve">annex </w:t>
      </w:r>
      <w:r w:rsidR="00744512">
        <w:t>III-Q15.</w:t>
      </w:r>
    </w:p>
    <w:permEnd w:id="1673478500"/>
    <w:p w14:paraId="5D6602EE" w14:textId="77777777" w:rsidR="00C5469A" w:rsidRDefault="00C5469A" w:rsidP="00C5469A">
      <w:r>
        <w:t>&lt;ESMA_QUESTION_SETT_15&gt;</w:t>
      </w:r>
    </w:p>
    <w:p w14:paraId="2D8B3C34" w14:textId="77777777" w:rsidR="00C5469A" w:rsidRDefault="00C5469A" w:rsidP="00C5469A"/>
    <w:p w14:paraId="51916544" w14:textId="77777777" w:rsidR="00C5469A" w:rsidRDefault="00C5469A" w:rsidP="00C5469A">
      <w:pPr>
        <w:pStyle w:val="Questionstyle"/>
        <w:numPr>
          <w:ilvl w:val="0"/>
          <w:numId w:val="14"/>
        </w:numPr>
        <w:ind w:left="0"/>
      </w:pPr>
      <w:r>
        <w:t>: Assuming that the EU institutions would decide to shorten the securities settlement cycle in the EU, how long would you need to adapt to the new settlement cycle? And in the case of a move to T+0?</w:t>
      </w:r>
    </w:p>
    <w:p w14:paraId="51E6BB64" w14:textId="77777777" w:rsidR="00C5469A" w:rsidRDefault="00C5469A" w:rsidP="00C5469A">
      <w:r>
        <w:t>&lt;ESMA_QUESTION_SETT_16&gt;</w:t>
      </w:r>
    </w:p>
    <w:p w14:paraId="1BAFD56E" w14:textId="3EDD895E" w:rsidR="00C5469A" w:rsidRDefault="00C5469A" w:rsidP="00C5469A">
      <w:permStart w:id="1134712045" w:edGrp="everyone"/>
    </w:p>
    <w:p w14:paraId="67763AE2" w14:textId="39F979C5" w:rsidR="00846284" w:rsidRPr="008F49E6" w:rsidRDefault="00846284" w:rsidP="00846284">
      <w:pPr>
        <w:pStyle w:val="ListParagraph"/>
        <w:numPr>
          <w:ilvl w:val="0"/>
          <w:numId w:val="19"/>
        </w:numPr>
      </w:pPr>
      <w:r>
        <w:lastRenderedPageBreak/>
        <w:t>Transition phase</w:t>
      </w:r>
      <w:r w:rsidRPr="008F49E6">
        <w:t xml:space="preserve"> </w:t>
      </w:r>
    </w:p>
    <w:p w14:paraId="03303E73" w14:textId="115DA42F" w:rsidR="00416C03" w:rsidRPr="00846284" w:rsidRDefault="00846284" w:rsidP="00846284">
      <w:pPr>
        <w:ind w:left="1080"/>
        <w:rPr>
          <w:rFonts w:cstheme="minorHAnsi"/>
        </w:rPr>
      </w:pPr>
      <w:r w:rsidRPr="00846284">
        <w:rPr>
          <w:rFonts w:cstheme="minorHAnsi"/>
        </w:rPr>
        <w:t>In light of the above described works, we think the transition phase from US T+1 to EU T+</w:t>
      </w:r>
      <w:r w:rsidR="005115A3">
        <w:rPr>
          <w:rFonts w:cstheme="minorHAnsi"/>
        </w:rPr>
        <w:t>1</w:t>
      </w:r>
      <w:r w:rsidRPr="00846284">
        <w:rPr>
          <w:rFonts w:cstheme="minorHAnsi"/>
        </w:rPr>
        <w:t xml:space="preserve"> should last at least 4 years</w:t>
      </w:r>
      <w:r w:rsidR="001B627C">
        <w:rPr>
          <w:rFonts w:cstheme="minorHAnsi"/>
        </w:rPr>
        <w:t xml:space="preserve"> (see timeline illustration in annex III. Q15)</w:t>
      </w:r>
      <w:r w:rsidRPr="00846284">
        <w:rPr>
          <w:rFonts w:cstheme="minorHAnsi"/>
        </w:rPr>
        <w:t>.</w:t>
      </w:r>
    </w:p>
    <w:p w14:paraId="6CD87DF1" w14:textId="77777777" w:rsidR="00416C03" w:rsidRPr="008F49E6" w:rsidRDefault="00416C03" w:rsidP="00A86974">
      <w:pPr>
        <w:pStyle w:val="ListParagraph"/>
        <w:numPr>
          <w:ilvl w:val="0"/>
          <w:numId w:val="19"/>
        </w:numPr>
      </w:pPr>
      <w:r w:rsidRPr="008F49E6">
        <w:t xml:space="preserve">Speed of implementation </w:t>
      </w:r>
    </w:p>
    <w:p w14:paraId="48648149" w14:textId="77777777" w:rsidR="00416C03" w:rsidRDefault="00416C03" w:rsidP="00A86974">
      <w:pPr>
        <w:pStyle w:val="ListParagraph"/>
        <w:numPr>
          <w:ilvl w:val="0"/>
          <w:numId w:val="20"/>
        </w:numPr>
      </w:pPr>
      <w:r w:rsidRPr="008F49E6">
        <w:t>Although some players would be ready to move relatively fast, it is key to remind that implementation costs and risks are</w:t>
      </w:r>
      <w:r>
        <w:t xml:space="preserve"> highly</w:t>
      </w:r>
      <w:r w:rsidRPr="008F49E6">
        <w:t xml:space="preserve"> dependent on the speed of implementation.</w:t>
      </w:r>
    </w:p>
    <w:p w14:paraId="52C0AC4E" w14:textId="77777777" w:rsidR="00416C03" w:rsidRDefault="00416C03" w:rsidP="00A86974">
      <w:pPr>
        <w:pStyle w:val="ListParagraph"/>
        <w:numPr>
          <w:ilvl w:val="0"/>
          <w:numId w:val="20"/>
        </w:numPr>
      </w:pPr>
      <w:r>
        <w:t>Sufficient time should be left for testing.</w:t>
      </w:r>
    </w:p>
    <w:p w14:paraId="449EFD8F" w14:textId="77777777" w:rsidR="00416C03" w:rsidRDefault="00416C03" w:rsidP="00A86974">
      <w:pPr>
        <w:pStyle w:val="ListParagraph"/>
        <w:numPr>
          <w:ilvl w:val="0"/>
          <w:numId w:val="20"/>
        </w:numPr>
      </w:pPr>
      <w:r>
        <w:t>For instance, the technological alignment across stakeholder requires thorough testing and cannot be expedited without significant costs or risks.</w:t>
      </w:r>
    </w:p>
    <w:p w14:paraId="22722CE5" w14:textId="77777777" w:rsidR="00416C03" w:rsidRDefault="00416C03" w:rsidP="00A86974">
      <w:pPr>
        <w:pStyle w:val="ListParagraph"/>
        <w:numPr>
          <w:ilvl w:val="0"/>
          <w:numId w:val="20"/>
        </w:numPr>
      </w:pPr>
      <w:r>
        <w:t xml:space="preserve">Additionally, the move should take all players on board as shortened settlement cycles are highly dependent on all actors of the ecosystem being aligned technologically and process-wise. </w:t>
      </w:r>
    </w:p>
    <w:p w14:paraId="29A3BA8B" w14:textId="77777777" w:rsidR="00416C03" w:rsidRDefault="00416C03" w:rsidP="00820E7E">
      <w:pPr>
        <w:ind w:left="1080"/>
      </w:pPr>
    </w:p>
    <w:p w14:paraId="21EA7B2A" w14:textId="22EE4397" w:rsidR="00416C03" w:rsidRPr="008F49E6" w:rsidRDefault="00416C03" w:rsidP="00A86974">
      <w:pPr>
        <w:pStyle w:val="ListParagraph"/>
        <w:numPr>
          <w:ilvl w:val="0"/>
          <w:numId w:val="19"/>
        </w:numPr>
      </w:pPr>
      <w:r w:rsidRPr="008F49E6">
        <w:t>T+1 or T+0</w:t>
      </w:r>
    </w:p>
    <w:p w14:paraId="3B83B501" w14:textId="77777777" w:rsidR="00416C03" w:rsidRDefault="00416C03" w:rsidP="00A86974">
      <w:pPr>
        <w:pStyle w:val="ListParagraph"/>
        <w:numPr>
          <w:ilvl w:val="0"/>
          <w:numId w:val="21"/>
        </w:numPr>
      </w:pPr>
      <w:r>
        <w:t>As clarified above, there is a substantial difference in the nature of the technical transition regarding T+1 and T+0.</w:t>
      </w:r>
    </w:p>
    <w:p w14:paraId="46C3AA6D" w14:textId="77777777" w:rsidR="00416C03" w:rsidRPr="002D125D" w:rsidRDefault="00416C03" w:rsidP="00A86974">
      <w:pPr>
        <w:pStyle w:val="ListParagraph"/>
        <w:numPr>
          <w:ilvl w:val="0"/>
          <w:numId w:val="21"/>
        </w:numPr>
      </w:pPr>
      <w:r>
        <w:t>Accordingly, more time would be needed for a T+0 switch compared to T+1, as it would undoubtingly require a more complete technological revamping.</w:t>
      </w:r>
    </w:p>
    <w:p w14:paraId="5C00BA0C" w14:textId="77777777" w:rsidR="00416C03" w:rsidRDefault="00416C03" w:rsidP="00820E7E">
      <w:pPr>
        <w:ind w:left="1080"/>
      </w:pPr>
    </w:p>
    <w:permEnd w:id="1134712045"/>
    <w:p w14:paraId="439B983B" w14:textId="302F909A" w:rsidR="00C5469A" w:rsidRDefault="00C5469A" w:rsidP="00C5469A">
      <w:r>
        <w:t>&lt;ESMA_QUESTION_SETT_16&gt;</w:t>
      </w:r>
    </w:p>
    <w:p w14:paraId="432BDCE9" w14:textId="77777777" w:rsidR="00C5469A" w:rsidRDefault="00C5469A" w:rsidP="00C5469A"/>
    <w:p w14:paraId="04C6A972" w14:textId="77777777" w:rsidR="00C5469A" w:rsidRDefault="00C5469A" w:rsidP="00C5469A">
      <w:pPr>
        <w:pStyle w:val="Questionstyle"/>
        <w:numPr>
          <w:ilvl w:val="0"/>
          <w:numId w:val="14"/>
        </w:numPr>
        <w:ind w:left="0"/>
      </w:pPr>
      <w:r>
        <w:t>: Do you think that the CSDR scope of financial instruments is adequate for a shorter settlement cycle? If not, what would be in your views a more adequate scope?</w:t>
      </w:r>
    </w:p>
    <w:p w14:paraId="545F22E0" w14:textId="77777777" w:rsidR="00C5469A" w:rsidRDefault="00C5469A" w:rsidP="00C5469A">
      <w:r>
        <w:t>&lt;ESMA_QUESTION_SETT_17&gt;</w:t>
      </w:r>
    </w:p>
    <w:p w14:paraId="648BDA61" w14:textId="41D9035C" w:rsidR="004D0DE1" w:rsidRPr="002160EB" w:rsidRDefault="002160EB" w:rsidP="002160EB">
      <w:pPr>
        <w:spacing w:after="0" w:line="240" w:lineRule="auto"/>
        <w:rPr>
          <w:rFonts w:cstheme="minorHAnsi"/>
        </w:rPr>
      </w:pPr>
      <w:permStart w:id="1013345542" w:edGrp="everyone"/>
      <w:r>
        <w:rPr>
          <w:rFonts w:eastAsia="Times New Roman" w:cstheme="minorHAnsi"/>
          <w:color w:val="000000"/>
          <w:szCs w:val="22"/>
          <w:lang w:eastAsia="en-IE"/>
        </w:rPr>
        <w:t>No</w:t>
      </w:r>
      <w:r w:rsidR="004D0DE1" w:rsidRPr="002160EB">
        <w:rPr>
          <w:rFonts w:eastAsia="Times New Roman" w:cstheme="minorHAnsi"/>
          <w:color w:val="000000"/>
          <w:szCs w:val="22"/>
          <w:lang w:val="en-IE" w:eastAsia="en-IE"/>
        </w:rPr>
        <w:t>, CS</w:t>
      </w:r>
      <w:r w:rsidR="00854877">
        <w:rPr>
          <w:rFonts w:eastAsia="Times New Roman" w:cstheme="minorHAnsi"/>
          <w:color w:val="000000"/>
          <w:szCs w:val="22"/>
          <w:lang w:val="en-IE" w:eastAsia="en-IE"/>
        </w:rPr>
        <w:t>D</w:t>
      </w:r>
      <w:r w:rsidR="004D0DE1" w:rsidRPr="002160EB">
        <w:rPr>
          <w:rFonts w:eastAsia="Times New Roman" w:cstheme="minorHAnsi"/>
          <w:color w:val="000000"/>
          <w:szCs w:val="22"/>
          <w:lang w:val="en-IE" w:eastAsia="en-IE"/>
        </w:rPr>
        <w:t>R in a shorter settlement cycle will bring more chaos and increased level of resources to support all the issues to resolve</w:t>
      </w:r>
    </w:p>
    <w:permEnd w:id="1013345542"/>
    <w:p w14:paraId="381E1AF6" w14:textId="77777777" w:rsidR="00C5469A" w:rsidRDefault="00C5469A" w:rsidP="00C5469A">
      <w:r>
        <w:t>&lt;ESMA_QUESTION_SETT_17&gt;</w:t>
      </w:r>
    </w:p>
    <w:p w14:paraId="75FD333E" w14:textId="20661BD4" w:rsidR="00C5469A" w:rsidRDefault="00C5469A" w:rsidP="00C5469A"/>
    <w:p w14:paraId="0846611F" w14:textId="0F089238" w:rsidR="00C5469A" w:rsidRDefault="00C5469A" w:rsidP="00C5469A"/>
    <w:p w14:paraId="56DE2B69" w14:textId="24343669" w:rsidR="00C5469A" w:rsidRDefault="00C5469A" w:rsidP="00C5469A"/>
    <w:p w14:paraId="021816C4" w14:textId="77777777" w:rsidR="00C5469A" w:rsidRDefault="00C5469A" w:rsidP="00C5469A"/>
    <w:p w14:paraId="0DA3D699" w14:textId="77777777" w:rsidR="00C5469A" w:rsidRDefault="00C5469A" w:rsidP="00C5469A">
      <w:pPr>
        <w:pStyle w:val="Questionstyle"/>
        <w:numPr>
          <w:ilvl w:val="0"/>
          <w:numId w:val="14"/>
        </w:numPr>
        <w:ind w:left="0"/>
      </w:pPr>
      <w:r>
        <w:lastRenderedPageBreak/>
        <w:t>: Is it feasible to have different settlement cycles across different instruments? Which are the ones that would benefit most? Which least?</w:t>
      </w:r>
    </w:p>
    <w:p w14:paraId="616C75D6" w14:textId="77777777" w:rsidR="00C5469A" w:rsidRDefault="00C5469A" w:rsidP="00C5469A">
      <w:r>
        <w:t>&lt;ESMA_QUESTION_SETT_18&gt;</w:t>
      </w:r>
    </w:p>
    <w:p w14:paraId="18F16CCF" w14:textId="69E35DB4" w:rsidR="00C5469A" w:rsidRPr="002160EB" w:rsidRDefault="002160EB" w:rsidP="002160EB">
      <w:pPr>
        <w:spacing w:after="0" w:line="240" w:lineRule="auto"/>
        <w:rPr>
          <w:rFonts w:cstheme="minorHAnsi"/>
        </w:rPr>
      </w:pPr>
      <w:permStart w:id="254495919" w:edGrp="everyone"/>
      <w:r w:rsidRPr="002160EB">
        <w:rPr>
          <w:rFonts w:eastAsia="Times New Roman" w:cstheme="minorHAnsi"/>
          <w:color w:val="000000"/>
          <w:szCs w:val="22"/>
          <w:lang w:val="en-IE" w:eastAsia="en-IE"/>
        </w:rPr>
        <w:t>We do not recommend to follow this route</w:t>
      </w:r>
      <w:r w:rsidR="004D0DE1" w:rsidRPr="002160EB">
        <w:rPr>
          <w:rFonts w:eastAsia="Times New Roman" w:cstheme="minorHAnsi"/>
          <w:color w:val="000000"/>
          <w:szCs w:val="22"/>
          <w:lang w:val="en-IE" w:eastAsia="en-IE"/>
        </w:rPr>
        <w:t>, as it will further complexify the cash management process and investments decisions</w:t>
      </w:r>
      <w:r w:rsidRPr="002160EB">
        <w:rPr>
          <w:rFonts w:eastAsia="Times New Roman" w:cstheme="minorHAnsi"/>
          <w:color w:val="000000"/>
          <w:szCs w:val="22"/>
          <w:lang w:val="en-IE" w:eastAsia="en-IE"/>
        </w:rPr>
        <w:t>.</w:t>
      </w:r>
    </w:p>
    <w:permEnd w:id="254495919"/>
    <w:p w14:paraId="00E8016B" w14:textId="77777777" w:rsidR="00C5469A" w:rsidRDefault="00C5469A" w:rsidP="00C5469A">
      <w:r>
        <w:t>&lt;ESMA_QUESTION_SETT_18&gt;</w:t>
      </w:r>
    </w:p>
    <w:p w14:paraId="5F8B0C88" w14:textId="77777777" w:rsidR="00C5469A" w:rsidRDefault="00C5469A" w:rsidP="00C5469A"/>
    <w:p w14:paraId="746CB31E" w14:textId="77777777" w:rsidR="00C5469A" w:rsidRDefault="00C5469A" w:rsidP="00C5469A">
      <w:pPr>
        <w:pStyle w:val="Questionstyle"/>
        <w:numPr>
          <w:ilvl w:val="0"/>
          <w:numId w:val="14"/>
        </w:numPr>
        <w:ind w:left="0"/>
      </w:pPr>
      <w:r>
        <w:t>: Which financial instruments/ transaction types are easier to migrate to a shorter settlement period in the EU capital markets? Does the answer differ by asset class? Should it be feasible/advisable to have different migration times for different products/markets/assets? If yes, please elaborate.</w:t>
      </w:r>
    </w:p>
    <w:p w14:paraId="092078EB" w14:textId="77777777" w:rsidR="00C5469A" w:rsidRDefault="00C5469A" w:rsidP="00C5469A">
      <w:r>
        <w:t>&lt;ESMA_QUESTION_SETT_19&gt;</w:t>
      </w:r>
    </w:p>
    <w:p w14:paraId="63E63E55" w14:textId="24EC22E1" w:rsidR="00854877" w:rsidRDefault="002160EB" w:rsidP="00C5469A">
      <w:permStart w:id="1982605857" w:edGrp="everyone"/>
      <w:r>
        <w:t xml:space="preserve">Asset managers already settle money market funds at T+0, and some ETFs at T+1. </w:t>
      </w:r>
      <w:r w:rsidR="00854877" w:rsidRPr="00854877">
        <w:t>Change the settlement cycle on non-institutional/ retail mutual funds will require more careful consideration to ensure that acceleration of settlement does not cause costs or risks on clients, that could be been avoided otherwise</w:t>
      </w:r>
      <w:r w:rsidR="00854877">
        <w:t>.</w:t>
      </w:r>
    </w:p>
    <w:permEnd w:id="1982605857"/>
    <w:p w14:paraId="425F1C67" w14:textId="77777777" w:rsidR="00C5469A" w:rsidRDefault="00C5469A" w:rsidP="00C5469A">
      <w:r>
        <w:t>&lt;ESMA_QUESTION_SETT_19&gt;</w:t>
      </w:r>
    </w:p>
    <w:p w14:paraId="55D17050" w14:textId="77777777" w:rsidR="00C5469A" w:rsidRDefault="00C5469A" w:rsidP="00C5469A"/>
    <w:p w14:paraId="5ECE7F2F" w14:textId="77777777" w:rsidR="00C5469A" w:rsidRDefault="00C5469A" w:rsidP="00C5469A">
      <w:pPr>
        <w:pStyle w:val="Questionstyle"/>
        <w:numPr>
          <w:ilvl w:val="0"/>
          <w:numId w:val="14"/>
        </w:numPr>
        <w:ind w:left="0"/>
      </w:pPr>
      <w:r>
        <w:t>: Do you think that the settlement cycle for transactions currently excluded by Article 5 of CSDR should be regulated? If you think that the settlement cycle of some or all of these transactions should be regulated, what would be in your view an appropriate length for their settlement cycle?</w:t>
      </w:r>
    </w:p>
    <w:p w14:paraId="32F20AE9" w14:textId="77777777" w:rsidR="00C5469A" w:rsidRDefault="00C5469A" w:rsidP="00C5469A">
      <w:r>
        <w:t>&lt;ESMA_QUESTION_SETT_20&gt;</w:t>
      </w:r>
    </w:p>
    <w:p w14:paraId="0A996883" w14:textId="56913109" w:rsidR="00C5469A" w:rsidRDefault="00C5469A" w:rsidP="00C5469A">
      <w:permStart w:id="558774206" w:edGrp="everyone"/>
      <w:r>
        <w:t>T</w:t>
      </w:r>
      <w:r w:rsidR="002160EB">
        <w:t>o the extent possible, primary market transactions should remain out of the scope of the CSDR settlement discipline regime</w:t>
      </w:r>
      <w:r w:rsidR="00C92AE6">
        <w:t xml:space="preserve"> (see also annex III. Q17-20)</w:t>
      </w:r>
      <w:r w:rsidR="002160EB">
        <w:t>.</w:t>
      </w:r>
    </w:p>
    <w:permEnd w:id="558774206"/>
    <w:p w14:paraId="3A4B113A" w14:textId="77777777" w:rsidR="00C5469A" w:rsidRDefault="00C5469A" w:rsidP="00C5469A">
      <w:r>
        <w:t>&lt;ESMA_QUESTION_SETT_20&gt;</w:t>
      </w:r>
    </w:p>
    <w:p w14:paraId="6CE0BB47" w14:textId="31BA3366" w:rsidR="00C5469A" w:rsidRDefault="00C5469A" w:rsidP="00C5469A"/>
    <w:p w14:paraId="4F52A1CD" w14:textId="301615D5" w:rsidR="00C5469A" w:rsidRDefault="00C5469A" w:rsidP="00C5469A"/>
    <w:p w14:paraId="5A50567B" w14:textId="57129F2C" w:rsidR="00C5469A" w:rsidRDefault="00C5469A" w:rsidP="00C5469A"/>
    <w:p w14:paraId="007149CF" w14:textId="77777777" w:rsidR="00C5469A" w:rsidRDefault="00C5469A" w:rsidP="00C5469A"/>
    <w:p w14:paraId="047D9180" w14:textId="77777777" w:rsidR="00C5469A" w:rsidRDefault="00C5469A" w:rsidP="00C5469A">
      <w:pPr>
        <w:pStyle w:val="Questionstyle"/>
        <w:numPr>
          <w:ilvl w:val="0"/>
          <w:numId w:val="14"/>
        </w:numPr>
        <w:ind w:left="0"/>
      </w:pPr>
      <w:r>
        <w:t>: Please describe the impact(s) that the transition to T+1 in other jurisdictions has had or will have on your operations, assuming the EU remains on a T+2 cycle.</w:t>
      </w:r>
    </w:p>
    <w:p w14:paraId="604394F8" w14:textId="77777777" w:rsidR="00C5469A" w:rsidRDefault="00C5469A" w:rsidP="00C5469A">
      <w:r>
        <w:t>&lt;ESMA_QUESTION_SETT_21&gt;</w:t>
      </w:r>
    </w:p>
    <w:p w14:paraId="1BB6D426" w14:textId="692CD1F0" w:rsidR="00C5469A" w:rsidRDefault="002160EB" w:rsidP="00C5469A">
      <w:permStart w:id="6054277" w:edGrp="everyone"/>
      <w:r>
        <w:t>US funds having an exposure to EU securities will have to wait until T+2 to receive their investments</w:t>
      </w:r>
      <w:r w:rsidR="001B627C">
        <w:t xml:space="preserve"> (see also annex III Q21)</w:t>
      </w:r>
      <w:r>
        <w:t>.</w:t>
      </w:r>
    </w:p>
    <w:permEnd w:id="6054277"/>
    <w:p w14:paraId="4FF5786A" w14:textId="77777777" w:rsidR="00C5469A" w:rsidRDefault="00C5469A" w:rsidP="00C5469A">
      <w:r>
        <w:t>&lt;ESMA_QUESTION_SETT_21&gt;</w:t>
      </w:r>
    </w:p>
    <w:p w14:paraId="171966B5" w14:textId="77777777" w:rsidR="00C5469A" w:rsidRDefault="00C5469A" w:rsidP="00C5469A"/>
    <w:p w14:paraId="4485EC52" w14:textId="77777777" w:rsidR="00C5469A" w:rsidRDefault="00C5469A" w:rsidP="00C5469A">
      <w:pPr>
        <w:pStyle w:val="Questionstyle"/>
        <w:numPr>
          <w:ilvl w:val="0"/>
          <w:numId w:val="14"/>
        </w:numPr>
        <w:ind w:left="0"/>
      </w:pPr>
      <w:r>
        <w:t>: Can you identify any EU legislative or regulatory action that would reduce the impact of the move to T+1 in third countries for EU market participants? Please specify the content of the regulatory action and justify why it would be necessary. In particular, please clarify whether those regulatory actions would be necessary in the event of a transition of the EU to a shorter settlement cycle, or they would be specific only to address the misaligned cycles.</w:t>
      </w:r>
    </w:p>
    <w:p w14:paraId="60C7D2F7" w14:textId="77777777" w:rsidR="00C5469A" w:rsidRDefault="00C5469A" w:rsidP="00C5469A">
      <w:r>
        <w:t>&lt;ESMA_QUESTION_SETT_22&gt;</w:t>
      </w:r>
    </w:p>
    <w:p w14:paraId="6CF52B04" w14:textId="0AA61E2A" w:rsidR="00C5469A" w:rsidRDefault="002160EB" w:rsidP="00C5469A">
      <w:permStart w:id="1778254877" w:edGrp="everyone"/>
      <w:r>
        <w:t xml:space="preserve">Moreover, given the </w:t>
      </w:r>
      <w:r w:rsidR="009B7795">
        <w:t xml:space="preserve">current </w:t>
      </w:r>
      <w:r>
        <w:t xml:space="preserve">early </w:t>
      </w:r>
      <w:r w:rsidR="009B7795">
        <w:t>positioning</w:t>
      </w:r>
      <w:r>
        <w:t xml:space="preserve"> of the CLS cut-off time, a substantial portion of the end-of day transactions </w:t>
      </w:r>
      <w:r w:rsidR="009B7795">
        <w:t xml:space="preserve">would be </w:t>
      </w:r>
      <w:r>
        <w:t>settled outside CLS, hence OTC with a higher counterparty risk.</w:t>
      </w:r>
      <w:r w:rsidR="009B7795">
        <w:t xml:space="preserve"> Against this background, we recommend that the daily CLS cut-off is postponed by 2 hours.</w:t>
      </w:r>
    </w:p>
    <w:permEnd w:id="1778254877"/>
    <w:p w14:paraId="148017C4" w14:textId="77777777" w:rsidR="00C5469A" w:rsidRDefault="00C5469A" w:rsidP="00C5469A">
      <w:r>
        <w:t>&lt;ESMA_QUESTION_SETT_22&gt;</w:t>
      </w:r>
    </w:p>
    <w:p w14:paraId="111C6F7B" w14:textId="77777777" w:rsidR="00C5469A" w:rsidRDefault="00C5469A" w:rsidP="00C5469A"/>
    <w:p w14:paraId="0AED7AC8" w14:textId="77777777" w:rsidR="00C5469A" w:rsidRDefault="00C5469A" w:rsidP="00C5469A">
      <w:pPr>
        <w:pStyle w:val="Questionstyle"/>
        <w:numPr>
          <w:ilvl w:val="0"/>
          <w:numId w:val="14"/>
        </w:numPr>
        <w:ind w:left="142"/>
      </w:pPr>
      <w:r>
        <w:t>: Do you see benefits in the harmonisation of settlement cycles with other non-EU jurisdictions?</w:t>
      </w:r>
    </w:p>
    <w:p w14:paraId="538C0DDE" w14:textId="77777777" w:rsidR="00C5469A" w:rsidRDefault="00C5469A" w:rsidP="00C5469A">
      <w:r>
        <w:t>&lt;ESMA_QUESTION_SETT_23&gt;</w:t>
      </w:r>
    </w:p>
    <w:p w14:paraId="3EFCD4DE" w14:textId="6336293F" w:rsidR="00C5469A" w:rsidRDefault="00D670FC" w:rsidP="00C5469A">
      <w:permStart w:id="1174998131" w:edGrp="everyone"/>
      <w:r>
        <w:t>Potential benefits may be assessed with the UK. There would be benefits with the UK were moving to T+1 simultaneously with the EU.</w:t>
      </w:r>
    </w:p>
    <w:permEnd w:id="1174998131"/>
    <w:p w14:paraId="047F0C9D" w14:textId="77777777" w:rsidR="00C5469A" w:rsidRDefault="00C5469A" w:rsidP="00C5469A">
      <w:r>
        <w:t>&lt;ESMA_QUESTION_SETT_23&gt;</w:t>
      </w:r>
    </w:p>
    <w:p w14:paraId="19138CD9" w14:textId="7D5E3157" w:rsidR="00C5469A" w:rsidRDefault="00C5469A" w:rsidP="00C5469A"/>
    <w:p w14:paraId="2197C700" w14:textId="56BA1028" w:rsidR="00C5469A" w:rsidRDefault="00C5469A" w:rsidP="00C5469A"/>
    <w:p w14:paraId="3B0AC179" w14:textId="26AD0ADC" w:rsidR="00C5469A" w:rsidRDefault="00C5469A" w:rsidP="00C5469A"/>
    <w:p w14:paraId="578673D6" w14:textId="77777777" w:rsidR="00C5469A" w:rsidRDefault="00C5469A" w:rsidP="00C5469A"/>
    <w:p w14:paraId="1E0F21F2" w14:textId="77777777" w:rsidR="00C5469A" w:rsidRDefault="00C5469A" w:rsidP="00C5469A">
      <w:pPr>
        <w:pStyle w:val="Questionstyle"/>
        <w:numPr>
          <w:ilvl w:val="0"/>
          <w:numId w:val="14"/>
        </w:numPr>
        <w:ind w:left="0"/>
      </w:pPr>
      <w:r>
        <w:t>: Would reducing the settlement cycle bring any other indirect benefits to the Capital Markets Union and the EU's position internationally?</w:t>
      </w:r>
    </w:p>
    <w:p w14:paraId="459614D5" w14:textId="77777777" w:rsidR="00C5469A" w:rsidRDefault="00C5469A" w:rsidP="00C5469A">
      <w:r>
        <w:t>&lt;ESMA_QUESTION_SETT_24&gt;</w:t>
      </w:r>
    </w:p>
    <w:p w14:paraId="29AA1A01" w14:textId="77FD4DCF" w:rsidR="00C5469A" w:rsidRDefault="00D670FC" w:rsidP="00C5469A">
      <w:permStart w:id="2138049322" w:edGrp="everyone"/>
      <w:r>
        <w:t xml:space="preserve">A reduction of the settlement cycle would probably </w:t>
      </w:r>
      <w:r w:rsidR="004D6179">
        <w:t xml:space="preserve">have a </w:t>
      </w:r>
      <w:r>
        <w:t>l</w:t>
      </w:r>
      <w:r w:rsidR="00854877">
        <w:t>imit</w:t>
      </w:r>
      <w:r w:rsidR="004D6179">
        <w:t>ed</w:t>
      </w:r>
      <w:r w:rsidR="00854877">
        <w:t xml:space="preserve"> </w:t>
      </w:r>
      <w:r w:rsidR="004D6179">
        <w:t xml:space="preserve">effect </w:t>
      </w:r>
      <w:r w:rsidR="00854877">
        <w:t xml:space="preserve">on large players that have the resources to minimize impacts, and probably arm negatively smaller players in terms of their </w:t>
      </w:r>
      <w:r w:rsidR="004D6179">
        <w:t>“cost of doing business”.</w:t>
      </w:r>
    </w:p>
    <w:permEnd w:id="2138049322"/>
    <w:p w14:paraId="7DB45E0B" w14:textId="77777777" w:rsidR="00C5469A" w:rsidRDefault="00C5469A" w:rsidP="00C5469A">
      <w:r>
        <w:t>&lt;ESMA_QUESTION_SETT_24&gt;</w:t>
      </w:r>
    </w:p>
    <w:p w14:paraId="0B88C95B" w14:textId="77777777" w:rsidR="00C5469A" w:rsidRDefault="00C5469A" w:rsidP="00C5469A"/>
    <w:p w14:paraId="19A15731" w14:textId="77777777" w:rsidR="00C5469A" w:rsidRDefault="00C5469A" w:rsidP="00C5469A">
      <w:pPr>
        <w:pStyle w:val="Questionstyle"/>
        <w:numPr>
          <w:ilvl w:val="0"/>
          <w:numId w:val="14"/>
        </w:numPr>
        <w:ind w:left="0"/>
      </w:pPr>
      <w:r>
        <w:t>: Do you consider that the adaptation of EU market participants to the shorter settlement cycles in other jurisdictions could facilitate the adoption of T+1 or T+0 in the EU? Please elaborate.</w:t>
      </w:r>
    </w:p>
    <w:p w14:paraId="5D9AAFF1" w14:textId="77777777" w:rsidR="00C5469A" w:rsidRDefault="00C5469A" w:rsidP="00C5469A">
      <w:r>
        <w:t>&lt;ESMA_QUESTION_SETT_25&gt;</w:t>
      </w:r>
    </w:p>
    <w:p w14:paraId="125C92C9" w14:textId="6143F977" w:rsidR="00C5469A" w:rsidRDefault="00686729" w:rsidP="00C5469A">
      <w:permStart w:id="1765815298" w:edGrp="everyone"/>
      <w:r>
        <w:t>Agility can only be a facilitator.</w:t>
      </w:r>
    </w:p>
    <w:permEnd w:id="1765815298"/>
    <w:p w14:paraId="0477E185" w14:textId="77777777" w:rsidR="00C5469A" w:rsidRDefault="00C5469A" w:rsidP="00C5469A">
      <w:r>
        <w:t>&lt;ESMA_QUESTION_SETT_25&gt;</w:t>
      </w:r>
    </w:p>
    <w:p w14:paraId="06135D26" w14:textId="77777777" w:rsidR="00C5469A" w:rsidRDefault="00C5469A" w:rsidP="00C5469A"/>
    <w:p w14:paraId="2FE92644" w14:textId="77777777" w:rsidR="00C5469A" w:rsidRDefault="00C5469A" w:rsidP="00C5469A">
      <w:pPr>
        <w:pStyle w:val="Questionstyle"/>
        <w:numPr>
          <w:ilvl w:val="0"/>
          <w:numId w:val="14"/>
        </w:numPr>
        <w:ind w:left="0"/>
      </w:pPr>
      <w:r>
        <w:t>: Would different settlement cycles in the EU and other non-EU jurisdictions be a viable option?</w:t>
      </w:r>
    </w:p>
    <w:p w14:paraId="1E6DBFAB" w14:textId="77777777" w:rsidR="00C5469A" w:rsidRDefault="00C5469A" w:rsidP="00C5469A">
      <w:r>
        <w:t>&lt;ESMA_QUESTION_SETT_26&gt;</w:t>
      </w:r>
    </w:p>
    <w:p w14:paraId="735EC91A" w14:textId="703D6596" w:rsidR="00C5469A" w:rsidRDefault="00686729" w:rsidP="00C5469A">
      <w:permStart w:id="1934034529" w:edGrp="everyone"/>
      <w:r>
        <w:t>We do not think that introducing such flexibility would help decreasing the complexity of the settlement landscape.</w:t>
      </w:r>
    </w:p>
    <w:permEnd w:id="1934034529"/>
    <w:p w14:paraId="1655DD50" w14:textId="77777777" w:rsidR="00C5469A" w:rsidRDefault="00C5469A" w:rsidP="00C5469A">
      <w:r>
        <w:t>&lt;ESMA_QUESTION_SETT_26&gt;</w:t>
      </w:r>
    </w:p>
    <w:p w14:paraId="77180B12" w14:textId="77777777" w:rsidR="00C5469A" w:rsidRDefault="00C5469A" w:rsidP="00C5469A"/>
    <w:p w14:paraId="706D968A" w14:textId="77777777" w:rsidR="00C5469A" w:rsidRDefault="00C5469A" w:rsidP="00C5469A">
      <w:pPr>
        <w:pStyle w:val="Questionstyle"/>
        <w:numPr>
          <w:ilvl w:val="0"/>
          <w:numId w:val="14"/>
        </w:numPr>
        <w:ind w:left="0"/>
      </w:pPr>
      <w:r>
        <w:t>: Please elaborate about any other issue in relation to the shortening of the securities settlement cycle in the EU or in third-country jurisdictions not previously addressed in the Call for Evidence.</w:t>
      </w:r>
    </w:p>
    <w:p w14:paraId="373526A4" w14:textId="77777777" w:rsidR="00C5469A" w:rsidRDefault="00C5469A" w:rsidP="00C5469A">
      <w:r>
        <w:t>&lt;ESMA_QUESTION_SETT_27&gt;</w:t>
      </w:r>
    </w:p>
    <w:p w14:paraId="2998F965" w14:textId="3D5471C9" w:rsidR="0086252F" w:rsidRPr="00686729" w:rsidRDefault="002053AE" w:rsidP="004D0DE1">
      <w:pPr>
        <w:spacing w:after="0" w:line="240" w:lineRule="auto"/>
        <w:rPr>
          <w:rFonts w:eastAsia="Times New Roman" w:cstheme="minorHAnsi"/>
          <w:color w:val="000000"/>
          <w:szCs w:val="22"/>
          <w:lang w:val="en-IE" w:eastAsia="en-IE"/>
        </w:rPr>
      </w:pPr>
      <w:permStart w:id="1617899118" w:edGrp="everyone"/>
      <w:r w:rsidRPr="00686729">
        <w:rPr>
          <w:rFonts w:eastAsia="Times New Roman" w:cstheme="minorHAnsi"/>
          <w:color w:val="000000"/>
          <w:szCs w:val="22"/>
          <w:lang w:val="en-IE" w:eastAsia="en-IE"/>
        </w:rPr>
        <w:t>1</w:t>
      </w:r>
      <w:r w:rsidR="00564909" w:rsidRPr="00686729">
        <w:rPr>
          <w:rFonts w:eastAsia="Times New Roman" w:cstheme="minorHAnsi"/>
          <w:color w:val="000000"/>
          <w:szCs w:val="22"/>
          <w:lang w:val="en-IE" w:eastAsia="en-IE"/>
        </w:rPr>
        <w:t xml:space="preserve">. </w:t>
      </w:r>
      <w:r w:rsidR="00AD32F7" w:rsidRPr="00686729">
        <w:rPr>
          <w:rFonts w:eastAsia="Times New Roman" w:cstheme="minorHAnsi"/>
          <w:color w:val="000000"/>
          <w:szCs w:val="22"/>
          <w:lang w:val="en-IE" w:eastAsia="en-IE"/>
        </w:rPr>
        <w:t xml:space="preserve">On the longer run, </w:t>
      </w:r>
      <w:r w:rsidRPr="00686729">
        <w:rPr>
          <w:rFonts w:eastAsia="Times New Roman" w:cstheme="minorHAnsi"/>
          <w:color w:val="000000"/>
          <w:szCs w:val="22"/>
          <w:lang w:val="en-IE" w:eastAsia="en-IE"/>
        </w:rPr>
        <w:t>Net winners of the T+1 move will be the brokers</w:t>
      </w:r>
      <w:r w:rsidR="00AD32F7" w:rsidRPr="00686729">
        <w:rPr>
          <w:rFonts w:eastAsia="Times New Roman" w:cstheme="minorHAnsi"/>
          <w:color w:val="000000"/>
          <w:szCs w:val="22"/>
          <w:lang w:val="en-IE" w:eastAsia="en-IE"/>
        </w:rPr>
        <w:t xml:space="preserve"> who will </w:t>
      </w:r>
      <w:r w:rsidR="0086252F" w:rsidRPr="00686729">
        <w:rPr>
          <w:rFonts w:eastAsia="Times New Roman" w:cstheme="minorHAnsi"/>
          <w:color w:val="000000"/>
          <w:szCs w:val="22"/>
          <w:lang w:val="en-IE" w:eastAsia="en-IE"/>
        </w:rPr>
        <w:t>decrease their capital requirements</w:t>
      </w:r>
      <w:r w:rsidRPr="00686729">
        <w:rPr>
          <w:rFonts w:eastAsia="Times New Roman" w:cstheme="minorHAnsi"/>
          <w:color w:val="000000"/>
          <w:szCs w:val="22"/>
          <w:lang w:val="en-IE" w:eastAsia="en-IE"/>
        </w:rPr>
        <w:t xml:space="preserve">. </w:t>
      </w:r>
      <w:r w:rsidR="0086252F" w:rsidRPr="00686729">
        <w:rPr>
          <w:rFonts w:eastAsia="Times New Roman" w:cstheme="minorHAnsi"/>
          <w:color w:val="000000"/>
          <w:szCs w:val="22"/>
          <w:lang w:val="en-IE" w:eastAsia="en-IE"/>
        </w:rPr>
        <w:t>Asset managers will be part of the n</w:t>
      </w:r>
      <w:r w:rsidRPr="00686729">
        <w:rPr>
          <w:rFonts w:eastAsia="Times New Roman" w:cstheme="minorHAnsi"/>
          <w:color w:val="000000"/>
          <w:szCs w:val="22"/>
          <w:lang w:val="en-IE" w:eastAsia="en-IE"/>
        </w:rPr>
        <w:t xml:space="preserve">et </w:t>
      </w:r>
      <w:r w:rsidR="0059779F" w:rsidRPr="00686729">
        <w:rPr>
          <w:rFonts w:eastAsia="Times New Roman" w:cstheme="minorHAnsi"/>
          <w:color w:val="000000"/>
          <w:szCs w:val="22"/>
          <w:lang w:val="en-IE" w:eastAsia="en-IE"/>
        </w:rPr>
        <w:t>losers</w:t>
      </w:r>
      <w:r w:rsidR="0086252F" w:rsidRPr="00686729">
        <w:rPr>
          <w:rFonts w:eastAsia="Times New Roman" w:cstheme="minorHAnsi"/>
          <w:color w:val="000000"/>
          <w:szCs w:val="22"/>
          <w:lang w:val="en-IE" w:eastAsia="en-IE"/>
        </w:rPr>
        <w:t>, as the T+1 initiative does not generate direct benefits for them.</w:t>
      </w:r>
    </w:p>
    <w:p w14:paraId="4BEC0152" w14:textId="77777777" w:rsidR="00686729" w:rsidRDefault="00686729" w:rsidP="00564909">
      <w:pPr>
        <w:rPr>
          <w:rFonts w:ascii="Calibri" w:eastAsia="Times New Roman" w:hAnsi="Calibri" w:cs="Calibri"/>
          <w:color w:val="000000"/>
          <w:szCs w:val="22"/>
          <w:lang w:val="en-IE" w:eastAsia="en-IE"/>
        </w:rPr>
      </w:pPr>
    </w:p>
    <w:p w14:paraId="2BC95C3A" w14:textId="2D37ACC6" w:rsidR="00564909" w:rsidRPr="00686729" w:rsidRDefault="00FD7124" w:rsidP="00564909">
      <w:pPr>
        <w:rPr>
          <w:lang w:val="en-IE"/>
        </w:rPr>
      </w:pPr>
      <w:r w:rsidRPr="00686729">
        <w:rPr>
          <w:rFonts w:ascii="Calibri" w:eastAsia="Times New Roman" w:hAnsi="Calibri" w:cs="Calibri"/>
          <w:color w:val="000000"/>
          <w:szCs w:val="22"/>
          <w:lang w:val="en-IE" w:eastAsia="en-IE"/>
        </w:rPr>
        <w:t>2.</w:t>
      </w:r>
      <w:r w:rsidRPr="00686729">
        <w:t xml:space="preserve"> </w:t>
      </w:r>
      <w:r w:rsidR="007B196A" w:rsidRPr="00686729">
        <w:t>There are o</w:t>
      </w:r>
      <w:r w:rsidR="00564909" w:rsidRPr="00686729">
        <w:t xml:space="preserve">pportunities to further harmonise </w:t>
      </w:r>
      <w:r w:rsidR="007B196A" w:rsidRPr="00686729">
        <w:t>the EU market infrastructures.</w:t>
      </w:r>
      <w:r w:rsidR="00564909" w:rsidRPr="00686729">
        <w:t xml:space="preserve"> </w:t>
      </w:r>
    </w:p>
    <w:p w14:paraId="66E3DB8F" w14:textId="3F42AE62" w:rsidR="00C214B8" w:rsidRPr="00686729" w:rsidRDefault="00C214B8" w:rsidP="00F53F6D">
      <w:pPr>
        <w:numPr>
          <w:ilvl w:val="0"/>
          <w:numId w:val="24"/>
        </w:numPr>
        <w:rPr>
          <w:lang w:val="en-IE"/>
        </w:rPr>
      </w:pPr>
      <w:r w:rsidRPr="00686729">
        <w:t xml:space="preserve">Tackle remaining </w:t>
      </w:r>
      <w:r w:rsidRPr="00686729">
        <w:rPr>
          <w:bCs/>
        </w:rPr>
        <w:t xml:space="preserve">market fragmentation, </w:t>
      </w:r>
      <w:r w:rsidRPr="00686729">
        <w:t xml:space="preserve">in line with the barriers described in the </w:t>
      </w:r>
      <w:r w:rsidRPr="00686729">
        <w:rPr>
          <w:bCs/>
        </w:rPr>
        <w:t>EPTF Report</w:t>
      </w:r>
    </w:p>
    <w:p w14:paraId="768D74B8" w14:textId="77777777" w:rsidR="00C214B8" w:rsidRPr="00686729" w:rsidRDefault="00C214B8" w:rsidP="00F53F6D">
      <w:pPr>
        <w:numPr>
          <w:ilvl w:val="0"/>
          <w:numId w:val="24"/>
        </w:numPr>
        <w:rPr>
          <w:lang w:val="en-IE"/>
        </w:rPr>
      </w:pPr>
      <w:r w:rsidRPr="00686729">
        <w:rPr>
          <w:bCs/>
        </w:rPr>
        <w:t>Harmonise settlement practices</w:t>
      </w:r>
      <w:r w:rsidRPr="00686729">
        <w:t>, e.g. the transfer agent model:</w:t>
      </w:r>
    </w:p>
    <w:p w14:paraId="260CD48B" w14:textId="77777777" w:rsidR="007B196A" w:rsidRPr="007B196A" w:rsidRDefault="00C214B8" w:rsidP="00F53F6D">
      <w:pPr>
        <w:numPr>
          <w:ilvl w:val="1"/>
          <w:numId w:val="24"/>
        </w:numPr>
        <w:rPr>
          <w:lang w:val="en-IE"/>
        </w:rPr>
      </w:pPr>
      <w:r w:rsidRPr="00564909">
        <w:t>Integrated with the CSD (accelerates the treatment)</w:t>
      </w:r>
    </w:p>
    <w:p w14:paraId="4CE9B1AE" w14:textId="1F3458A1" w:rsidR="004C3B27" w:rsidRPr="00686729" w:rsidRDefault="00C214B8" w:rsidP="00C5469A">
      <w:pPr>
        <w:numPr>
          <w:ilvl w:val="1"/>
          <w:numId w:val="24"/>
        </w:numPr>
        <w:rPr>
          <w:lang w:val="en-IE"/>
        </w:rPr>
      </w:pPr>
      <w:r w:rsidRPr="00564909">
        <w:t>Separated from the CSD (facilitates the AML controls)</w:t>
      </w:r>
    </w:p>
    <w:permEnd w:id="1617899118"/>
    <w:p w14:paraId="04595985" w14:textId="6DF160E5" w:rsidR="00B15C0B" w:rsidRPr="00C5469A" w:rsidRDefault="00C5469A" w:rsidP="00B15C0B">
      <w:r>
        <w:t>&lt;ESMA_QUESTION_SETT_27&gt;</w:t>
      </w:r>
    </w:p>
    <w:sectPr w:rsidR="00B15C0B" w:rsidRPr="00C5469A" w:rsidSect="00AD0B10">
      <w:headerReference w:type="default" r:id="rId21"/>
      <w:footerReference w:type="default" r:id="rId22"/>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5EB92" w14:textId="77777777" w:rsidR="00A55C2B" w:rsidRDefault="00A55C2B" w:rsidP="007E7997">
      <w:pPr>
        <w:spacing w:line="240" w:lineRule="auto"/>
      </w:pPr>
      <w:r>
        <w:separator/>
      </w:r>
    </w:p>
  </w:endnote>
  <w:endnote w:type="continuationSeparator" w:id="0">
    <w:p w14:paraId="50B8F14A" w14:textId="77777777" w:rsidR="00A55C2B" w:rsidRDefault="00A55C2B" w:rsidP="007E7997">
      <w:pPr>
        <w:spacing w:line="240" w:lineRule="auto"/>
      </w:pPr>
      <w:r>
        <w:continuationSeparator/>
      </w:r>
    </w:p>
  </w:endnote>
  <w:endnote w:type="continuationNotice" w:id="1">
    <w:p w14:paraId="3E79C764" w14:textId="77777777" w:rsidR="00A55C2B" w:rsidRDefault="00A55C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C214B8" w:rsidRDefault="00C214B8" w:rsidP="002533FC">
        <w:pPr>
          <w:rPr>
            <w:i/>
            <w:iCs/>
          </w:rPr>
        </w:pPr>
      </w:p>
      <w:p w14:paraId="237A920D" w14:textId="56870BC6" w:rsidR="00C214B8" w:rsidRPr="004E5FF8" w:rsidRDefault="00C214B8"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Pr>
            <w:rFonts w:ascii="Arial" w:hAnsi="Arial" w:cs="Arial"/>
            <w:lang w:val="fr-FR"/>
          </w:rPr>
          <w:tab/>
        </w:r>
        <w:r w:rsidRPr="00B73281">
          <w:rPr>
            <w:lang w:val="fr-BE"/>
          </w:rPr>
          <w:t xml:space="preserve"> </w:t>
        </w:r>
        <w:r>
          <w:fldChar w:fldCharType="begin"/>
        </w:r>
        <w:r w:rsidRPr="002537CE">
          <w:rPr>
            <w:lang w:val="fr-FR"/>
          </w:rPr>
          <w:instrText xml:space="preserve"> PAGE   \* MERGEFORMAT </w:instrText>
        </w:r>
        <w:r>
          <w:fldChar w:fldCharType="separate"/>
        </w:r>
        <w:r w:rsidRPr="002537CE">
          <w:rPr>
            <w:noProof/>
            <w:lang w:val="fr-FR"/>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024557"/>
      <w:docPartObj>
        <w:docPartGallery w:val="Page Numbers (Bottom of Page)"/>
        <w:docPartUnique/>
      </w:docPartObj>
    </w:sdtPr>
    <w:sdtEndPr>
      <w:rPr>
        <w:noProof/>
      </w:rPr>
    </w:sdtEndPr>
    <w:sdtContent>
      <w:p w14:paraId="5AA6C61A" w14:textId="77777777" w:rsidR="00C214B8" w:rsidRDefault="00C214B8"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A101B" w14:textId="77777777" w:rsidR="00A55C2B" w:rsidRDefault="00A55C2B" w:rsidP="007E7997">
      <w:pPr>
        <w:spacing w:line="240" w:lineRule="auto"/>
      </w:pPr>
      <w:r>
        <w:separator/>
      </w:r>
    </w:p>
  </w:footnote>
  <w:footnote w:type="continuationSeparator" w:id="0">
    <w:p w14:paraId="3CBEC8E8" w14:textId="77777777" w:rsidR="00A55C2B" w:rsidRDefault="00A55C2B" w:rsidP="007E7997">
      <w:pPr>
        <w:spacing w:line="240" w:lineRule="auto"/>
      </w:pPr>
      <w:r>
        <w:continuationSeparator/>
      </w:r>
    </w:p>
  </w:footnote>
  <w:footnote w:type="continuationNotice" w:id="1">
    <w:p w14:paraId="4F05D34A" w14:textId="77777777" w:rsidR="00A55C2B" w:rsidRDefault="00A55C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42034" w14:textId="2FE584B9" w:rsidR="00C214B8" w:rsidRPr="008858FE" w:rsidRDefault="00C214B8"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t>5 October 2023</w:t>
    </w:r>
  </w:p>
  <w:p w14:paraId="2AC4487A" w14:textId="49B7B31C" w:rsidR="00C214B8" w:rsidRPr="00D77369" w:rsidRDefault="00C214B8" w:rsidP="00D77369">
    <w:pPr>
      <w:pStyle w:val="Header"/>
    </w:pPr>
    <w:r w:rsidRPr="00B03969">
      <w:t>ESMA74-2119945925-1689</w:t>
    </w:r>
  </w:p>
  <w:p w14:paraId="471D4524" w14:textId="77777777" w:rsidR="00C214B8" w:rsidRDefault="00C214B8" w:rsidP="004E5FF8"/>
  <w:p w14:paraId="48F2413B" w14:textId="77777777" w:rsidR="00C214B8" w:rsidRDefault="00C214B8" w:rsidP="004E5FF8"/>
  <w:p w14:paraId="10BD5565" w14:textId="77777777" w:rsidR="00C214B8" w:rsidRDefault="00C214B8"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BFB72" w14:textId="122D2DD4" w:rsidR="00C214B8" w:rsidRDefault="00C214B8" w:rsidP="0043139E">
    <w:pPr>
      <w:pStyle w:val="Header"/>
    </w:pPr>
  </w:p>
  <w:p w14:paraId="6A43EA5E" w14:textId="4A830C83" w:rsidR="00C214B8" w:rsidRDefault="00C214B8" w:rsidP="0043139E">
    <w:pPr>
      <w:pStyle w:val="Header"/>
    </w:pPr>
  </w:p>
  <w:p w14:paraId="2083DACE" w14:textId="77777777" w:rsidR="00C214B8" w:rsidRPr="0043139E" w:rsidRDefault="00C214B8" w:rsidP="0043139E">
    <w:pPr>
      <w:pStyle w:val="Header"/>
    </w:pPr>
  </w:p>
  <w:p w14:paraId="140A363C" w14:textId="77777777" w:rsidR="00C214B8" w:rsidRPr="0043139E" w:rsidRDefault="00C214B8" w:rsidP="0043139E">
    <w:pPr>
      <w:pStyle w:val="Header"/>
    </w:pPr>
  </w:p>
  <w:p w14:paraId="66CF4BF9" w14:textId="4F625EE8" w:rsidR="00C214B8" w:rsidRPr="0043139E" w:rsidRDefault="00C214B8"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C214B8" w:rsidRPr="0043139E" w:rsidRDefault="00C214B8" w:rsidP="0043139E">
    <w:pPr>
      <w:pStyle w:val="Header"/>
    </w:pPr>
  </w:p>
  <w:p w14:paraId="70942C9C" w14:textId="77777777" w:rsidR="00C214B8" w:rsidRPr="0043139E" w:rsidRDefault="00C214B8" w:rsidP="0043139E">
    <w:pPr>
      <w:pStyle w:val="Header"/>
    </w:pPr>
  </w:p>
  <w:p w14:paraId="7F8040EC" w14:textId="77777777" w:rsidR="00C214B8" w:rsidRPr="0043139E" w:rsidRDefault="00C214B8" w:rsidP="0043139E">
    <w:pPr>
      <w:pStyle w:val="Header"/>
    </w:pPr>
  </w:p>
  <w:p w14:paraId="76479F6F" w14:textId="77777777" w:rsidR="00C214B8" w:rsidRPr="0043139E" w:rsidRDefault="00C214B8" w:rsidP="0043139E">
    <w:pPr>
      <w:pStyle w:val="Header"/>
    </w:pPr>
  </w:p>
  <w:p w14:paraId="34BC4F59" w14:textId="77777777" w:rsidR="00C214B8" w:rsidRPr="0043139E" w:rsidRDefault="00C214B8" w:rsidP="0043139E">
    <w:pPr>
      <w:pStyle w:val="Header"/>
    </w:pPr>
  </w:p>
  <w:p w14:paraId="373CE412" w14:textId="77777777" w:rsidR="00C214B8" w:rsidRPr="0043139E" w:rsidRDefault="00C214B8" w:rsidP="0043139E">
    <w:pPr>
      <w:pStyle w:val="Header"/>
    </w:pPr>
  </w:p>
  <w:p w14:paraId="36065F1B" w14:textId="154438DA" w:rsidR="00C214B8" w:rsidRDefault="00C214B8" w:rsidP="0043139E">
    <w:pPr>
      <w:pStyle w:val="Header"/>
    </w:pPr>
  </w:p>
  <w:p w14:paraId="7545C91A" w14:textId="77777777" w:rsidR="00C214B8" w:rsidRPr="0043139E" w:rsidRDefault="00C214B8"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D944" w14:textId="77777777" w:rsidR="00C214B8" w:rsidRDefault="00C214B8">
    <w:pPr>
      <w:pStyle w:val="Header"/>
    </w:pPr>
  </w:p>
  <w:p w14:paraId="410BE8FC" w14:textId="77777777" w:rsidR="00C214B8" w:rsidRDefault="00C214B8">
    <w:pPr>
      <w:pStyle w:val="Header"/>
    </w:pPr>
  </w:p>
  <w:p w14:paraId="00F5D8E1" w14:textId="77777777" w:rsidR="00C214B8" w:rsidRDefault="00C214B8">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C214B8" w:rsidRDefault="00C214B8"/>
  <w:p w14:paraId="452DAADD" w14:textId="77777777" w:rsidR="00C214B8" w:rsidRDefault="00C214B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34B74" w14:textId="7D6DC2CF" w:rsidR="00C214B8" w:rsidRDefault="00C214B8" w:rsidP="00AD0B10">
    <w:pPr>
      <w:pStyle w:val="Header"/>
    </w:pPr>
  </w:p>
  <w:p w14:paraId="76D78551" w14:textId="45227A06" w:rsidR="00C214B8" w:rsidRDefault="00C214B8" w:rsidP="00AD0B10">
    <w:pPr>
      <w:pStyle w:val="Header"/>
    </w:pPr>
  </w:p>
  <w:p w14:paraId="56B00CEC" w14:textId="77777777" w:rsidR="00C214B8" w:rsidRPr="0043139E" w:rsidRDefault="00C214B8" w:rsidP="00AD0B10">
    <w:pPr>
      <w:pStyle w:val="Header"/>
    </w:pPr>
  </w:p>
  <w:p w14:paraId="68227DE6" w14:textId="77777777" w:rsidR="00C214B8" w:rsidRPr="0043139E" w:rsidRDefault="00C214B8" w:rsidP="00AD0B10">
    <w:pPr>
      <w:pStyle w:val="Header"/>
    </w:pPr>
  </w:p>
  <w:p w14:paraId="0E44DBD1" w14:textId="77777777" w:rsidR="00C214B8" w:rsidRPr="0043139E" w:rsidRDefault="00C214B8"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C214B8" w:rsidRPr="0043139E" w:rsidRDefault="00C214B8" w:rsidP="00AD0B10">
    <w:pPr>
      <w:pStyle w:val="Header"/>
    </w:pPr>
  </w:p>
  <w:p w14:paraId="706EF268" w14:textId="77777777" w:rsidR="00C214B8" w:rsidRPr="0043139E" w:rsidRDefault="00C214B8" w:rsidP="00AD0B10">
    <w:pPr>
      <w:pStyle w:val="Header"/>
    </w:pPr>
  </w:p>
  <w:p w14:paraId="6B568202" w14:textId="77777777" w:rsidR="00C214B8" w:rsidRPr="0043139E" w:rsidRDefault="00C214B8" w:rsidP="00AD0B10">
    <w:pPr>
      <w:pStyle w:val="Header"/>
    </w:pPr>
  </w:p>
  <w:p w14:paraId="70C66BCD" w14:textId="77777777" w:rsidR="00C214B8" w:rsidRPr="0043139E" w:rsidRDefault="00C214B8" w:rsidP="00AD0B10">
    <w:pPr>
      <w:pStyle w:val="Header"/>
    </w:pPr>
  </w:p>
  <w:p w14:paraId="07229907" w14:textId="77777777" w:rsidR="00C214B8" w:rsidRPr="0043139E" w:rsidRDefault="00C214B8" w:rsidP="00AD0B10">
    <w:pPr>
      <w:pStyle w:val="Header"/>
    </w:pPr>
  </w:p>
  <w:p w14:paraId="55555744" w14:textId="77777777" w:rsidR="00C214B8" w:rsidRPr="0043139E" w:rsidRDefault="00C214B8" w:rsidP="00AD0B10">
    <w:pPr>
      <w:pStyle w:val="Header"/>
    </w:pPr>
  </w:p>
  <w:p w14:paraId="4601AE9C" w14:textId="77777777" w:rsidR="00C214B8" w:rsidRDefault="00C214B8" w:rsidP="00AD0B10">
    <w:pPr>
      <w:pStyle w:val="Header"/>
    </w:pPr>
  </w:p>
  <w:p w14:paraId="49946785" w14:textId="77777777" w:rsidR="00C214B8" w:rsidRPr="0043139E" w:rsidRDefault="00C214B8" w:rsidP="00AD0B10">
    <w:pPr>
      <w:pStyle w:val="Header"/>
    </w:pPr>
  </w:p>
  <w:p w14:paraId="72BAD19F" w14:textId="77777777" w:rsidR="00C214B8" w:rsidRPr="00AD0B10" w:rsidRDefault="00C214B8"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31ED"/>
    <w:multiLevelType w:val="hybridMultilevel"/>
    <w:tmpl w:val="80362FE2"/>
    <w:lvl w:ilvl="0" w:tplc="18090019">
      <w:start w:val="1"/>
      <w:numFmt w:val="lowerLetter"/>
      <w:lvlText w:val="%1."/>
      <w:lvlJc w:val="left"/>
      <w:pPr>
        <w:ind w:left="720" w:hanging="360"/>
      </w:pPr>
    </w:lvl>
    <w:lvl w:ilvl="1" w:tplc="1809001B">
      <w:start w:val="1"/>
      <w:numFmt w:val="lowerRoman"/>
      <w:lvlText w:val="%2."/>
      <w:lvlJc w:val="righ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8194FCB"/>
    <w:multiLevelType w:val="hybridMultilevel"/>
    <w:tmpl w:val="B6543C10"/>
    <w:lvl w:ilvl="0" w:tplc="03C2976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99E29F9"/>
    <w:multiLevelType w:val="hybridMultilevel"/>
    <w:tmpl w:val="E4EA86BE"/>
    <w:lvl w:ilvl="0" w:tplc="08090017">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034520"/>
    <w:multiLevelType w:val="hybridMultilevel"/>
    <w:tmpl w:val="88B06D42"/>
    <w:lvl w:ilvl="0" w:tplc="F586D31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D64BE0"/>
    <w:multiLevelType w:val="hybridMultilevel"/>
    <w:tmpl w:val="39D899AC"/>
    <w:lvl w:ilvl="0" w:tplc="0516709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9129D"/>
    <w:multiLevelType w:val="hybridMultilevel"/>
    <w:tmpl w:val="6128A282"/>
    <w:lvl w:ilvl="0" w:tplc="EF8A2CC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3420AE"/>
    <w:multiLevelType w:val="hybridMultilevel"/>
    <w:tmpl w:val="BEE627CE"/>
    <w:lvl w:ilvl="0" w:tplc="18090017">
      <w:start w:val="1"/>
      <w:numFmt w:val="lowerLetter"/>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18668D4"/>
    <w:multiLevelType w:val="hybridMultilevel"/>
    <w:tmpl w:val="A0BCB3A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5771C8C"/>
    <w:multiLevelType w:val="hybridMultilevel"/>
    <w:tmpl w:val="F77865DC"/>
    <w:lvl w:ilvl="0" w:tplc="1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AAF6714"/>
    <w:multiLevelType w:val="hybridMultilevel"/>
    <w:tmpl w:val="D9288D64"/>
    <w:lvl w:ilvl="0" w:tplc="CB167E7C">
      <w:start w:val="1"/>
      <w:numFmt w:val="lowerLetter"/>
      <w:lvlText w:val="%1."/>
      <w:lvlJc w:val="left"/>
      <w:pPr>
        <w:tabs>
          <w:tab w:val="num" w:pos="720"/>
        </w:tabs>
        <w:ind w:left="720" w:hanging="360"/>
      </w:pPr>
    </w:lvl>
    <w:lvl w:ilvl="1" w:tplc="416C50AA">
      <w:start w:val="1"/>
      <w:numFmt w:val="lowerLetter"/>
      <w:lvlText w:val="%2."/>
      <w:lvlJc w:val="left"/>
      <w:pPr>
        <w:tabs>
          <w:tab w:val="num" w:pos="1440"/>
        </w:tabs>
        <w:ind w:left="1440" w:hanging="360"/>
      </w:pPr>
    </w:lvl>
    <w:lvl w:ilvl="2" w:tplc="D33069CC">
      <w:start w:val="1"/>
      <w:numFmt w:val="decimal"/>
      <w:lvlText w:val="%3."/>
      <w:lvlJc w:val="left"/>
      <w:pPr>
        <w:ind w:left="2160" w:hanging="360"/>
      </w:pPr>
      <w:rPr>
        <w:rFonts w:hint="default"/>
      </w:rPr>
    </w:lvl>
    <w:lvl w:ilvl="3" w:tplc="62BC236C" w:tentative="1">
      <w:start w:val="1"/>
      <w:numFmt w:val="lowerLetter"/>
      <w:lvlText w:val="%4."/>
      <w:lvlJc w:val="left"/>
      <w:pPr>
        <w:tabs>
          <w:tab w:val="num" w:pos="2880"/>
        </w:tabs>
        <w:ind w:left="2880" w:hanging="360"/>
      </w:pPr>
    </w:lvl>
    <w:lvl w:ilvl="4" w:tplc="7096A368" w:tentative="1">
      <w:start w:val="1"/>
      <w:numFmt w:val="lowerLetter"/>
      <w:lvlText w:val="%5."/>
      <w:lvlJc w:val="left"/>
      <w:pPr>
        <w:tabs>
          <w:tab w:val="num" w:pos="3600"/>
        </w:tabs>
        <w:ind w:left="3600" w:hanging="360"/>
      </w:pPr>
    </w:lvl>
    <w:lvl w:ilvl="5" w:tplc="575E472C" w:tentative="1">
      <w:start w:val="1"/>
      <w:numFmt w:val="lowerLetter"/>
      <w:lvlText w:val="%6."/>
      <w:lvlJc w:val="left"/>
      <w:pPr>
        <w:tabs>
          <w:tab w:val="num" w:pos="4320"/>
        </w:tabs>
        <w:ind w:left="4320" w:hanging="360"/>
      </w:pPr>
    </w:lvl>
    <w:lvl w:ilvl="6" w:tplc="B90C8DA2" w:tentative="1">
      <w:start w:val="1"/>
      <w:numFmt w:val="lowerLetter"/>
      <w:lvlText w:val="%7."/>
      <w:lvlJc w:val="left"/>
      <w:pPr>
        <w:tabs>
          <w:tab w:val="num" w:pos="5040"/>
        </w:tabs>
        <w:ind w:left="5040" w:hanging="360"/>
      </w:pPr>
    </w:lvl>
    <w:lvl w:ilvl="7" w:tplc="160AD804" w:tentative="1">
      <w:start w:val="1"/>
      <w:numFmt w:val="lowerLetter"/>
      <w:lvlText w:val="%8."/>
      <w:lvlJc w:val="left"/>
      <w:pPr>
        <w:tabs>
          <w:tab w:val="num" w:pos="5760"/>
        </w:tabs>
        <w:ind w:left="5760" w:hanging="360"/>
      </w:pPr>
    </w:lvl>
    <w:lvl w:ilvl="8" w:tplc="A02C689A" w:tentative="1">
      <w:start w:val="1"/>
      <w:numFmt w:val="lowerLetter"/>
      <w:lvlText w:val="%9."/>
      <w:lvlJc w:val="left"/>
      <w:pPr>
        <w:tabs>
          <w:tab w:val="num" w:pos="6480"/>
        </w:tabs>
        <w:ind w:left="6480" w:hanging="360"/>
      </w:pPr>
    </w:lvl>
  </w:abstractNum>
  <w:abstractNum w:abstractNumId="10" w15:restartNumberingAfterBreak="0">
    <w:nsid w:val="1B182F00"/>
    <w:multiLevelType w:val="hybridMultilevel"/>
    <w:tmpl w:val="AD4003BE"/>
    <w:lvl w:ilvl="0" w:tplc="1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0C3997"/>
    <w:multiLevelType w:val="hybridMultilevel"/>
    <w:tmpl w:val="4DD2CB16"/>
    <w:lvl w:ilvl="0" w:tplc="919C8EE0">
      <w:start w:val="1"/>
      <w:numFmt w:val="lowerLetter"/>
      <w:lvlText w:val="%1."/>
      <w:lvlJc w:val="left"/>
      <w:pPr>
        <w:tabs>
          <w:tab w:val="num" w:pos="720"/>
        </w:tabs>
        <w:ind w:left="720" w:hanging="360"/>
      </w:pPr>
    </w:lvl>
    <w:lvl w:ilvl="1" w:tplc="92740FCC">
      <w:start w:val="1"/>
      <w:numFmt w:val="lowerRoman"/>
      <w:lvlText w:val="%2."/>
      <w:lvlJc w:val="right"/>
      <w:pPr>
        <w:tabs>
          <w:tab w:val="num" w:pos="1440"/>
        </w:tabs>
        <w:ind w:left="1440" w:hanging="360"/>
      </w:pPr>
    </w:lvl>
    <w:lvl w:ilvl="2" w:tplc="7882B102" w:tentative="1">
      <w:start w:val="1"/>
      <w:numFmt w:val="lowerLetter"/>
      <w:lvlText w:val="%3."/>
      <w:lvlJc w:val="left"/>
      <w:pPr>
        <w:tabs>
          <w:tab w:val="num" w:pos="2160"/>
        </w:tabs>
        <w:ind w:left="2160" w:hanging="360"/>
      </w:pPr>
    </w:lvl>
    <w:lvl w:ilvl="3" w:tplc="429CD1BE" w:tentative="1">
      <w:start w:val="1"/>
      <w:numFmt w:val="lowerLetter"/>
      <w:lvlText w:val="%4."/>
      <w:lvlJc w:val="left"/>
      <w:pPr>
        <w:tabs>
          <w:tab w:val="num" w:pos="2880"/>
        </w:tabs>
        <w:ind w:left="2880" w:hanging="360"/>
      </w:pPr>
    </w:lvl>
    <w:lvl w:ilvl="4" w:tplc="E53CF222" w:tentative="1">
      <w:start w:val="1"/>
      <w:numFmt w:val="lowerLetter"/>
      <w:lvlText w:val="%5."/>
      <w:lvlJc w:val="left"/>
      <w:pPr>
        <w:tabs>
          <w:tab w:val="num" w:pos="3600"/>
        </w:tabs>
        <w:ind w:left="3600" w:hanging="360"/>
      </w:pPr>
    </w:lvl>
    <w:lvl w:ilvl="5" w:tplc="A76A3C54" w:tentative="1">
      <w:start w:val="1"/>
      <w:numFmt w:val="lowerLetter"/>
      <w:lvlText w:val="%6."/>
      <w:lvlJc w:val="left"/>
      <w:pPr>
        <w:tabs>
          <w:tab w:val="num" w:pos="4320"/>
        </w:tabs>
        <w:ind w:left="4320" w:hanging="360"/>
      </w:pPr>
    </w:lvl>
    <w:lvl w:ilvl="6" w:tplc="EBEC721E" w:tentative="1">
      <w:start w:val="1"/>
      <w:numFmt w:val="lowerLetter"/>
      <w:lvlText w:val="%7."/>
      <w:lvlJc w:val="left"/>
      <w:pPr>
        <w:tabs>
          <w:tab w:val="num" w:pos="5040"/>
        </w:tabs>
        <w:ind w:left="5040" w:hanging="360"/>
      </w:pPr>
    </w:lvl>
    <w:lvl w:ilvl="7" w:tplc="725A48B4" w:tentative="1">
      <w:start w:val="1"/>
      <w:numFmt w:val="lowerLetter"/>
      <w:lvlText w:val="%8."/>
      <w:lvlJc w:val="left"/>
      <w:pPr>
        <w:tabs>
          <w:tab w:val="num" w:pos="5760"/>
        </w:tabs>
        <w:ind w:left="5760" w:hanging="360"/>
      </w:pPr>
    </w:lvl>
    <w:lvl w:ilvl="8" w:tplc="B5EE02F8" w:tentative="1">
      <w:start w:val="1"/>
      <w:numFmt w:val="lowerLetter"/>
      <w:lvlText w:val="%9."/>
      <w:lvlJc w:val="left"/>
      <w:pPr>
        <w:tabs>
          <w:tab w:val="num" w:pos="6480"/>
        </w:tabs>
        <w:ind w:left="6480" w:hanging="360"/>
      </w:pPr>
    </w:lvl>
  </w:abstractNum>
  <w:abstractNum w:abstractNumId="12" w15:restartNumberingAfterBreak="0">
    <w:nsid w:val="20B46394"/>
    <w:multiLevelType w:val="hybridMultilevel"/>
    <w:tmpl w:val="D724FE5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3867C59"/>
    <w:multiLevelType w:val="hybridMultilevel"/>
    <w:tmpl w:val="4A1C7412"/>
    <w:lvl w:ilvl="0" w:tplc="56A0B13C">
      <w:start w:val="1"/>
      <w:numFmt w:val="lowerLetter"/>
      <w:lvlText w:val="%1."/>
      <w:lvlJc w:val="left"/>
      <w:pPr>
        <w:tabs>
          <w:tab w:val="num" w:pos="720"/>
        </w:tabs>
        <w:ind w:left="720" w:hanging="360"/>
      </w:pPr>
    </w:lvl>
    <w:lvl w:ilvl="1" w:tplc="F82A24D4">
      <w:start w:val="1"/>
      <w:numFmt w:val="lowerRoman"/>
      <w:lvlText w:val="%2."/>
      <w:lvlJc w:val="right"/>
      <w:pPr>
        <w:tabs>
          <w:tab w:val="num" w:pos="1440"/>
        </w:tabs>
        <w:ind w:left="1440" w:hanging="360"/>
      </w:pPr>
    </w:lvl>
    <w:lvl w:ilvl="2" w:tplc="4CF0297E" w:tentative="1">
      <w:start w:val="1"/>
      <w:numFmt w:val="lowerLetter"/>
      <w:lvlText w:val="%3."/>
      <w:lvlJc w:val="left"/>
      <w:pPr>
        <w:tabs>
          <w:tab w:val="num" w:pos="2160"/>
        </w:tabs>
        <w:ind w:left="2160" w:hanging="360"/>
      </w:pPr>
    </w:lvl>
    <w:lvl w:ilvl="3" w:tplc="2E92DD86" w:tentative="1">
      <w:start w:val="1"/>
      <w:numFmt w:val="lowerLetter"/>
      <w:lvlText w:val="%4."/>
      <w:lvlJc w:val="left"/>
      <w:pPr>
        <w:tabs>
          <w:tab w:val="num" w:pos="2880"/>
        </w:tabs>
        <w:ind w:left="2880" w:hanging="360"/>
      </w:pPr>
    </w:lvl>
    <w:lvl w:ilvl="4" w:tplc="DBBE8786" w:tentative="1">
      <w:start w:val="1"/>
      <w:numFmt w:val="lowerLetter"/>
      <w:lvlText w:val="%5."/>
      <w:lvlJc w:val="left"/>
      <w:pPr>
        <w:tabs>
          <w:tab w:val="num" w:pos="3600"/>
        </w:tabs>
        <w:ind w:left="3600" w:hanging="360"/>
      </w:pPr>
    </w:lvl>
    <w:lvl w:ilvl="5" w:tplc="BAF86DC4" w:tentative="1">
      <w:start w:val="1"/>
      <w:numFmt w:val="lowerLetter"/>
      <w:lvlText w:val="%6."/>
      <w:lvlJc w:val="left"/>
      <w:pPr>
        <w:tabs>
          <w:tab w:val="num" w:pos="4320"/>
        </w:tabs>
        <w:ind w:left="4320" w:hanging="360"/>
      </w:pPr>
    </w:lvl>
    <w:lvl w:ilvl="6" w:tplc="8D8E2BD8" w:tentative="1">
      <w:start w:val="1"/>
      <w:numFmt w:val="lowerLetter"/>
      <w:lvlText w:val="%7."/>
      <w:lvlJc w:val="left"/>
      <w:pPr>
        <w:tabs>
          <w:tab w:val="num" w:pos="5040"/>
        </w:tabs>
        <w:ind w:left="5040" w:hanging="360"/>
      </w:pPr>
    </w:lvl>
    <w:lvl w:ilvl="7" w:tplc="780847BC" w:tentative="1">
      <w:start w:val="1"/>
      <w:numFmt w:val="lowerLetter"/>
      <w:lvlText w:val="%8."/>
      <w:lvlJc w:val="left"/>
      <w:pPr>
        <w:tabs>
          <w:tab w:val="num" w:pos="5760"/>
        </w:tabs>
        <w:ind w:left="5760" w:hanging="360"/>
      </w:pPr>
    </w:lvl>
    <w:lvl w:ilvl="8" w:tplc="83B06F18" w:tentative="1">
      <w:start w:val="1"/>
      <w:numFmt w:val="lowerLetter"/>
      <w:lvlText w:val="%9."/>
      <w:lvlJc w:val="left"/>
      <w:pPr>
        <w:tabs>
          <w:tab w:val="num" w:pos="6480"/>
        </w:tabs>
        <w:ind w:left="6480" w:hanging="360"/>
      </w:pPr>
    </w:lvl>
  </w:abstractNum>
  <w:abstractNum w:abstractNumId="14" w15:restartNumberingAfterBreak="0">
    <w:nsid w:val="262C1608"/>
    <w:multiLevelType w:val="hybridMultilevel"/>
    <w:tmpl w:val="DE36618C"/>
    <w:lvl w:ilvl="0" w:tplc="8B98DE70">
      <w:start w:val="1"/>
      <w:numFmt w:val="bullet"/>
      <w:lvlText w:val="•"/>
      <w:lvlJc w:val="left"/>
      <w:pPr>
        <w:tabs>
          <w:tab w:val="num" w:pos="720"/>
        </w:tabs>
        <w:ind w:left="720" w:hanging="360"/>
      </w:pPr>
      <w:rPr>
        <w:rFonts w:ascii="Arial" w:hAnsi="Arial" w:hint="default"/>
      </w:rPr>
    </w:lvl>
    <w:lvl w:ilvl="1" w:tplc="0142BAC6" w:tentative="1">
      <w:start w:val="1"/>
      <w:numFmt w:val="bullet"/>
      <w:lvlText w:val="•"/>
      <w:lvlJc w:val="left"/>
      <w:pPr>
        <w:tabs>
          <w:tab w:val="num" w:pos="1440"/>
        </w:tabs>
        <w:ind w:left="1440" w:hanging="360"/>
      </w:pPr>
      <w:rPr>
        <w:rFonts w:ascii="Arial" w:hAnsi="Arial" w:hint="default"/>
      </w:rPr>
    </w:lvl>
    <w:lvl w:ilvl="2" w:tplc="E402AAC8" w:tentative="1">
      <w:start w:val="1"/>
      <w:numFmt w:val="bullet"/>
      <w:lvlText w:val="•"/>
      <w:lvlJc w:val="left"/>
      <w:pPr>
        <w:tabs>
          <w:tab w:val="num" w:pos="2160"/>
        </w:tabs>
        <w:ind w:left="2160" w:hanging="360"/>
      </w:pPr>
      <w:rPr>
        <w:rFonts w:ascii="Arial" w:hAnsi="Arial" w:hint="default"/>
      </w:rPr>
    </w:lvl>
    <w:lvl w:ilvl="3" w:tplc="603C5B94" w:tentative="1">
      <w:start w:val="1"/>
      <w:numFmt w:val="bullet"/>
      <w:lvlText w:val="•"/>
      <w:lvlJc w:val="left"/>
      <w:pPr>
        <w:tabs>
          <w:tab w:val="num" w:pos="2880"/>
        </w:tabs>
        <w:ind w:left="2880" w:hanging="360"/>
      </w:pPr>
      <w:rPr>
        <w:rFonts w:ascii="Arial" w:hAnsi="Arial" w:hint="default"/>
      </w:rPr>
    </w:lvl>
    <w:lvl w:ilvl="4" w:tplc="D488112C" w:tentative="1">
      <w:start w:val="1"/>
      <w:numFmt w:val="bullet"/>
      <w:lvlText w:val="•"/>
      <w:lvlJc w:val="left"/>
      <w:pPr>
        <w:tabs>
          <w:tab w:val="num" w:pos="3600"/>
        </w:tabs>
        <w:ind w:left="3600" w:hanging="360"/>
      </w:pPr>
      <w:rPr>
        <w:rFonts w:ascii="Arial" w:hAnsi="Arial" w:hint="default"/>
      </w:rPr>
    </w:lvl>
    <w:lvl w:ilvl="5" w:tplc="252A0B5A" w:tentative="1">
      <w:start w:val="1"/>
      <w:numFmt w:val="bullet"/>
      <w:lvlText w:val="•"/>
      <w:lvlJc w:val="left"/>
      <w:pPr>
        <w:tabs>
          <w:tab w:val="num" w:pos="4320"/>
        </w:tabs>
        <w:ind w:left="4320" w:hanging="360"/>
      </w:pPr>
      <w:rPr>
        <w:rFonts w:ascii="Arial" w:hAnsi="Arial" w:hint="default"/>
      </w:rPr>
    </w:lvl>
    <w:lvl w:ilvl="6" w:tplc="F238EA70" w:tentative="1">
      <w:start w:val="1"/>
      <w:numFmt w:val="bullet"/>
      <w:lvlText w:val="•"/>
      <w:lvlJc w:val="left"/>
      <w:pPr>
        <w:tabs>
          <w:tab w:val="num" w:pos="5040"/>
        </w:tabs>
        <w:ind w:left="5040" w:hanging="360"/>
      </w:pPr>
      <w:rPr>
        <w:rFonts w:ascii="Arial" w:hAnsi="Arial" w:hint="default"/>
      </w:rPr>
    </w:lvl>
    <w:lvl w:ilvl="7" w:tplc="74B6C770" w:tentative="1">
      <w:start w:val="1"/>
      <w:numFmt w:val="bullet"/>
      <w:lvlText w:val="•"/>
      <w:lvlJc w:val="left"/>
      <w:pPr>
        <w:tabs>
          <w:tab w:val="num" w:pos="5760"/>
        </w:tabs>
        <w:ind w:left="5760" w:hanging="360"/>
      </w:pPr>
      <w:rPr>
        <w:rFonts w:ascii="Arial" w:hAnsi="Arial" w:hint="default"/>
      </w:rPr>
    </w:lvl>
    <w:lvl w:ilvl="8" w:tplc="8FC64B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8C0A25"/>
    <w:multiLevelType w:val="hybridMultilevel"/>
    <w:tmpl w:val="28140894"/>
    <w:lvl w:ilvl="0" w:tplc="5762C956">
      <w:start w:val="1"/>
      <w:numFmt w:val="lowerLetter"/>
      <w:pStyle w:val="ListParagraph"/>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2BBF01E6"/>
    <w:multiLevelType w:val="hybridMultilevel"/>
    <w:tmpl w:val="F5764FAA"/>
    <w:lvl w:ilvl="0" w:tplc="A41A0572">
      <w:start w:val="1"/>
      <w:numFmt w:val="lowerLetter"/>
      <w:lvlText w:val="%1."/>
      <w:lvlJc w:val="left"/>
      <w:pPr>
        <w:tabs>
          <w:tab w:val="num" w:pos="720"/>
        </w:tabs>
        <w:ind w:left="720" w:hanging="360"/>
      </w:pPr>
    </w:lvl>
    <w:lvl w:ilvl="1" w:tplc="3AB6C6FC" w:tentative="1">
      <w:start w:val="1"/>
      <w:numFmt w:val="lowerLetter"/>
      <w:lvlText w:val="%2."/>
      <w:lvlJc w:val="left"/>
      <w:pPr>
        <w:tabs>
          <w:tab w:val="num" w:pos="1440"/>
        </w:tabs>
        <w:ind w:left="1440" w:hanging="360"/>
      </w:pPr>
    </w:lvl>
    <w:lvl w:ilvl="2" w:tplc="6376127A" w:tentative="1">
      <w:start w:val="1"/>
      <w:numFmt w:val="lowerLetter"/>
      <w:lvlText w:val="%3."/>
      <w:lvlJc w:val="left"/>
      <w:pPr>
        <w:tabs>
          <w:tab w:val="num" w:pos="2160"/>
        </w:tabs>
        <w:ind w:left="2160" w:hanging="360"/>
      </w:pPr>
    </w:lvl>
    <w:lvl w:ilvl="3" w:tplc="2A042B78" w:tentative="1">
      <w:start w:val="1"/>
      <w:numFmt w:val="lowerLetter"/>
      <w:lvlText w:val="%4."/>
      <w:lvlJc w:val="left"/>
      <w:pPr>
        <w:tabs>
          <w:tab w:val="num" w:pos="2880"/>
        </w:tabs>
        <w:ind w:left="2880" w:hanging="360"/>
      </w:pPr>
    </w:lvl>
    <w:lvl w:ilvl="4" w:tplc="00A40F52" w:tentative="1">
      <w:start w:val="1"/>
      <w:numFmt w:val="lowerLetter"/>
      <w:lvlText w:val="%5."/>
      <w:lvlJc w:val="left"/>
      <w:pPr>
        <w:tabs>
          <w:tab w:val="num" w:pos="3600"/>
        </w:tabs>
        <w:ind w:left="3600" w:hanging="360"/>
      </w:pPr>
    </w:lvl>
    <w:lvl w:ilvl="5" w:tplc="2B805576" w:tentative="1">
      <w:start w:val="1"/>
      <w:numFmt w:val="lowerLetter"/>
      <w:lvlText w:val="%6."/>
      <w:lvlJc w:val="left"/>
      <w:pPr>
        <w:tabs>
          <w:tab w:val="num" w:pos="4320"/>
        </w:tabs>
        <w:ind w:left="4320" w:hanging="360"/>
      </w:pPr>
    </w:lvl>
    <w:lvl w:ilvl="6" w:tplc="1D768578" w:tentative="1">
      <w:start w:val="1"/>
      <w:numFmt w:val="lowerLetter"/>
      <w:lvlText w:val="%7."/>
      <w:lvlJc w:val="left"/>
      <w:pPr>
        <w:tabs>
          <w:tab w:val="num" w:pos="5040"/>
        </w:tabs>
        <w:ind w:left="5040" w:hanging="360"/>
      </w:pPr>
    </w:lvl>
    <w:lvl w:ilvl="7" w:tplc="E0ACDA92" w:tentative="1">
      <w:start w:val="1"/>
      <w:numFmt w:val="lowerLetter"/>
      <w:lvlText w:val="%8."/>
      <w:lvlJc w:val="left"/>
      <w:pPr>
        <w:tabs>
          <w:tab w:val="num" w:pos="5760"/>
        </w:tabs>
        <w:ind w:left="5760" w:hanging="360"/>
      </w:pPr>
    </w:lvl>
    <w:lvl w:ilvl="8" w:tplc="C366A998" w:tentative="1">
      <w:start w:val="1"/>
      <w:numFmt w:val="lowerLetter"/>
      <w:lvlText w:val="%9."/>
      <w:lvlJc w:val="left"/>
      <w:pPr>
        <w:tabs>
          <w:tab w:val="num" w:pos="6480"/>
        </w:tabs>
        <w:ind w:left="6480" w:hanging="360"/>
      </w:pPr>
    </w:lvl>
  </w:abstractNum>
  <w:abstractNum w:abstractNumId="19" w15:restartNumberingAfterBreak="0">
    <w:nsid w:val="2DDF6E87"/>
    <w:multiLevelType w:val="hybridMultilevel"/>
    <w:tmpl w:val="D32CBC88"/>
    <w:lvl w:ilvl="0" w:tplc="6A4070D4">
      <w:start w:val="1"/>
      <w:numFmt w:val="lowerLetter"/>
      <w:lvlText w:val="%1."/>
      <w:lvlJc w:val="left"/>
      <w:pPr>
        <w:tabs>
          <w:tab w:val="num" w:pos="720"/>
        </w:tabs>
        <w:ind w:left="720" w:hanging="360"/>
      </w:pPr>
    </w:lvl>
    <w:lvl w:ilvl="1" w:tplc="D516286E" w:tentative="1">
      <w:start w:val="1"/>
      <w:numFmt w:val="lowerLetter"/>
      <w:lvlText w:val="%2."/>
      <w:lvlJc w:val="left"/>
      <w:pPr>
        <w:tabs>
          <w:tab w:val="num" w:pos="1440"/>
        </w:tabs>
        <w:ind w:left="1440" w:hanging="360"/>
      </w:pPr>
    </w:lvl>
    <w:lvl w:ilvl="2" w:tplc="4DB8022C" w:tentative="1">
      <w:start w:val="1"/>
      <w:numFmt w:val="lowerLetter"/>
      <w:lvlText w:val="%3."/>
      <w:lvlJc w:val="left"/>
      <w:pPr>
        <w:tabs>
          <w:tab w:val="num" w:pos="2160"/>
        </w:tabs>
        <w:ind w:left="2160" w:hanging="360"/>
      </w:pPr>
    </w:lvl>
    <w:lvl w:ilvl="3" w:tplc="B356621E" w:tentative="1">
      <w:start w:val="1"/>
      <w:numFmt w:val="lowerLetter"/>
      <w:lvlText w:val="%4."/>
      <w:lvlJc w:val="left"/>
      <w:pPr>
        <w:tabs>
          <w:tab w:val="num" w:pos="2880"/>
        </w:tabs>
        <w:ind w:left="2880" w:hanging="360"/>
      </w:pPr>
    </w:lvl>
    <w:lvl w:ilvl="4" w:tplc="8A507EE0" w:tentative="1">
      <w:start w:val="1"/>
      <w:numFmt w:val="lowerLetter"/>
      <w:lvlText w:val="%5."/>
      <w:lvlJc w:val="left"/>
      <w:pPr>
        <w:tabs>
          <w:tab w:val="num" w:pos="3600"/>
        </w:tabs>
        <w:ind w:left="3600" w:hanging="360"/>
      </w:pPr>
    </w:lvl>
    <w:lvl w:ilvl="5" w:tplc="F0AA695E" w:tentative="1">
      <w:start w:val="1"/>
      <w:numFmt w:val="lowerLetter"/>
      <w:lvlText w:val="%6."/>
      <w:lvlJc w:val="left"/>
      <w:pPr>
        <w:tabs>
          <w:tab w:val="num" w:pos="4320"/>
        </w:tabs>
        <w:ind w:left="4320" w:hanging="360"/>
      </w:pPr>
    </w:lvl>
    <w:lvl w:ilvl="6" w:tplc="DD42BE5A" w:tentative="1">
      <w:start w:val="1"/>
      <w:numFmt w:val="lowerLetter"/>
      <w:lvlText w:val="%7."/>
      <w:lvlJc w:val="left"/>
      <w:pPr>
        <w:tabs>
          <w:tab w:val="num" w:pos="5040"/>
        </w:tabs>
        <w:ind w:left="5040" w:hanging="360"/>
      </w:pPr>
    </w:lvl>
    <w:lvl w:ilvl="7" w:tplc="2610A1A6" w:tentative="1">
      <w:start w:val="1"/>
      <w:numFmt w:val="lowerLetter"/>
      <w:lvlText w:val="%8."/>
      <w:lvlJc w:val="left"/>
      <w:pPr>
        <w:tabs>
          <w:tab w:val="num" w:pos="5760"/>
        </w:tabs>
        <w:ind w:left="5760" w:hanging="360"/>
      </w:pPr>
    </w:lvl>
    <w:lvl w:ilvl="8" w:tplc="E6E803CE" w:tentative="1">
      <w:start w:val="1"/>
      <w:numFmt w:val="lowerLetter"/>
      <w:lvlText w:val="%9."/>
      <w:lvlJc w:val="left"/>
      <w:pPr>
        <w:tabs>
          <w:tab w:val="num" w:pos="6480"/>
        </w:tabs>
        <w:ind w:left="6480" w:hanging="360"/>
      </w:pPr>
    </w:lvl>
  </w:abstractNum>
  <w:abstractNum w:abstractNumId="20" w15:restartNumberingAfterBreak="0">
    <w:nsid w:val="337A18E3"/>
    <w:multiLevelType w:val="hybridMultilevel"/>
    <w:tmpl w:val="D4E62F6C"/>
    <w:lvl w:ilvl="0" w:tplc="62360B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F15552"/>
    <w:multiLevelType w:val="hybridMultilevel"/>
    <w:tmpl w:val="4D60DE7E"/>
    <w:lvl w:ilvl="0" w:tplc="1A08F19A">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2"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A760250"/>
    <w:multiLevelType w:val="hybridMultilevel"/>
    <w:tmpl w:val="2934220C"/>
    <w:lvl w:ilvl="0" w:tplc="9F0AB73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1144DF8"/>
    <w:multiLevelType w:val="hybridMultilevel"/>
    <w:tmpl w:val="2E389462"/>
    <w:lvl w:ilvl="0" w:tplc="CFA0E55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A752254"/>
    <w:multiLevelType w:val="hybridMultilevel"/>
    <w:tmpl w:val="5A38766C"/>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6" w15:restartNumberingAfterBreak="0">
    <w:nsid w:val="4ED4700B"/>
    <w:multiLevelType w:val="hybridMultilevel"/>
    <w:tmpl w:val="9B58175A"/>
    <w:lvl w:ilvl="0" w:tplc="6AB41874">
      <w:start w:val="1"/>
      <w:numFmt w:val="lowerLetter"/>
      <w:lvlText w:val="%1)"/>
      <w:lvlJc w:val="left"/>
      <w:pPr>
        <w:ind w:left="1080" w:hanging="360"/>
      </w:pPr>
      <w:rPr>
        <w:rFonts w:hint="default"/>
        <w:color w:val="181818" w:themeColor="background1" w:themeShade="1A"/>
        <w:sz w:val="22"/>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7"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39252B3"/>
    <w:multiLevelType w:val="hybridMultilevel"/>
    <w:tmpl w:val="90FE0208"/>
    <w:lvl w:ilvl="0" w:tplc="6BD2B3C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4E87E47"/>
    <w:multiLevelType w:val="hybridMultilevel"/>
    <w:tmpl w:val="29669078"/>
    <w:lvl w:ilvl="0" w:tplc="B47EEEEA">
      <w:start w:val="1"/>
      <w:numFmt w:val="lowerLetter"/>
      <w:lvlText w:val="%1)"/>
      <w:lvlJc w:val="left"/>
      <w:pPr>
        <w:ind w:left="1440" w:hanging="360"/>
      </w:pPr>
      <w:rPr>
        <w:rFonts w:hint="default"/>
      </w:rPr>
    </w:lvl>
    <w:lvl w:ilvl="1" w:tplc="1809000D">
      <w:start w:val="1"/>
      <w:numFmt w:val="bullet"/>
      <w:lvlText w:val=""/>
      <w:lvlJc w:val="left"/>
      <w:pPr>
        <w:ind w:left="2160" w:hanging="360"/>
      </w:pPr>
      <w:rPr>
        <w:rFonts w:ascii="Wingdings" w:hAnsi="Wingding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6AD6D6C"/>
    <w:multiLevelType w:val="hybridMultilevel"/>
    <w:tmpl w:val="53DA29FA"/>
    <w:lvl w:ilvl="0" w:tplc="60AAF538">
      <w:start w:val="1"/>
      <w:numFmt w:val="lowerLetter"/>
      <w:lvlText w:val="%1)"/>
      <w:lvlJc w:val="left"/>
      <w:pPr>
        <w:ind w:left="1440" w:hanging="360"/>
      </w:pPr>
      <w:rPr>
        <w:rFonts w:hint="default"/>
      </w:rPr>
    </w:lvl>
    <w:lvl w:ilvl="1" w:tplc="1809000D">
      <w:start w:val="1"/>
      <w:numFmt w:val="bullet"/>
      <w:lvlText w:val=""/>
      <w:lvlJc w:val="left"/>
      <w:pPr>
        <w:ind w:left="2160" w:hanging="360"/>
      </w:pPr>
      <w:rPr>
        <w:rFonts w:ascii="Wingdings" w:hAnsi="Wingding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7522BEF"/>
    <w:multiLevelType w:val="hybridMultilevel"/>
    <w:tmpl w:val="343EB1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8D117FE"/>
    <w:multiLevelType w:val="hybridMultilevel"/>
    <w:tmpl w:val="2062D5DE"/>
    <w:lvl w:ilvl="0" w:tplc="4AA05008">
      <w:start w:val="1"/>
      <w:numFmt w:val="bullet"/>
      <w:lvlText w:val="•"/>
      <w:lvlJc w:val="left"/>
      <w:pPr>
        <w:tabs>
          <w:tab w:val="num" w:pos="720"/>
        </w:tabs>
        <w:ind w:left="720" w:hanging="360"/>
      </w:pPr>
      <w:rPr>
        <w:rFonts w:ascii="Arial" w:hAnsi="Arial" w:hint="default"/>
      </w:rPr>
    </w:lvl>
    <w:lvl w:ilvl="1" w:tplc="D1040BE2" w:tentative="1">
      <w:start w:val="1"/>
      <w:numFmt w:val="bullet"/>
      <w:lvlText w:val="•"/>
      <w:lvlJc w:val="left"/>
      <w:pPr>
        <w:tabs>
          <w:tab w:val="num" w:pos="1440"/>
        </w:tabs>
        <w:ind w:left="1440" w:hanging="360"/>
      </w:pPr>
      <w:rPr>
        <w:rFonts w:ascii="Arial" w:hAnsi="Arial" w:hint="default"/>
      </w:rPr>
    </w:lvl>
    <w:lvl w:ilvl="2" w:tplc="55A4ECCA" w:tentative="1">
      <w:start w:val="1"/>
      <w:numFmt w:val="bullet"/>
      <w:lvlText w:val="•"/>
      <w:lvlJc w:val="left"/>
      <w:pPr>
        <w:tabs>
          <w:tab w:val="num" w:pos="2160"/>
        </w:tabs>
        <w:ind w:left="2160" w:hanging="360"/>
      </w:pPr>
      <w:rPr>
        <w:rFonts w:ascii="Arial" w:hAnsi="Arial" w:hint="default"/>
      </w:rPr>
    </w:lvl>
    <w:lvl w:ilvl="3" w:tplc="A1D865CA" w:tentative="1">
      <w:start w:val="1"/>
      <w:numFmt w:val="bullet"/>
      <w:lvlText w:val="•"/>
      <w:lvlJc w:val="left"/>
      <w:pPr>
        <w:tabs>
          <w:tab w:val="num" w:pos="2880"/>
        </w:tabs>
        <w:ind w:left="2880" w:hanging="360"/>
      </w:pPr>
      <w:rPr>
        <w:rFonts w:ascii="Arial" w:hAnsi="Arial" w:hint="default"/>
      </w:rPr>
    </w:lvl>
    <w:lvl w:ilvl="4" w:tplc="70FE36FC" w:tentative="1">
      <w:start w:val="1"/>
      <w:numFmt w:val="bullet"/>
      <w:lvlText w:val="•"/>
      <w:lvlJc w:val="left"/>
      <w:pPr>
        <w:tabs>
          <w:tab w:val="num" w:pos="3600"/>
        </w:tabs>
        <w:ind w:left="3600" w:hanging="360"/>
      </w:pPr>
      <w:rPr>
        <w:rFonts w:ascii="Arial" w:hAnsi="Arial" w:hint="default"/>
      </w:rPr>
    </w:lvl>
    <w:lvl w:ilvl="5" w:tplc="C06A48F4" w:tentative="1">
      <w:start w:val="1"/>
      <w:numFmt w:val="bullet"/>
      <w:lvlText w:val="•"/>
      <w:lvlJc w:val="left"/>
      <w:pPr>
        <w:tabs>
          <w:tab w:val="num" w:pos="4320"/>
        </w:tabs>
        <w:ind w:left="4320" w:hanging="360"/>
      </w:pPr>
      <w:rPr>
        <w:rFonts w:ascii="Arial" w:hAnsi="Arial" w:hint="default"/>
      </w:rPr>
    </w:lvl>
    <w:lvl w:ilvl="6" w:tplc="4C1A139A" w:tentative="1">
      <w:start w:val="1"/>
      <w:numFmt w:val="bullet"/>
      <w:lvlText w:val="•"/>
      <w:lvlJc w:val="left"/>
      <w:pPr>
        <w:tabs>
          <w:tab w:val="num" w:pos="5040"/>
        </w:tabs>
        <w:ind w:left="5040" w:hanging="360"/>
      </w:pPr>
      <w:rPr>
        <w:rFonts w:ascii="Arial" w:hAnsi="Arial" w:hint="default"/>
      </w:rPr>
    </w:lvl>
    <w:lvl w:ilvl="7" w:tplc="7F86A312" w:tentative="1">
      <w:start w:val="1"/>
      <w:numFmt w:val="bullet"/>
      <w:lvlText w:val="•"/>
      <w:lvlJc w:val="left"/>
      <w:pPr>
        <w:tabs>
          <w:tab w:val="num" w:pos="5760"/>
        </w:tabs>
        <w:ind w:left="5760" w:hanging="360"/>
      </w:pPr>
      <w:rPr>
        <w:rFonts w:ascii="Arial" w:hAnsi="Arial" w:hint="default"/>
      </w:rPr>
    </w:lvl>
    <w:lvl w:ilvl="8" w:tplc="52BE9B9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23A04"/>
    <w:multiLevelType w:val="hybridMultilevel"/>
    <w:tmpl w:val="92822B54"/>
    <w:lvl w:ilvl="0" w:tplc="CB167E7C">
      <w:start w:val="1"/>
      <w:numFmt w:val="lowerLetter"/>
      <w:lvlText w:val="%1."/>
      <w:lvlJc w:val="left"/>
      <w:pPr>
        <w:tabs>
          <w:tab w:val="num" w:pos="720"/>
        </w:tabs>
        <w:ind w:left="720" w:hanging="360"/>
      </w:pPr>
    </w:lvl>
    <w:lvl w:ilvl="1" w:tplc="416C50AA">
      <w:start w:val="1"/>
      <w:numFmt w:val="lowerLetter"/>
      <w:lvlText w:val="%2."/>
      <w:lvlJc w:val="left"/>
      <w:pPr>
        <w:tabs>
          <w:tab w:val="num" w:pos="1440"/>
        </w:tabs>
        <w:ind w:left="1440" w:hanging="360"/>
      </w:pPr>
    </w:lvl>
    <w:lvl w:ilvl="2" w:tplc="1809001B">
      <w:start w:val="1"/>
      <w:numFmt w:val="lowerRoman"/>
      <w:lvlText w:val="%3."/>
      <w:lvlJc w:val="right"/>
      <w:pPr>
        <w:ind w:left="2160" w:hanging="360"/>
      </w:pPr>
      <w:rPr>
        <w:rFonts w:hint="default"/>
      </w:rPr>
    </w:lvl>
    <w:lvl w:ilvl="3" w:tplc="A1DE4646">
      <w:start w:val="3"/>
      <w:numFmt w:val="decimal"/>
      <w:lvlText w:val="%4."/>
      <w:lvlJc w:val="left"/>
      <w:pPr>
        <w:ind w:left="2880" w:hanging="360"/>
      </w:pPr>
      <w:rPr>
        <w:rFonts w:hint="default"/>
      </w:rPr>
    </w:lvl>
    <w:lvl w:ilvl="4" w:tplc="7096A368" w:tentative="1">
      <w:start w:val="1"/>
      <w:numFmt w:val="lowerLetter"/>
      <w:lvlText w:val="%5."/>
      <w:lvlJc w:val="left"/>
      <w:pPr>
        <w:tabs>
          <w:tab w:val="num" w:pos="3600"/>
        </w:tabs>
        <w:ind w:left="3600" w:hanging="360"/>
      </w:pPr>
    </w:lvl>
    <w:lvl w:ilvl="5" w:tplc="575E472C" w:tentative="1">
      <w:start w:val="1"/>
      <w:numFmt w:val="lowerLetter"/>
      <w:lvlText w:val="%6."/>
      <w:lvlJc w:val="left"/>
      <w:pPr>
        <w:tabs>
          <w:tab w:val="num" w:pos="4320"/>
        </w:tabs>
        <w:ind w:left="4320" w:hanging="360"/>
      </w:pPr>
    </w:lvl>
    <w:lvl w:ilvl="6" w:tplc="B90C8DA2" w:tentative="1">
      <w:start w:val="1"/>
      <w:numFmt w:val="lowerLetter"/>
      <w:lvlText w:val="%7."/>
      <w:lvlJc w:val="left"/>
      <w:pPr>
        <w:tabs>
          <w:tab w:val="num" w:pos="5040"/>
        </w:tabs>
        <w:ind w:left="5040" w:hanging="360"/>
      </w:pPr>
    </w:lvl>
    <w:lvl w:ilvl="7" w:tplc="160AD804" w:tentative="1">
      <w:start w:val="1"/>
      <w:numFmt w:val="lowerLetter"/>
      <w:lvlText w:val="%8."/>
      <w:lvlJc w:val="left"/>
      <w:pPr>
        <w:tabs>
          <w:tab w:val="num" w:pos="5760"/>
        </w:tabs>
        <w:ind w:left="5760" w:hanging="360"/>
      </w:pPr>
    </w:lvl>
    <w:lvl w:ilvl="8" w:tplc="A02C689A" w:tentative="1">
      <w:start w:val="1"/>
      <w:numFmt w:val="lowerLetter"/>
      <w:lvlText w:val="%9."/>
      <w:lvlJc w:val="left"/>
      <w:pPr>
        <w:tabs>
          <w:tab w:val="num" w:pos="6480"/>
        </w:tabs>
        <w:ind w:left="6480" w:hanging="360"/>
      </w:pPr>
    </w:lvl>
  </w:abstractNum>
  <w:abstractNum w:abstractNumId="34" w15:restartNumberingAfterBreak="0">
    <w:nsid w:val="5C1E240F"/>
    <w:multiLevelType w:val="hybridMultilevel"/>
    <w:tmpl w:val="1A9C2718"/>
    <w:lvl w:ilvl="0" w:tplc="1AD82F64">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4CA75A4"/>
    <w:multiLevelType w:val="hybridMultilevel"/>
    <w:tmpl w:val="51C67852"/>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BA1EBD"/>
    <w:multiLevelType w:val="hybridMultilevel"/>
    <w:tmpl w:val="3DC41AE4"/>
    <w:lvl w:ilvl="0" w:tplc="0248CD7A">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8" w15:restartNumberingAfterBreak="0">
    <w:nsid w:val="6863590B"/>
    <w:multiLevelType w:val="hybridMultilevel"/>
    <w:tmpl w:val="3514BFE0"/>
    <w:lvl w:ilvl="0" w:tplc="4218E55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9076D42"/>
    <w:multiLevelType w:val="hybridMultilevel"/>
    <w:tmpl w:val="5C70C608"/>
    <w:lvl w:ilvl="0" w:tplc="993E52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D1154F"/>
    <w:multiLevelType w:val="hybridMultilevel"/>
    <w:tmpl w:val="76DE8610"/>
    <w:lvl w:ilvl="0" w:tplc="8B4A3E9E">
      <w:start w:val="1"/>
      <w:numFmt w:val="lowerLetter"/>
      <w:lvlText w:val="%1."/>
      <w:lvlJc w:val="left"/>
      <w:pPr>
        <w:tabs>
          <w:tab w:val="num" w:pos="720"/>
        </w:tabs>
        <w:ind w:left="720" w:hanging="360"/>
      </w:pPr>
    </w:lvl>
    <w:lvl w:ilvl="1" w:tplc="C220C5BE">
      <w:start w:val="1"/>
      <w:numFmt w:val="lowerLetter"/>
      <w:lvlText w:val="%2."/>
      <w:lvlJc w:val="left"/>
      <w:pPr>
        <w:tabs>
          <w:tab w:val="num" w:pos="1440"/>
        </w:tabs>
        <w:ind w:left="1440" w:hanging="360"/>
      </w:pPr>
    </w:lvl>
    <w:lvl w:ilvl="2" w:tplc="A08C9CD6" w:tentative="1">
      <w:start w:val="1"/>
      <w:numFmt w:val="lowerLetter"/>
      <w:lvlText w:val="%3."/>
      <w:lvlJc w:val="left"/>
      <w:pPr>
        <w:tabs>
          <w:tab w:val="num" w:pos="2160"/>
        </w:tabs>
        <w:ind w:left="2160" w:hanging="360"/>
      </w:pPr>
    </w:lvl>
    <w:lvl w:ilvl="3" w:tplc="60EA5A54" w:tentative="1">
      <w:start w:val="1"/>
      <w:numFmt w:val="lowerLetter"/>
      <w:lvlText w:val="%4."/>
      <w:lvlJc w:val="left"/>
      <w:pPr>
        <w:tabs>
          <w:tab w:val="num" w:pos="2880"/>
        </w:tabs>
        <w:ind w:left="2880" w:hanging="360"/>
      </w:pPr>
    </w:lvl>
    <w:lvl w:ilvl="4" w:tplc="E56886FC" w:tentative="1">
      <w:start w:val="1"/>
      <w:numFmt w:val="lowerLetter"/>
      <w:lvlText w:val="%5."/>
      <w:lvlJc w:val="left"/>
      <w:pPr>
        <w:tabs>
          <w:tab w:val="num" w:pos="3600"/>
        </w:tabs>
        <w:ind w:left="3600" w:hanging="360"/>
      </w:pPr>
    </w:lvl>
    <w:lvl w:ilvl="5" w:tplc="E7C2B058" w:tentative="1">
      <w:start w:val="1"/>
      <w:numFmt w:val="lowerLetter"/>
      <w:lvlText w:val="%6."/>
      <w:lvlJc w:val="left"/>
      <w:pPr>
        <w:tabs>
          <w:tab w:val="num" w:pos="4320"/>
        </w:tabs>
        <w:ind w:left="4320" w:hanging="360"/>
      </w:pPr>
    </w:lvl>
    <w:lvl w:ilvl="6" w:tplc="B8ECAE88" w:tentative="1">
      <w:start w:val="1"/>
      <w:numFmt w:val="lowerLetter"/>
      <w:lvlText w:val="%7."/>
      <w:lvlJc w:val="left"/>
      <w:pPr>
        <w:tabs>
          <w:tab w:val="num" w:pos="5040"/>
        </w:tabs>
        <w:ind w:left="5040" w:hanging="360"/>
      </w:pPr>
    </w:lvl>
    <w:lvl w:ilvl="7" w:tplc="47C4B9B8" w:tentative="1">
      <w:start w:val="1"/>
      <w:numFmt w:val="lowerLetter"/>
      <w:lvlText w:val="%8."/>
      <w:lvlJc w:val="left"/>
      <w:pPr>
        <w:tabs>
          <w:tab w:val="num" w:pos="5760"/>
        </w:tabs>
        <w:ind w:left="5760" w:hanging="360"/>
      </w:pPr>
    </w:lvl>
    <w:lvl w:ilvl="8" w:tplc="3788ECB8" w:tentative="1">
      <w:start w:val="1"/>
      <w:numFmt w:val="lowerLetter"/>
      <w:lvlText w:val="%9."/>
      <w:lvlJc w:val="left"/>
      <w:pPr>
        <w:tabs>
          <w:tab w:val="num" w:pos="6480"/>
        </w:tabs>
        <w:ind w:left="6480" w:hanging="360"/>
      </w:pPr>
    </w:lvl>
  </w:abstractNum>
  <w:abstractNum w:abstractNumId="4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AAF550B"/>
    <w:multiLevelType w:val="hybridMultilevel"/>
    <w:tmpl w:val="A7505B1E"/>
    <w:lvl w:ilvl="0" w:tplc="E38E77C8">
      <w:start w:val="1"/>
      <w:numFmt w:val="bullet"/>
      <w:lvlText w:val="•"/>
      <w:lvlJc w:val="left"/>
      <w:pPr>
        <w:tabs>
          <w:tab w:val="num" w:pos="720"/>
        </w:tabs>
        <w:ind w:left="720" w:hanging="360"/>
      </w:pPr>
      <w:rPr>
        <w:rFonts w:ascii="Arial" w:hAnsi="Arial" w:hint="default"/>
      </w:rPr>
    </w:lvl>
    <w:lvl w:ilvl="1" w:tplc="AC664AC6" w:tentative="1">
      <w:start w:val="1"/>
      <w:numFmt w:val="bullet"/>
      <w:lvlText w:val="•"/>
      <w:lvlJc w:val="left"/>
      <w:pPr>
        <w:tabs>
          <w:tab w:val="num" w:pos="1440"/>
        </w:tabs>
        <w:ind w:left="1440" w:hanging="360"/>
      </w:pPr>
      <w:rPr>
        <w:rFonts w:ascii="Arial" w:hAnsi="Arial" w:hint="default"/>
      </w:rPr>
    </w:lvl>
    <w:lvl w:ilvl="2" w:tplc="1704644E" w:tentative="1">
      <w:start w:val="1"/>
      <w:numFmt w:val="bullet"/>
      <w:lvlText w:val="•"/>
      <w:lvlJc w:val="left"/>
      <w:pPr>
        <w:tabs>
          <w:tab w:val="num" w:pos="2160"/>
        </w:tabs>
        <w:ind w:left="2160" w:hanging="360"/>
      </w:pPr>
      <w:rPr>
        <w:rFonts w:ascii="Arial" w:hAnsi="Arial" w:hint="default"/>
      </w:rPr>
    </w:lvl>
    <w:lvl w:ilvl="3" w:tplc="63FAC9F8" w:tentative="1">
      <w:start w:val="1"/>
      <w:numFmt w:val="bullet"/>
      <w:lvlText w:val="•"/>
      <w:lvlJc w:val="left"/>
      <w:pPr>
        <w:tabs>
          <w:tab w:val="num" w:pos="2880"/>
        </w:tabs>
        <w:ind w:left="2880" w:hanging="360"/>
      </w:pPr>
      <w:rPr>
        <w:rFonts w:ascii="Arial" w:hAnsi="Arial" w:hint="default"/>
      </w:rPr>
    </w:lvl>
    <w:lvl w:ilvl="4" w:tplc="BCA222FE" w:tentative="1">
      <w:start w:val="1"/>
      <w:numFmt w:val="bullet"/>
      <w:lvlText w:val="•"/>
      <w:lvlJc w:val="left"/>
      <w:pPr>
        <w:tabs>
          <w:tab w:val="num" w:pos="3600"/>
        </w:tabs>
        <w:ind w:left="3600" w:hanging="360"/>
      </w:pPr>
      <w:rPr>
        <w:rFonts w:ascii="Arial" w:hAnsi="Arial" w:hint="default"/>
      </w:rPr>
    </w:lvl>
    <w:lvl w:ilvl="5" w:tplc="C68EE148" w:tentative="1">
      <w:start w:val="1"/>
      <w:numFmt w:val="bullet"/>
      <w:lvlText w:val="•"/>
      <w:lvlJc w:val="left"/>
      <w:pPr>
        <w:tabs>
          <w:tab w:val="num" w:pos="4320"/>
        </w:tabs>
        <w:ind w:left="4320" w:hanging="360"/>
      </w:pPr>
      <w:rPr>
        <w:rFonts w:ascii="Arial" w:hAnsi="Arial" w:hint="default"/>
      </w:rPr>
    </w:lvl>
    <w:lvl w:ilvl="6" w:tplc="0C267FDE" w:tentative="1">
      <w:start w:val="1"/>
      <w:numFmt w:val="bullet"/>
      <w:lvlText w:val="•"/>
      <w:lvlJc w:val="left"/>
      <w:pPr>
        <w:tabs>
          <w:tab w:val="num" w:pos="5040"/>
        </w:tabs>
        <w:ind w:left="5040" w:hanging="360"/>
      </w:pPr>
      <w:rPr>
        <w:rFonts w:ascii="Arial" w:hAnsi="Arial" w:hint="default"/>
      </w:rPr>
    </w:lvl>
    <w:lvl w:ilvl="7" w:tplc="E3D4D3B8" w:tentative="1">
      <w:start w:val="1"/>
      <w:numFmt w:val="bullet"/>
      <w:lvlText w:val="•"/>
      <w:lvlJc w:val="left"/>
      <w:pPr>
        <w:tabs>
          <w:tab w:val="num" w:pos="5760"/>
        </w:tabs>
        <w:ind w:left="5760" w:hanging="360"/>
      </w:pPr>
      <w:rPr>
        <w:rFonts w:ascii="Arial" w:hAnsi="Arial" w:hint="default"/>
      </w:rPr>
    </w:lvl>
    <w:lvl w:ilvl="8" w:tplc="C56C3612" w:tentative="1">
      <w:start w:val="1"/>
      <w:numFmt w:val="bullet"/>
      <w:lvlText w:val="•"/>
      <w:lvlJc w:val="left"/>
      <w:pPr>
        <w:tabs>
          <w:tab w:val="num" w:pos="6480"/>
        </w:tabs>
        <w:ind w:left="6480" w:hanging="360"/>
      </w:pPr>
      <w:rPr>
        <w:rFonts w:ascii="Arial" w:hAnsi="Arial" w:hint="default"/>
      </w:rPr>
    </w:lvl>
  </w:abstractNum>
  <w:num w:numId="1">
    <w:abstractNumId w:val="41"/>
  </w:num>
  <w:num w:numId="2">
    <w:abstractNumId w:val="17"/>
  </w:num>
  <w:num w:numId="3">
    <w:abstractNumId w:val="27"/>
  </w:num>
  <w:num w:numId="4">
    <w:abstractNumId w:val="15"/>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8"/>
  </w:num>
  <w:num w:numId="9">
    <w:abstractNumId w:val="2"/>
  </w:num>
  <w:num w:numId="10">
    <w:abstractNumId w:val="24"/>
  </w:num>
  <w:num w:numId="11">
    <w:abstractNumId w:val="35"/>
  </w:num>
  <w:num w:numId="12">
    <w:abstractNumId w:val="28"/>
  </w:num>
  <w:num w:numId="13">
    <w:abstractNumId w:val="20"/>
  </w:num>
  <w:num w:numId="14">
    <w:abstractNumId w:val="34"/>
  </w:num>
  <w:num w:numId="15">
    <w:abstractNumId w:val="30"/>
  </w:num>
  <w:num w:numId="16">
    <w:abstractNumId w:val="3"/>
  </w:num>
  <w:num w:numId="17">
    <w:abstractNumId w:val="12"/>
  </w:num>
  <w:num w:numId="18">
    <w:abstractNumId w:val="1"/>
  </w:num>
  <w:num w:numId="19">
    <w:abstractNumId w:val="39"/>
  </w:num>
  <w:num w:numId="20">
    <w:abstractNumId w:val="6"/>
  </w:num>
  <w:num w:numId="21">
    <w:abstractNumId w:val="23"/>
  </w:num>
  <w:num w:numId="22">
    <w:abstractNumId w:val="8"/>
  </w:num>
  <w:num w:numId="23">
    <w:abstractNumId w:val="26"/>
  </w:num>
  <w:num w:numId="24">
    <w:abstractNumId w:val="13"/>
  </w:num>
  <w:num w:numId="25">
    <w:abstractNumId w:val="18"/>
  </w:num>
  <w:num w:numId="26">
    <w:abstractNumId w:val="42"/>
  </w:num>
  <w:num w:numId="27">
    <w:abstractNumId w:val="14"/>
  </w:num>
  <w:num w:numId="28">
    <w:abstractNumId w:val="19"/>
  </w:num>
  <w:num w:numId="29">
    <w:abstractNumId w:val="32"/>
  </w:num>
  <w:num w:numId="30">
    <w:abstractNumId w:val="9"/>
  </w:num>
  <w:num w:numId="31">
    <w:abstractNumId w:val="40"/>
  </w:num>
  <w:num w:numId="32">
    <w:abstractNumId w:val="11"/>
  </w:num>
  <w:num w:numId="33">
    <w:abstractNumId w:val="10"/>
  </w:num>
  <w:num w:numId="34">
    <w:abstractNumId w:val="7"/>
  </w:num>
  <w:num w:numId="35">
    <w:abstractNumId w:val="37"/>
  </w:num>
  <w:num w:numId="36">
    <w:abstractNumId w:val="21"/>
  </w:num>
  <w:num w:numId="37">
    <w:abstractNumId w:val="25"/>
  </w:num>
  <w:num w:numId="38">
    <w:abstractNumId w:val="31"/>
  </w:num>
  <w:num w:numId="39">
    <w:abstractNumId w:val="5"/>
  </w:num>
  <w:num w:numId="40">
    <w:abstractNumId w:val="5"/>
    <w:lvlOverride w:ilvl="0">
      <w:startOverride w:val="1"/>
    </w:lvlOverride>
  </w:num>
  <w:num w:numId="41">
    <w:abstractNumId w:val="4"/>
  </w:num>
  <w:num w:numId="42">
    <w:abstractNumId w:val="4"/>
    <w:lvlOverride w:ilvl="0">
      <w:startOverride w:val="1"/>
    </w:lvlOverride>
  </w:num>
  <w:num w:numId="43">
    <w:abstractNumId w:val="29"/>
  </w:num>
  <w:num w:numId="44">
    <w:abstractNumId w:val="29"/>
    <w:lvlOverride w:ilvl="0">
      <w:startOverride w:val="1"/>
    </w:lvlOverride>
  </w:num>
  <w:num w:numId="45">
    <w:abstractNumId w:val="33"/>
  </w:num>
  <w:num w:numId="46">
    <w:abstractNumId w:val="16"/>
    <w:lvlOverride w:ilvl="0">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5uyYP9Qt12JhtK4kcsncJVBSDNe0AQtl1obLTf8RRciZEevZlltaHqJyF9S/UQ8pp3cFBIW5yKtULaKwtL8EA==" w:salt="svTIoqUPkfkNdJVwAuj2SA=="/>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6E29"/>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C1E"/>
    <w:rsid w:val="00023E8C"/>
    <w:rsid w:val="00024499"/>
    <w:rsid w:val="00024CAF"/>
    <w:rsid w:val="00025363"/>
    <w:rsid w:val="00025631"/>
    <w:rsid w:val="00025A7F"/>
    <w:rsid w:val="00025C8C"/>
    <w:rsid w:val="00026016"/>
    <w:rsid w:val="0002607B"/>
    <w:rsid w:val="0002613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9D2"/>
    <w:rsid w:val="00047270"/>
    <w:rsid w:val="000504AC"/>
    <w:rsid w:val="000509A0"/>
    <w:rsid w:val="00050C75"/>
    <w:rsid w:val="0005116F"/>
    <w:rsid w:val="000518C1"/>
    <w:rsid w:val="00052218"/>
    <w:rsid w:val="00052934"/>
    <w:rsid w:val="00052CB6"/>
    <w:rsid w:val="00052CF2"/>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57F47"/>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6DD"/>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2A3"/>
    <w:rsid w:val="000E03E9"/>
    <w:rsid w:val="000E07ED"/>
    <w:rsid w:val="000E0ECD"/>
    <w:rsid w:val="000E10A4"/>
    <w:rsid w:val="000E1128"/>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3148"/>
    <w:rsid w:val="000F3473"/>
    <w:rsid w:val="000F4BF0"/>
    <w:rsid w:val="000F4C18"/>
    <w:rsid w:val="000F52DD"/>
    <w:rsid w:val="000F541A"/>
    <w:rsid w:val="000F57B6"/>
    <w:rsid w:val="000F5B7D"/>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730"/>
    <w:rsid w:val="001B57ED"/>
    <w:rsid w:val="001B5DCD"/>
    <w:rsid w:val="001B627C"/>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D48"/>
    <w:rsid w:val="001D00BD"/>
    <w:rsid w:val="001D07B9"/>
    <w:rsid w:val="001D090B"/>
    <w:rsid w:val="001D0F87"/>
    <w:rsid w:val="001D1701"/>
    <w:rsid w:val="001D1AA0"/>
    <w:rsid w:val="001D1B5D"/>
    <w:rsid w:val="001D21CE"/>
    <w:rsid w:val="001D22B8"/>
    <w:rsid w:val="001D261E"/>
    <w:rsid w:val="001D2AB5"/>
    <w:rsid w:val="001D380E"/>
    <w:rsid w:val="001D3811"/>
    <w:rsid w:val="001D3B3F"/>
    <w:rsid w:val="001D4D39"/>
    <w:rsid w:val="001D5740"/>
    <w:rsid w:val="001D5A1D"/>
    <w:rsid w:val="001D5C07"/>
    <w:rsid w:val="001D5CAF"/>
    <w:rsid w:val="001D60BC"/>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3AE"/>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0EB"/>
    <w:rsid w:val="00216141"/>
    <w:rsid w:val="0021622E"/>
    <w:rsid w:val="00217155"/>
    <w:rsid w:val="00217772"/>
    <w:rsid w:val="00217848"/>
    <w:rsid w:val="002209C3"/>
    <w:rsid w:val="00220A3B"/>
    <w:rsid w:val="00220CB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6CE1"/>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2EBF"/>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0D6C"/>
    <w:rsid w:val="002711D5"/>
    <w:rsid w:val="002714FA"/>
    <w:rsid w:val="00273699"/>
    <w:rsid w:val="00273B76"/>
    <w:rsid w:val="00274544"/>
    <w:rsid w:val="002747FC"/>
    <w:rsid w:val="00274AAF"/>
    <w:rsid w:val="00274D2F"/>
    <w:rsid w:val="00275171"/>
    <w:rsid w:val="00275188"/>
    <w:rsid w:val="0027567D"/>
    <w:rsid w:val="00275E51"/>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C69"/>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669"/>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1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07A"/>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6B6"/>
    <w:rsid w:val="00415B87"/>
    <w:rsid w:val="00415BBD"/>
    <w:rsid w:val="00415C97"/>
    <w:rsid w:val="00416058"/>
    <w:rsid w:val="004166CF"/>
    <w:rsid w:val="00416841"/>
    <w:rsid w:val="00416B17"/>
    <w:rsid w:val="00416C03"/>
    <w:rsid w:val="004171A6"/>
    <w:rsid w:val="00417427"/>
    <w:rsid w:val="00417571"/>
    <w:rsid w:val="004178E6"/>
    <w:rsid w:val="00417AFB"/>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B2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DE1"/>
    <w:rsid w:val="004D1042"/>
    <w:rsid w:val="004D1073"/>
    <w:rsid w:val="004D1B9D"/>
    <w:rsid w:val="004D1C01"/>
    <w:rsid w:val="004D2C6E"/>
    <w:rsid w:val="004D2ED6"/>
    <w:rsid w:val="004D30FA"/>
    <w:rsid w:val="004D3758"/>
    <w:rsid w:val="004D40C7"/>
    <w:rsid w:val="004D4117"/>
    <w:rsid w:val="004D524A"/>
    <w:rsid w:val="004D5513"/>
    <w:rsid w:val="004D5B11"/>
    <w:rsid w:val="004D6179"/>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5A3"/>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187B"/>
    <w:rsid w:val="00533046"/>
    <w:rsid w:val="0053314F"/>
    <w:rsid w:val="00533CE4"/>
    <w:rsid w:val="005342C3"/>
    <w:rsid w:val="00534300"/>
    <w:rsid w:val="00534A52"/>
    <w:rsid w:val="00534F14"/>
    <w:rsid w:val="00535DB3"/>
    <w:rsid w:val="00536390"/>
    <w:rsid w:val="00536714"/>
    <w:rsid w:val="00536DA6"/>
    <w:rsid w:val="00536E72"/>
    <w:rsid w:val="005372CD"/>
    <w:rsid w:val="00537328"/>
    <w:rsid w:val="00540A41"/>
    <w:rsid w:val="00540F1E"/>
    <w:rsid w:val="005413DF"/>
    <w:rsid w:val="0054184A"/>
    <w:rsid w:val="00543344"/>
    <w:rsid w:val="005433CE"/>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909"/>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4D38"/>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CD2"/>
    <w:rsid w:val="00590F50"/>
    <w:rsid w:val="00591402"/>
    <w:rsid w:val="0059173E"/>
    <w:rsid w:val="005929D5"/>
    <w:rsid w:val="0059367B"/>
    <w:rsid w:val="00593B87"/>
    <w:rsid w:val="00593DDB"/>
    <w:rsid w:val="005945B1"/>
    <w:rsid w:val="0059495F"/>
    <w:rsid w:val="005958A0"/>
    <w:rsid w:val="005958FC"/>
    <w:rsid w:val="00595E58"/>
    <w:rsid w:val="0059639F"/>
    <w:rsid w:val="0059670D"/>
    <w:rsid w:val="00596839"/>
    <w:rsid w:val="005970FD"/>
    <w:rsid w:val="005971EE"/>
    <w:rsid w:val="0059773F"/>
    <w:rsid w:val="0059779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E70"/>
    <w:rsid w:val="005A6F5C"/>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31D"/>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547"/>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048"/>
    <w:rsid w:val="006334B4"/>
    <w:rsid w:val="006336E9"/>
    <w:rsid w:val="00633911"/>
    <w:rsid w:val="00633A87"/>
    <w:rsid w:val="00633B2B"/>
    <w:rsid w:val="00634A85"/>
    <w:rsid w:val="00634EC4"/>
    <w:rsid w:val="00635347"/>
    <w:rsid w:val="00635439"/>
    <w:rsid w:val="0063565E"/>
    <w:rsid w:val="00635835"/>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44B"/>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05BE"/>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D21"/>
    <w:rsid w:val="00663F4C"/>
    <w:rsid w:val="006644F7"/>
    <w:rsid w:val="00665825"/>
    <w:rsid w:val="00665A7C"/>
    <w:rsid w:val="00665CF5"/>
    <w:rsid w:val="00665DEC"/>
    <w:rsid w:val="006667A8"/>
    <w:rsid w:val="0066774F"/>
    <w:rsid w:val="00667827"/>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729"/>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AE9"/>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578"/>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1F10"/>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686"/>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4512"/>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1D16"/>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17F"/>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02"/>
    <w:rsid w:val="007A6940"/>
    <w:rsid w:val="007A6EEF"/>
    <w:rsid w:val="007A7881"/>
    <w:rsid w:val="007B0A46"/>
    <w:rsid w:val="007B1037"/>
    <w:rsid w:val="007B1175"/>
    <w:rsid w:val="007B196A"/>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726"/>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4AA"/>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7E"/>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566"/>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284"/>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877"/>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52F"/>
    <w:rsid w:val="00862809"/>
    <w:rsid w:val="00862D13"/>
    <w:rsid w:val="00863012"/>
    <w:rsid w:val="0086317F"/>
    <w:rsid w:val="008634F3"/>
    <w:rsid w:val="00863708"/>
    <w:rsid w:val="00863879"/>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5976"/>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582"/>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B4"/>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338"/>
    <w:rsid w:val="008B65E8"/>
    <w:rsid w:val="008B66E2"/>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852"/>
    <w:rsid w:val="0093391C"/>
    <w:rsid w:val="00934587"/>
    <w:rsid w:val="00934C0B"/>
    <w:rsid w:val="00934DDB"/>
    <w:rsid w:val="00934E44"/>
    <w:rsid w:val="0093507B"/>
    <w:rsid w:val="00935479"/>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2D6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14F"/>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A54"/>
    <w:rsid w:val="00980251"/>
    <w:rsid w:val="00980DB0"/>
    <w:rsid w:val="00980E3A"/>
    <w:rsid w:val="00980E8B"/>
    <w:rsid w:val="009814A9"/>
    <w:rsid w:val="009817EE"/>
    <w:rsid w:val="009818F9"/>
    <w:rsid w:val="00981B56"/>
    <w:rsid w:val="00981F6A"/>
    <w:rsid w:val="00982D0F"/>
    <w:rsid w:val="00983472"/>
    <w:rsid w:val="00983BDD"/>
    <w:rsid w:val="00983CF7"/>
    <w:rsid w:val="0098474A"/>
    <w:rsid w:val="00984E73"/>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2FA3"/>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6A8"/>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795"/>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699"/>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8C8"/>
    <w:rsid w:val="00A250B4"/>
    <w:rsid w:val="00A2537E"/>
    <w:rsid w:val="00A255CC"/>
    <w:rsid w:val="00A25625"/>
    <w:rsid w:val="00A2573D"/>
    <w:rsid w:val="00A25F3F"/>
    <w:rsid w:val="00A267C2"/>
    <w:rsid w:val="00A269F7"/>
    <w:rsid w:val="00A26C2A"/>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D8D"/>
    <w:rsid w:val="00A45032"/>
    <w:rsid w:val="00A450A2"/>
    <w:rsid w:val="00A4551F"/>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2BBF"/>
    <w:rsid w:val="00A5320D"/>
    <w:rsid w:val="00A53C71"/>
    <w:rsid w:val="00A53C72"/>
    <w:rsid w:val="00A544C9"/>
    <w:rsid w:val="00A54E76"/>
    <w:rsid w:val="00A551D1"/>
    <w:rsid w:val="00A551E3"/>
    <w:rsid w:val="00A55370"/>
    <w:rsid w:val="00A5545B"/>
    <w:rsid w:val="00A55483"/>
    <w:rsid w:val="00A55527"/>
    <w:rsid w:val="00A55C2B"/>
    <w:rsid w:val="00A55F51"/>
    <w:rsid w:val="00A56A3A"/>
    <w:rsid w:val="00A570D8"/>
    <w:rsid w:val="00A5734F"/>
    <w:rsid w:val="00A5756A"/>
    <w:rsid w:val="00A575FC"/>
    <w:rsid w:val="00A577A7"/>
    <w:rsid w:val="00A57DE2"/>
    <w:rsid w:val="00A600B0"/>
    <w:rsid w:val="00A602F1"/>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697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2F7"/>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158"/>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6FD"/>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17B"/>
    <w:rsid w:val="00B3222D"/>
    <w:rsid w:val="00B32A46"/>
    <w:rsid w:val="00B33214"/>
    <w:rsid w:val="00B33761"/>
    <w:rsid w:val="00B3384F"/>
    <w:rsid w:val="00B33C3F"/>
    <w:rsid w:val="00B33D10"/>
    <w:rsid w:val="00B33EB5"/>
    <w:rsid w:val="00B34BFB"/>
    <w:rsid w:val="00B353DD"/>
    <w:rsid w:val="00B35640"/>
    <w:rsid w:val="00B35F06"/>
    <w:rsid w:val="00B36CF2"/>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A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43B6"/>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4B8"/>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5883"/>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AE6"/>
    <w:rsid w:val="00C92FB0"/>
    <w:rsid w:val="00C93525"/>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475"/>
    <w:rsid w:val="00CC0CD1"/>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E79BF"/>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C0A"/>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4DE7"/>
    <w:rsid w:val="00D05051"/>
    <w:rsid w:val="00D0539D"/>
    <w:rsid w:val="00D060F3"/>
    <w:rsid w:val="00D06825"/>
    <w:rsid w:val="00D06CFF"/>
    <w:rsid w:val="00D07458"/>
    <w:rsid w:val="00D07790"/>
    <w:rsid w:val="00D07A2B"/>
    <w:rsid w:val="00D07D08"/>
    <w:rsid w:val="00D10323"/>
    <w:rsid w:val="00D10665"/>
    <w:rsid w:val="00D1073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C1D"/>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77B"/>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0FC"/>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1BB"/>
    <w:rsid w:val="00D8452F"/>
    <w:rsid w:val="00D84531"/>
    <w:rsid w:val="00D846AC"/>
    <w:rsid w:val="00D84C40"/>
    <w:rsid w:val="00D84EA2"/>
    <w:rsid w:val="00D86389"/>
    <w:rsid w:val="00D8734F"/>
    <w:rsid w:val="00D874FE"/>
    <w:rsid w:val="00D879BF"/>
    <w:rsid w:val="00D904E4"/>
    <w:rsid w:val="00D9077D"/>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009"/>
    <w:rsid w:val="00DA6248"/>
    <w:rsid w:val="00DA6711"/>
    <w:rsid w:val="00DA74C1"/>
    <w:rsid w:val="00DA76EF"/>
    <w:rsid w:val="00DA79FF"/>
    <w:rsid w:val="00DB060B"/>
    <w:rsid w:val="00DB0FD9"/>
    <w:rsid w:val="00DB1C6C"/>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85E"/>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E97"/>
    <w:rsid w:val="00E34F5E"/>
    <w:rsid w:val="00E35008"/>
    <w:rsid w:val="00E3532C"/>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036"/>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3F7E"/>
    <w:rsid w:val="00F2403C"/>
    <w:rsid w:val="00F24231"/>
    <w:rsid w:val="00F244EC"/>
    <w:rsid w:val="00F248FA"/>
    <w:rsid w:val="00F26539"/>
    <w:rsid w:val="00F269E9"/>
    <w:rsid w:val="00F26BDC"/>
    <w:rsid w:val="00F27063"/>
    <w:rsid w:val="00F27589"/>
    <w:rsid w:val="00F2769E"/>
    <w:rsid w:val="00F276BE"/>
    <w:rsid w:val="00F278AE"/>
    <w:rsid w:val="00F301C5"/>
    <w:rsid w:val="00F30469"/>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6D"/>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8EE"/>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8A4"/>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124"/>
    <w:rsid w:val="00FD7328"/>
    <w:rsid w:val="00FD772F"/>
    <w:rsid w:val="00FD77AF"/>
    <w:rsid w:val="00FE0364"/>
    <w:rsid w:val="00FE0EB1"/>
    <w:rsid w:val="00FE1327"/>
    <w:rsid w:val="00FE17F0"/>
    <w:rsid w:val="00FE1DDC"/>
    <w:rsid w:val="00FE2071"/>
    <w:rsid w:val="00FE2356"/>
    <w:rsid w:val="00FE254C"/>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87E00F"/>
  <w15:docId w15:val="{C91F6894-4AFA-465B-9950-CD181466A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A86974"/>
    <w:pPr>
      <w:numPr>
        <w:numId w:val="7"/>
      </w:numPr>
      <w:spacing w:after="0" w:line="240" w:lineRule="auto"/>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A86974"/>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98241">
      <w:bodyDiv w:val="1"/>
      <w:marLeft w:val="0"/>
      <w:marRight w:val="0"/>
      <w:marTop w:val="0"/>
      <w:marBottom w:val="0"/>
      <w:divBdr>
        <w:top w:val="none" w:sz="0" w:space="0" w:color="auto"/>
        <w:left w:val="none" w:sz="0" w:space="0" w:color="auto"/>
        <w:bottom w:val="none" w:sz="0" w:space="0" w:color="auto"/>
        <w:right w:val="none" w:sz="0" w:space="0" w:color="auto"/>
      </w:divBdr>
      <w:divsChild>
        <w:div w:id="311907690">
          <w:marLeft w:val="360"/>
          <w:marRight w:val="0"/>
          <w:marTop w:val="120"/>
          <w:marBottom w:val="0"/>
          <w:divBdr>
            <w:top w:val="none" w:sz="0" w:space="0" w:color="auto"/>
            <w:left w:val="none" w:sz="0" w:space="0" w:color="auto"/>
            <w:bottom w:val="none" w:sz="0" w:space="0" w:color="auto"/>
            <w:right w:val="none" w:sz="0" w:space="0" w:color="auto"/>
          </w:divBdr>
        </w:div>
        <w:div w:id="961421896">
          <w:marLeft w:val="360"/>
          <w:marRight w:val="0"/>
          <w:marTop w:val="120"/>
          <w:marBottom w:val="0"/>
          <w:divBdr>
            <w:top w:val="none" w:sz="0" w:space="0" w:color="auto"/>
            <w:left w:val="none" w:sz="0" w:space="0" w:color="auto"/>
            <w:bottom w:val="none" w:sz="0" w:space="0" w:color="auto"/>
            <w:right w:val="none" w:sz="0" w:space="0" w:color="auto"/>
          </w:divBdr>
        </w:div>
        <w:div w:id="1004286926">
          <w:marLeft w:val="360"/>
          <w:marRight w:val="0"/>
          <w:marTop w:val="120"/>
          <w:marBottom w:val="0"/>
          <w:divBdr>
            <w:top w:val="none" w:sz="0" w:space="0" w:color="auto"/>
            <w:left w:val="none" w:sz="0" w:space="0" w:color="auto"/>
            <w:bottom w:val="none" w:sz="0" w:space="0" w:color="auto"/>
            <w:right w:val="none" w:sz="0" w:space="0" w:color="auto"/>
          </w:divBdr>
        </w:div>
        <w:div w:id="2121097304">
          <w:marLeft w:val="360"/>
          <w:marRight w:val="0"/>
          <w:marTop w:val="120"/>
          <w:marBottom w:val="0"/>
          <w:divBdr>
            <w:top w:val="none" w:sz="0" w:space="0" w:color="auto"/>
            <w:left w:val="none" w:sz="0" w:space="0" w:color="auto"/>
            <w:bottom w:val="none" w:sz="0" w:space="0" w:color="auto"/>
            <w:right w:val="none" w:sz="0" w:space="0" w:color="auto"/>
          </w:divBdr>
        </w:div>
        <w:div w:id="544680166">
          <w:marLeft w:val="360"/>
          <w:marRight w:val="0"/>
          <w:marTop w:val="120"/>
          <w:marBottom w:val="0"/>
          <w:divBdr>
            <w:top w:val="none" w:sz="0" w:space="0" w:color="auto"/>
            <w:left w:val="none" w:sz="0" w:space="0" w:color="auto"/>
            <w:bottom w:val="none" w:sz="0" w:space="0" w:color="auto"/>
            <w:right w:val="none" w:sz="0" w:space="0" w:color="auto"/>
          </w:divBdr>
        </w:div>
      </w:divsChild>
    </w:div>
    <w:div w:id="56128785">
      <w:bodyDiv w:val="1"/>
      <w:marLeft w:val="0"/>
      <w:marRight w:val="0"/>
      <w:marTop w:val="0"/>
      <w:marBottom w:val="0"/>
      <w:divBdr>
        <w:top w:val="none" w:sz="0" w:space="0" w:color="auto"/>
        <w:left w:val="none" w:sz="0" w:space="0" w:color="auto"/>
        <w:bottom w:val="none" w:sz="0" w:space="0" w:color="auto"/>
        <w:right w:val="none" w:sz="0" w:space="0" w:color="auto"/>
      </w:divBdr>
      <w:divsChild>
        <w:div w:id="701051470">
          <w:marLeft w:val="1080"/>
          <w:marRight w:val="0"/>
          <w:marTop w:val="0"/>
          <w:marBottom w:val="0"/>
          <w:divBdr>
            <w:top w:val="none" w:sz="0" w:space="0" w:color="auto"/>
            <w:left w:val="none" w:sz="0" w:space="0" w:color="auto"/>
            <w:bottom w:val="none" w:sz="0" w:space="0" w:color="auto"/>
            <w:right w:val="none" w:sz="0" w:space="0" w:color="auto"/>
          </w:divBdr>
        </w:div>
        <w:div w:id="1475103419">
          <w:marLeft w:val="1080"/>
          <w:marRight w:val="0"/>
          <w:marTop w:val="0"/>
          <w:marBottom w:val="0"/>
          <w:divBdr>
            <w:top w:val="none" w:sz="0" w:space="0" w:color="auto"/>
            <w:left w:val="none" w:sz="0" w:space="0" w:color="auto"/>
            <w:bottom w:val="none" w:sz="0" w:space="0" w:color="auto"/>
            <w:right w:val="none" w:sz="0" w:space="0" w:color="auto"/>
          </w:divBdr>
        </w:div>
      </w:divsChild>
    </w:div>
    <w:div w:id="56170379">
      <w:bodyDiv w:val="1"/>
      <w:marLeft w:val="0"/>
      <w:marRight w:val="0"/>
      <w:marTop w:val="0"/>
      <w:marBottom w:val="0"/>
      <w:divBdr>
        <w:top w:val="none" w:sz="0" w:space="0" w:color="auto"/>
        <w:left w:val="none" w:sz="0" w:space="0" w:color="auto"/>
        <w:bottom w:val="none" w:sz="0" w:space="0" w:color="auto"/>
        <w:right w:val="none" w:sz="0" w:space="0" w:color="auto"/>
      </w:divBdr>
      <w:divsChild>
        <w:div w:id="867257221">
          <w:marLeft w:val="360"/>
          <w:marRight w:val="0"/>
          <w:marTop w:val="120"/>
          <w:marBottom w:val="0"/>
          <w:divBdr>
            <w:top w:val="none" w:sz="0" w:space="0" w:color="auto"/>
            <w:left w:val="none" w:sz="0" w:space="0" w:color="auto"/>
            <w:bottom w:val="none" w:sz="0" w:space="0" w:color="auto"/>
            <w:right w:val="none" w:sz="0" w:space="0" w:color="auto"/>
          </w:divBdr>
        </w:div>
        <w:div w:id="1169058995">
          <w:marLeft w:val="360"/>
          <w:marRight w:val="0"/>
          <w:marTop w:val="120"/>
          <w:marBottom w:val="0"/>
          <w:divBdr>
            <w:top w:val="none" w:sz="0" w:space="0" w:color="auto"/>
            <w:left w:val="none" w:sz="0" w:space="0" w:color="auto"/>
            <w:bottom w:val="none" w:sz="0" w:space="0" w:color="auto"/>
            <w:right w:val="none" w:sz="0" w:space="0" w:color="auto"/>
          </w:divBdr>
        </w:div>
        <w:div w:id="820852636">
          <w:marLeft w:val="360"/>
          <w:marRight w:val="0"/>
          <w:marTop w:val="120"/>
          <w:marBottom w:val="0"/>
          <w:divBdr>
            <w:top w:val="none" w:sz="0" w:space="0" w:color="auto"/>
            <w:left w:val="none" w:sz="0" w:space="0" w:color="auto"/>
            <w:bottom w:val="none" w:sz="0" w:space="0" w:color="auto"/>
            <w:right w:val="none" w:sz="0" w:space="0" w:color="auto"/>
          </w:divBdr>
        </w:div>
        <w:div w:id="1166895852">
          <w:marLeft w:val="360"/>
          <w:marRight w:val="0"/>
          <w:marTop w:val="120"/>
          <w:marBottom w:val="0"/>
          <w:divBdr>
            <w:top w:val="none" w:sz="0" w:space="0" w:color="auto"/>
            <w:left w:val="none" w:sz="0" w:space="0" w:color="auto"/>
            <w:bottom w:val="none" w:sz="0" w:space="0" w:color="auto"/>
            <w:right w:val="none" w:sz="0" w:space="0" w:color="auto"/>
          </w:divBdr>
        </w:div>
        <w:div w:id="166529835">
          <w:marLeft w:val="360"/>
          <w:marRight w:val="0"/>
          <w:marTop w:val="120"/>
          <w:marBottom w:val="0"/>
          <w:divBdr>
            <w:top w:val="none" w:sz="0" w:space="0" w:color="auto"/>
            <w:left w:val="none" w:sz="0" w:space="0" w:color="auto"/>
            <w:bottom w:val="none" w:sz="0" w:space="0" w:color="auto"/>
            <w:right w:val="none" w:sz="0" w:space="0" w:color="auto"/>
          </w:divBdr>
        </w:div>
      </w:divsChild>
    </w:div>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152796230">
      <w:bodyDiv w:val="1"/>
      <w:marLeft w:val="0"/>
      <w:marRight w:val="0"/>
      <w:marTop w:val="0"/>
      <w:marBottom w:val="0"/>
      <w:divBdr>
        <w:top w:val="none" w:sz="0" w:space="0" w:color="auto"/>
        <w:left w:val="none" w:sz="0" w:space="0" w:color="auto"/>
        <w:bottom w:val="none" w:sz="0" w:space="0" w:color="auto"/>
        <w:right w:val="none" w:sz="0" w:space="0" w:color="auto"/>
      </w:divBdr>
    </w:div>
    <w:div w:id="210961305">
      <w:bodyDiv w:val="1"/>
      <w:marLeft w:val="0"/>
      <w:marRight w:val="0"/>
      <w:marTop w:val="0"/>
      <w:marBottom w:val="0"/>
      <w:divBdr>
        <w:top w:val="none" w:sz="0" w:space="0" w:color="auto"/>
        <w:left w:val="none" w:sz="0" w:space="0" w:color="auto"/>
        <w:bottom w:val="none" w:sz="0" w:space="0" w:color="auto"/>
        <w:right w:val="none" w:sz="0" w:space="0" w:color="auto"/>
      </w:divBdr>
    </w:div>
    <w:div w:id="247354497">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6191087">
      <w:bodyDiv w:val="1"/>
      <w:marLeft w:val="0"/>
      <w:marRight w:val="0"/>
      <w:marTop w:val="0"/>
      <w:marBottom w:val="0"/>
      <w:divBdr>
        <w:top w:val="none" w:sz="0" w:space="0" w:color="auto"/>
        <w:left w:val="none" w:sz="0" w:space="0" w:color="auto"/>
        <w:bottom w:val="none" w:sz="0" w:space="0" w:color="auto"/>
        <w:right w:val="none" w:sz="0" w:space="0" w:color="auto"/>
      </w:divBdr>
    </w:div>
    <w:div w:id="429400416">
      <w:bodyDiv w:val="1"/>
      <w:marLeft w:val="0"/>
      <w:marRight w:val="0"/>
      <w:marTop w:val="0"/>
      <w:marBottom w:val="0"/>
      <w:divBdr>
        <w:top w:val="none" w:sz="0" w:space="0" w:color="auto"/>
        <w:left w:val="none" w:sz="0" w:space="0" w:color="auto"/>
        <w:bottom w:val="none" w:sz="0" w:space="0" w:color="auto"/>
        <w:right w:val="none" w:sz="0" w:space="0" w:color="auto"/>
      </w:divBdr>
      <w:divsChild>
        <w:div w:id="346367304">
          <w:marLeft w:val="360"/>
          <w:marRight w:val="0"/>
          <w:marTop w:val="120"/>
          <w:marBottom w:val="0"/>
          <w:divBdr>
            <w:top w:val="none" w:sz="0" w:space="0" w:color="auto"/>
            <w:left w:val="none" w:sz="0" w:space="0" w:color="auto"/>
            <w:bottom w:val="none" w:sz="0" w:space="0" w:color="auto"/>
            <w:right w:val="none" w:sz="0" w:space="0" w:color="auto"/>
          </w:divBdr>
        </w:div>
        <w:div w:id="896820362">
          <w:marLeft w:val="360"/>
          <w:marRight w:val="0"/>
          <w:marTop w:val="120"/>
          <w:marBottom w:val="0"/>
          <w:divBdr>
            <w:top w:val="none" w:sz="0" w:space="0" w:color="auto"/>
            <w:left w:val="none" w:sz="0" w:space="0" w:color="auto"/>
            <w:bottom w:val="none" w:sz="0" w:space="0" w:color="auto"/>
            <w:right w:val="none" w:sz="0" w:space="0" w:color="auto"/>
          </w:divBdr>
        </w:div>
        <w:div w:id="1931624292">
          <w:marLeft w:val="360"/>
          <w:marRight w:val="0"/>
          <w:marTop w:val="120"/>
          <w:marBottom w:val="0"/>
          <w:divBdr>
            <w:top w:val="none" w:sz="0" w:space="0" w:color="auto"/>
            <w:left w:val="none" w:sz="0" w:space="0" w:color="auto"/>
            <w:bottom w:val="none" w:sz="0" w:space="0" w:color="auto"/>
            <w:right w:val="none" w:sz="0" w:space="0" w:color="auto"/>
          </w:divBdr>
        </w:div>
        <w:div w:id="519708528">
          <w:marLeft w:val="360"/>
          <w:marRight w:val="0"/>
          <w:marTop w:val="12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487786769">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29612507">
      <w:bodyDiv w:val="1"/>
      <w:marLeft w:val="0"/>
      <w:marRight w:val="0"/>
      <w:marTop w:val="0"/>
      <w:marBottom w:val="0"/>
      <w:divBdr>
        <w:top w:val="none" w:sz="0" w:space="0" w:color="auto"/>
        <w:left w:val="none" w:sz="0" w:space="0" w:color="auto"/>
        <w:bottom w:val="none" w:sz="0" w:space="0" w:color="auto"/>
        <w:right w:val="none" w:sz="0" w:space="0" w:color="auto"/>
      </w:divBdr>
    </w:div>
    <w:div w:id="609818819">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685131393">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766385431">
      <w:bodyDiv w:val="1"/>
      <w:marLeft w:val="0"/>
      <w:marRight w:val="0"/>
      <w:marTop w:val="0"/>
      <w:marBottom w:val="0"/>
      <w:divBdr>
        <w:top w:val="none" w:sz="0" w:space="0" w:color="auto"/>
        <w:left w:val="none" w:sz="0" w:space="0" w:color="auto"/>
        <w:bottom w:val="none" w:sz="0" w:space="0" w:color="auto"/>
        <w:right w:val="none" w:sz="0" w:space="0" w:color="auto"/>
      </w:divBdr>
      <w:divsChild>
        <w:div w:id="1231304653">
          <w:marLeft w:val="360"/>
          <w:marRight w:val="0"/>
          <w:marTop w:val="0"/>
          <w:marBottom w:val="0"/>
          <w:divBdr>
            <w:top w:val="none" w:sz="0" w:space="0" w:color="auto"/>
            <w:left w:val="none" w:sz="0" w:space="0" w:color="auto"/>
            <w:bottom w:val="none" w:sz="0" w:space="0" w:color="auto"/>
            <w:right w:val="none" w:sz="0" w:space="0" w:color="auto"/>
          </w:divBdr>
        </w:div>
        <w:div w:id="2070419159">
          <w:marLeft w:val="360"/>
          <w:marRight w:val="0"/>
          <w:marTop w:val="0"/>
          <w:marBottom w:val="0"/>
          <w:divBdr>
            <w:top w:val="none" w:sz="0" w:space="0" w:color="auto"/>
            <w:left w:val="none" w:sz="0" w:space="0" w:color="auto"/>
            <w:bottom w:val="none" w:sz="0" w:space="0" w:color="auto"/>
            <w:right w:val="none" w:sz="0" w:space="0" w:color="auto"/>
          </w:divBdr>
        </w:div>
        <w:div w:id="348802569">
          <w:marLeft w:val="360"/>
          <w:marRight w:val="0"/>
          <w:marTop w:val="0"/>
          <w:marBottom w:val="0"/>
          <w:divBdr>
            <w:top w:val="none" w:sz="0" w:space="0" w:color="auto"/>
            <w:left w:val="none" w:sz="0" w:space="0" w:color="auto"/>
            <w:bottom w:val="none" w:sz="0" w:space="0" w:color="auto"/>
            <w:right w:val="none" w:sz="0" w:space="0" w:color="auto"/>
          </w:divBdr>
        </w:div>
        <w:div w:id="1420953049">
          <w:marLeft w:val="1166"/>
          <w:marRight w:val="0"/>
          <w:marTop w:val="0"/>
          <w:marBottom w:val="0"/>
          <w:divBdr>
            <w:top w:val="none" w:sz="0" w:space="0" w:color="auto"/>
            <w:left w:val="none" w:sz="0" w:space="0" w:color="auto"/>
            <w:bottom w:val="none" w:sz="0" w:space="0" w:color="auto"/>
            <w:right w:val="none" w:sz="0" w:space="0" w:color="auto"/>
          </w:divBdr>
        </w:div>
        <w:div w:id="502160175">
          <w:marLeft w:val="1166"/>
          <w:marRight w:val="0"/>
          <w:marTop w:val="0"/>
          <w:marBottom w:val="0"/>
          <w:divBdr>
            <w:top w:val="none" w:sz="0" w:space="0" w:color="auto"/>
            <w:left w:val="none" w:sz="0" w:space="0" w:color="auto"/>
            <w:bottom w:val="none" w:sz="0" w:space="0" w:color="auto"/>
            <w:right w:val="none" w:sz="0" w:space="0" w:color="auto"/>
          </w:divBdr>
        </w:div>
      </w:divsChild>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880018398">
      <w:bodyDiv w:val="1"/>
      <w:marLeft w:val="0"/>
      <w:marRight w:val="0"/>
      <w:marTop w:val="0"/>
      <w:marBottom w:val="0"/>
      <w:divBdr>
        <w:top w:val="none" w:sz="0" w:space="0" w:color="auto"/>
        <w:left w:val="none" w:sz="0" w:space="0" w:color="auto"/>
        <w:bottom w:val="none" w:sz="0" w:space="0" w:color="auto"/>
        <w:right w:val="none" w:sz="0" w:space="0" w:color="auto"/>
      </w:divBdr>
    </w:div>
    <w:div w:id="926696688">
      <w:bodyDiv w:val="1"/>
      <w:marLeft w:val="0"/>
      <w:marRight w:val="0"/>
      <w:marTop w:val="0"/>
      <w:marBottom w:val="0"/>
      <w:divBdr>
        <w:top w:val="none" w:sz="0" w:space="0" w:color="auto"/>
        <w:left w:val="none" w:sz="0" w:space="0" w:color="auto"/>
        <w:bottom w:val="none" w:sz="0" w:space="0" w:color="auto"/>
        <w:right w:val="none" w:sz="0" w:space="0" w:color="auto"/>
      </w:divBdr>
    </w:div>
    <w:div w:id="943879093">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32869160">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25400647">
      <w:bodyDiv w:val="1"/>
      <w:marLeft w:val="0"/>
      <w:marRight w:val="0"/>
      <w:marTop w:val="0"/>
      <w:marBottom w:val="0"/>
      <w:divBdr>
        <w:top w:val="none" w:sz="0" w:space="0" w:color="auto"/>
        <w:left w:val="none" w:sz="0" w:space="0" w:color="auto"/>
        <w:bottom w:val="none" w:sz="0" w:space="0" w:color="auto"/>
        <w:right w:val="none" w:sz="0" w:space="0" w:color="auto"/>
      </w:divBdr>
    </w:div>
    <w:div w:id="1326740354">
      <w:bodyDiv w:val="1"/>
      <w:marLeft w:val="0"/>
      <w:marRight w:val="0"/>
      <w:marTop w:val="0"/>
      <w:marBottom w:val="0"/>
      <w:divBdr>
        <w:top w:val="none" w:sz="0" w:space="0" w:color="auto"/>
        <w:left w:val="none" w:sz="0" w:space="0" w:color="auto"/>
        <w:bottom w:val="none" w:sz="0" w:space="0" w:color="auto"/>
        <w:right w:val="none" w:sz="0" w:space="0" w:color="auto"/>
      </w:divBdr>
    </w:div>
    <w:div w:id="1369450159">
      <w:bodyDiv w:val="1"/>
      <w:marLeft w:val="0"/>
      <w:marRight w:val="0"/>
      <w:marTop w:val="0"/>
      <w:marBottom w:val="0"/>
      <w:divBdr>
        <w:top w:val="none" w:sz="0" w:space="0" w:color="auto"/>
        <w:left w:val="none" w:sz="0" w:space="0" w:color="auto"/>
        <w:bottom w:val="none" w:sz="0" w:space="0" w:color="auto"/>
        <w:right w:val="none" w:sz="0" w:space="0" w:color="auto"/>
      </w:divBdr>
      <w:divsChild>
        <w:div w:id="1596670198">
          <w:marLeft w:val="360"/>
          <w:marRight w:val="0"/>
          <w:marTop w:val="120"/>
          <w:marBottom w:val="0"/>
          <w:divBdr>
            <w:top w:val="none" w:sz="0" w:space="0" w:color="auto"/>
            <w:left w:val="none" w:sz="0" w:space="0" w:color="auto"/>
            <w:bottom w:val="none" w:sz="0" w:space="0" w:color="auto"/>
            <w:right w:val="none" w:sz="0" w:space="0" w:color="auto"/>
          </w:divBdr>
        </w:div>
        <w:div w:id="1992244485">
          <w:marLeft w:val="360"/>
          <w:marRight w:val="0"/>
          <w:marTop w:val="120"/>
          <w:marBottom w:val="0"/>
          <w:divBdr>
            <w:top w:val="none" w:sz="0" w:space="0" w:color="auto"/>
            <w:left w:val="none" w:sz="0" w:space="0" w:color="auto"/>
            <w:bottom w:val="none" w:sz="0" w:space="0" w:color="auto"/>
            <w:right w:val="none" w:sz="0" w:space="0" w:color="auto"/>
          </w:divBdr>
        </w:div>
        <w:div w:id="625309810">
          <w:marLeft w:val="360"/>
          <w:marRight w:val="0"/>
          <w:marTop w:val="120"/>
          <w:marBottom w:val="0"/>
          <w:divBdr>
            <w:top w:val="none" w:sz="0" w:space="0" w:color="auto"/>
            <w:left w:val="none" w:sz="0" w:space="0" w:color="auto"/>
            <w:bottom w:val="none" w:sz="0" w:space="0" w:color="auto"/>
            <w:right w:val="none" w:sz="0" w:space="0" w:color="auto"/>
          </w:divBdr>
        </w:div>
        <w:div w:id="1158107047">
          <w:marLeft w:val="360"/>
          <w:marRight w:val="0"/>
          <w:marTop w:val="120"/>
          <w:marBottom w:val="0"/>
          <w:divBdr>
            <w:top w:val="none" w:sz="0" w:space="0" w:color="auto"/>
            <w:left w:val="none" w:sz="0" w:space="0" w:color="auto"/>
            <w:bottom w:val="none" w:sz="0" w:space="0" w:color="auto"/>
            <w:right w:val="none" w:sz="0" w:space="0" w:color="auto"/>
          </w:divBdr>
        </w:div>
      </w:divsChild>
    </w:div>
    <w:div w:id="1378436507">
      <w:bodyDiv w:val="1"/>
      <w:marLeft w:val="0"/>
      <w:marRight w:val="0"/>
      <w:marTop w:val="0"/>
      <w:marBottom w:val="0"/>
      <w:divBdr>
        <w:top w:val="none" w:sz="0" w:space="0" w:color="auto"/>
        <w:left w:val="none" w:sz="0" w:space="0" w:color="auto"/>
        <w:bottom w:val="none" w:sz="0" w:space="0" w:color="auto"/>
        <w:right w:val="none" w:sz="0" w:space="0" w:color="auto"/>
      </w:divBdr>
      <w:divsChild>
        <w:div w:id="355620">
          <w:marLeft w:val="360"/>
          <w:marRight w:val="0"/>
          <w:marTop w:val="120"/>
          <w:marBottom w:val="0"/>
          <w:divBdr>
            <w:top w:val="none" w:sz="0" w:space="0" w:color="auto"/>
            <w:left w:val="none" w:sz="0" w:space="0" w:color="auto"/>
            <w:bottom w:val="none" w:sz="0" w:space="0" w:color="auto"/>
            <w:right w:val="none" w:sz="0" w:space="0" w:color="auto"/>
          </w:divBdr>
        </w:div>
        <w:div w:id="2038771489">
          <w:marLeft w:val="360"/>
          <w:marRight w:val="0"/>
          <w:marTop w:val="120"/>
          <w:marBottom w:val="0"/>
          <w:divBdr>
            <w:top w:val="none" w:sz="0" w:space="0" w:color="auto"/>
            <w:left w:val="none" w:sz="0" w:space="0" w:color="auto"/>
            <w:bottom w:val="none" w:sz="0" w:space="0" w:color="auto"/>
            <w:right w:val="none" w:sz="0" w:space="0" w:color="auto"/>
          </w:divBdr>
        </w:div>
        <w:div w:id="1288855711">
          <w:marLeft w:val="360"/>
          <w:marRight w:val="0"/>
          <w:marTop w:val="120"/>
          <w:marBottom w:val="0"/>
          <w:divBdr>
            <w:top w:val="none" w:sz="0" w:space="0" w:color="auto"/>
            <w:left w:val="none" w:sz="0" w:space="0" w:color="auto"/>
            <w:bottom w:val="none" w:sz="0" w:space="0" w:color="auto"/>
            <w:right w:val="none" w:sz="0" w:space="0" w:color="auto"/>
          </w:divBdr>
        </w:div>
      </w:divsChild>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459881947">
      <w:bodyDiv w:val="1"/>
      <w:marLeft w:val="0"/>
      <w:marRight w:val="0"/>
      <w:marTop w:val="0"/>
      <w:marBottom w:val="0"/>
      <w:divBdr>
        <w:top w:val="none" w:sz="0" w:space="0" w:color="auto"/>
        <w:left w:val="none" w:sz="0" w:space="0" w:color="auto"/>
        <w:bottom w:val="none" w:sz="0" w:space="0" w:color="auto"/>
        <w:right w:val="none" w:sz="0" w:space="0" w:color="auto"/>
      </w:divBdr>
    </w:div>
    <w:div w:id="1469085159">
      <w:bodyDiv w:val="1"/>
      <w:marLeft w:val="0"/>
      <w:marRight w:val="0"/>
      <w:marTop w:val="0"/>
      <w:marBottom w:val="0"/>
      <w:divBdr>
        <w:top w:val="none" w:sz="0" w:space="0" w:color="auto"/>
        <w:left w:val="none" w:sz="0" w:space="0" w:color="auto"/>
        <w:bottom w:val="none" w:sz="0" w:space="0" w:color="auto"/>
        <w:right w:val="none" w:sz="0" w:space="0" w:color="auto"/>
      </w:divBdr>
    </w:div>
    <w:div w:id="1561331383">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03681335">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55136356">
      <w:bodyDiv w:val="1"/>
      <w:marLeft w:val="0"/>
      <w:marRight w:val="0"/>
      <w:marTop w:val="0"/>
      <w:marBottom w:val="0"/>
      <w:divBdr>
        <w:top w:val="none" w:sz="0" w:space="0" w:color="auto"/>
        <w:left w:val="none" w:sz="0" w:space="0" w:color="auto"/>
        <w:bottom w:val="none" w:sz="0" w:space="0" w:color="auto"/>
        <w:right w:val="none" w:sz="0" w:space="0" w:color="auto"/>
      </w:divBdr>
      <w:divsChild>
        <w:div w:id="882795079">
          <w:marLeft w:val="446"/>
          <w:marRight w:val="0"/>
          <w:marTop w:val="0"/>
          <w:marBottom w:val="0"/>
          <w:divBdr>
            <w:top w:val="none" w:sz="0" w:space="0" w:color="auto"/>
            <w:left w:val="none" w:sz="0" w:space="0" w:color="auto"/>
            <w:bottom w:val="none" w:sz="0" w:space="0" w:color="auto"/>
            <w:right w:val="none" w:sz="0" w:space="0" w:color="auto"/>
          </w:divBdr>
        </w:div>
      </w:divsChild>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725761018">
      <w:bodyDiv w:val="1"/>
      <w:marLeft w:val="0"/>
      <w:marRight w:val="0"/>
      <w:marTop w:val="0"/>
      <w:marBottom w:val="0"/>
      <w:divBdr>
        <w:top w:val="none" w:sz="0" w:space="0" w:color="auto"/>
        <w:left w:val="none" w:sz="0" w:space="0" w:color="auto"/>
        <w:bottom w:val="none" w:sz="0" w:space="0" w:color="auto"/>
        <w:right w:val="none" w:sz="0" w:space="0" w:color="auto"/>
      </w:divBdr>
      <w:divsChild>
        <w:div w:id="583152530">
          <w:marLeft w:val="446"/>
          <w:marRight w:val="0"/>
          <w:marTop w:val="0"/>
          <w:marBottom w:val="0"/>
          <w:divBdr>
            <w:top w:val="none" w:sz="0" w:space="0" w:color="auto"/>
            <w:left w:val="none" w:sz="0" w:space="0" w:color="auto"/>
            <w:bottom w:val="none" w:sz="0" w:space="0" w:color="auto"/>
            <w:right w:val="none" w:sz="0" w:space="0" w:color="auto"/>
          </w:divBdr>
        </w:div>
        <w:div w:id="1628731251">
          <w:marLeft w:val="446"/>
          <w:marRight w:val="0"/>
          <w:marTop w:val="0"/>
          <w:marBottom w:val="0"/>
          <w:divBdr>
            <w:top w:val="none" w:sz="0" w:space="0" w:color="auto"/>
            <w:left w:val="none" w:sz="0" w:space="0" w:color="auto"/>
            <w:bottom w:val="none" w:sz="0" w:space="0" w:color="auto"/>
            <w:right w:val="none" w:sz="0" w:space="0" w:color="auto"/>
          </w:divBdr>
        </w:div>
        <w:div w:id="1695115453">
          <w:marLeft w:val="1166"/>
          <w:marRight w:val="0"/>
          <w:marTop w:val="0"/>
          <w:marBottom w:val="0"/>
          <w:divBdr>
            <w:top w:val="none" w:sz="0" w:space="0" w:color="auto"/>
            <w:left w:val="none" w:sz="0" w:space="0" w:color="auto"/>
            <w:bottom w:val="none" w:sz="0" w:space="0" w:color="auto"/>
            <w:right w:val="none" w:sz="0" w:space="0" w:color="auto"/>
          </w:divBdr>
        </w:div>
        <w:div w:id="609775736">
          <w:marLeft w:val="1166"/>
          <w:marRight w:val="0"/>
          <w:marTop w:val="0"/>
          <w:marBottom w:val="0"/>
          <w:divBdr>
            <w:top w:val="none" w:sz="0" w:space="0" w:color="auto"/>
            <w:left w:val="none" w:sz="0" w:space="0" w:color="auto"/>
            <w:bottom w:val="none" w:sz="0" w:space="0" w:color="auto"/>
            <w:right w:val="none" w:sz="0" w:space="0" w:color="auto"/>
          </w:divBdr>
        </w:div>
        <w:div w:id="1801454415">
          <w:marLeft w:val="1166"/>
          <w:marRight w:val="0"/>
          <w:marTop w:val="0"/>
          <w:marBottom w:val="0"/>
          <w:divBdr>
            <w:top w:val="none" w:sz="0" w:space="0" w:color="auto"/>
            <w:left w:val="none" w:sz="0" w:space="0" w:color="auto"/>
            <w:bottom w:val="none" w:sz="0" w:space="0" w:color="auto"/>
            <w:right w:val="none" w:sz="0" w:space="0" w:color="auto"/>
          </w:divBdr>
        </w:div>
      </w:divsChild>
    </w:div>
    <w:div w:id="1737820534">
      <w:bodyDiv w:val="1"/>
      <w:marLeft w:val="0"/>
      <w:marRight w:val="0"/>
      <w:marTop w:val="0"/>
      <w:marBottom w:val="0"/>
      <w:divBdr>
        <w:top w:val="none" w:sz="0" w:space="0" w:color="auto"/>
        <w:left w:val="none" w:sz="0" w:space="0" w:color="auto"/>
        <w:bottom w:val="none" w:sz="0" w:space="0" w:color="auto"/>
        <w:right w:val="none" w:sz="0" w:space="0" w:color="auto"/>
      </w:divBdr>
    </w:div>
    <w:div w:id="1738089080">
      <w:bodyDiv w:val="1"/>
      <w:marLeft w:val="0"/>
      <w:marRight w:val="0"/>
      <w:marTop w:val="0"/>
      <w:marBottom w:val="0"/>
      <w:divBdr>
        <w:top w:val="none" w:sz="0" w:space="0" w:color="auto"/>
        <w:left w:val="none" w:sz="0" w:space="0" w:color="auto"/>
        <w:bottom w:val="none" w:sz="0" w:space="0" w:color="auto"/>
        <w:right w:val="none" w:sz="0" w:space="0" w:color="auto"/>
      </w:divBdr>
    </w:div>
    <w:div w:id="1776319666">
      <w:bodyDiv w:val="1"/>
      <w:marLeft w:val="0"/>
      <w:marRight w:val="0"/>
      <w:marTop w:val="0"/>
      <w:marBottom w:val="0"/>
      <w:divBdr>
        <w:top w:val="none" w:sz="0" w:space="0" w:color="auto"/>
        <w:left w:val="none" w:sz="0" w:space="0" w:color="auto"/>
        <w:bottom w:val="none" w:sz="0" w:space="0" w:color="auto"/>
        <w:right w:val="none" w:sz="0" w:space="0" w:color="auto"/>
      </w:divBdr>
      <w:divsChild>
        <w:div w:id="679624769">
          <w:marLeft w:val="446"/>
          <w:marRight w:val="0"/>
          <w:marTop w:val="0"/>
          <w:marBottom w:val="0"/>
          <w:divBdr>
            <w:top w:val="none" w:sz="0" w:space="0" w:color="auto"/>
            <w:left w:val="none" w:sz="0" w:space="0" w:color="auto"/>
            <w:bottom w:val="none" w:sz="0" w:space="0" w:color="auto"/>
            <w:right w:val="none" w:sz="0" w:space="0" w:color="auto"/>
          </w:divBdr>
        </w:div>
        <w:div w:id="399987558">
          <w:marLeft w:val="1166"/>
          <w:marRight w:val="0"/>
          <w:marTop w:val="0"/>
          <w:marBottom w:val="0"/>
          <w:divBdr>
            <w:top w:val="none" w:sz="0" w:space="0" w:color="auto"/>
            <w:left w:val="none" w:sz="0" w:space="0" w:color="auto"/>
            <w:bottom w:val="none" w:sz="0" w:space="0" w:color="auto"/>
            <w:right w:val="none" w:sz="0" w:space="0" w:color="auto"/>
          </w:divBdr>
        </w:div>
        <w:div w:id="420178961">
          <w:marLeft w:val="1166"/>
          <w:marRight w:val="0"/>
          <w:marTop w:val="0"/>
          <w:marBottom w:val="0"/>
          <w:divBdr>
            <w:top w:val="none" w:sz="0" w:space="0" w:color="auto"/>
            <w:left w:val="none" w:sz="0" w:space="0" w:color="auto"/>
            <w:bottom w:val="none" w:sz="0" w:space="0" w:color="auto"/>
            <w:right w:val="none" w:sz="0" w:space="0" w:color="auto"/>
          </w:divBdr>
        </w:div>
      </w:divsChild>
    </w:div>
    <w:div w:id="1780567036">
      <w:bodyDiv w:val="1"/>
      <w:marLeft w:val="0"/>
      <w:marRight w:val="0"/>
      <w:marTop w:val="0"/>
      <w:marBottom w:val="0"/>
      <w:divBdr>
        <w:top w:val="none" w:sz="0" w:space="0" w:color="auto"/>
        <w:left w:val="none" w:sz="0" w:space="0" w:color="auto"/>
        <w:bottom w:val="none" w:sz="0" w:space="0" w:color="auto"/>
        <w:right w:val="none" w:sz="0" w:space="0" w:color="auto"/>
      </w:divBdr>
      <w:divsChild>
        <w:div w:id="681856402">
          <w:marLeft w:val="1080"/>
          <w:marRight w:val="0"/>
          <w:marTop w:val="0"/>
          <w:marBottom w:val="0"/>
          <w:divBdr>
            <w:top w:val="none" w:sz="0" w:space="0" w:color="auto"/>
            <w:left w:val="none" w:sz="0" w:space="0" w:color="auto"/>
            <w:bottom w:val="none" w:sz="0" w:space="0" w:color="auto"/>
            <w:right w:val="none" w:sz="0" w:space="0" w:color="auto"/>
          </w:divBdr>
        </w:div>
        <w:div w:id="1382556565">
          <w:marLeft w:val="1080"/>
          <w:marRight w:val="0"/>
          <w:marTop w:val="0"/>
          <w:marBottom w:val="0"/>
          <w:divBdr>
            <w:top w:val="none" w:sz="0" w:space="0" w:color="auto"/>
            <w:left w:val="none" w:sz="0" w:space="0" w:color="auto"/>
            <w:bottom w:val="none" w:sz="0" w:space="0" w:color="auto"/>
            <w:right w:val="none" w:sz="0" w:space="0" w:color="auto"/>
          </w:divBdr>
        </w:div>
        <w:div w:id="2075278733">
          <w:marLeft w:val="1714"/>
          <w:marRight w:val="0"/>
          <w:marTop w:val="0"/>
          <w:marBottom w:val="0"/>
          <w:divBdr>
            <w:top w:val="none" w:sz="0" w:space="0" w:color="auto"/>
            <w:left w:val="none" w:sz="0" w:space="0" w:color="auto"/>
            <w:bottom w:val="none" w:sz="0" w:space="0" w:color="auto"/>
            <w:right w:val="none" w:sz="0" w:space="0" w:color="auto"/>
          </w:divBdr>
        </w:div>
        <w:div w:id="135421304">
          <w:marLeft w:val="1714"/>
          <w:marRight w:val="0"/>
          <w:marTop w:val="0"/>
          <w:marBottom w:val="0"/>
          <w:divBdr>
            <w:top w:val="none" w:sz="0" w:space="0" w:color="auto"/>
            <w:left w:val="none" w:sz="0" w:space="0" w:color="auto"/>
            <w:bottom w:val="none" w:sz="0" w:space="0" w:color="auto"/>
            <w:right w:val="none" w:sz="0" w:space="0" w:color="auto"/>
          </w:divBdr>
        </w:div>
        <w:div w:id="2082025576">
          <w:marLeft w:val="1829"/>
          <w:marRight w:val="0"/>
          <w:marTop w:val="0"/>
          <w:marBottom w:val="0"/>
          <w:divBdr>
            <w:top w:val="none" w:sz="0" w:space="0" w:color="auto"/>
            <w:left w:val="none" w:sz="0" w:space="0" w:color="auto"/>
            <w:bottom w:val="none" w:sz="0" w:space="0" w:color="auto"/>
            <w:right w:val="none" w:sz="0" w:space="0" w:color="auto"/>
          </w:divBdr>
        </w:div>
        <w:div w:id="1315645626">
          <w:marLeft w:val="1829"/>
          <w:marRight w:val="0"/>
          <w:marTop w:val="0"/>
          <w:marBottom w:val="0"/>
          <w:divBdr>
            <w:top w:val="none" w:sz="0" w:space="0" w:color="auto"/>
            <w:left w:val="none" w:sz="0" w:space="0" w:color="auto"/>
            <w:bottom w:val="none" w:sz="0" w:space="0" w:color="auto"/>
            <w:right w:val="none" w:sz="0" w:space="0" w:color="auto"/>
          </w:divBdr>
        </w:div>
      </w:divsChild>
    </w:div>
    <w:div w:id="1811048025">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 w:id="208194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190D81"/>
    <w:rsid w:val="003E4CC0"/>
    <w:rsid w:val="004E4CF9"/>
    <w:rsid w:val="00813189"/>
    <w:rsid w:val="008222A0"/>
    <w:rsid w:val="00831E77"/>
    <w:rsid w:val="00836D47"/>
    <w:rsid w:val="00882B0C"/>
    <w:rsid w:val="009B6B9C"/>
    <w:rsid w:val="00B22006"/>
    <w:rsid w:val="00B76CF5"/>
    <w:rsid w:val="00CD433B"/>
    <w:rsid w:val="00E204AF"/>
    <w:rsid w:val="00FF2C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282</Value>
      <Value>9</Value>
      <Value>6</Value>
      <Value>158</Value>
      <Value>324</Value>
      <Value>323</Value>
    </TaxCatchAll>
    <_dlc_DocId xmlns="d0fb0f98-34f9-4d57-9559-eb8efd17aa5e">ESMA74-2119945925-1689</_dlc_DocId>
    <_dlc_DocIdUrl xmlns="d0fb0f98-34f9-4d57-9559-eb8efd17aa5e">
      <Url>https://securitiesandmarketsauth.sharepoint.com/sites/sherpa-trdu/_layouts/15/DocIdRedir.aspx?ID=ESMA74-2119945925-1689</Url>
      <Description>ESMA74-2119945925-1689</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CSDR General - T + 1</TermName>
          <TermId xmlns="http://schemas.microsoft.com/office/infopath/2007/PartnerControls">a5a376d4-84eb-4354-ab81-b0766b380093</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2023-09-04T22:00:00+00:00</MeetingDate>
    <Year xmlns="d0fb0f98-34f9-4d57-9559-eb8efd17aa5e">2023</Year>
    <a9b3b1dad23b4ba58c3f3e36a96e1d9c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Policy - General</TermName>
          <TermId xmlns="http://schemas.microsoft.com/office/infopath/2007/PartnerControls">db21dc18-4aa6-45e7-9a71-d37b675b6713</TermId>
        </TermInfo>
      </Terms>
    </caa5aeb1a6644849b60fbe2335e12657>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CSDR Policy Document" ma:contentTypeID="0x0101008D9E5D2C101BA04B85C7EB08C6516E40070063E1B3F6A3CBC848AC72876EC74C30A0" ma:contentTypeVersion="24" ma:contentTypeDescription="" ma:contentTypeScope="" ma:versionID="8f2833e087031d50810a49270f9d267a">
  <xsd:schema xmlns:xsd="http://www.w3.org/2001/XMLSchema" xmlns:xs="http://www.w3.org/2001/XMLSchema" xmlns:p="http://schemas.microsoft.com/office/2006/metadata/properties" xmlns:ns2="d0fb0f98-34f9-4d57-9559-eb8efd17aa5e" xmlns:ns3="d6ee69ee-eb04-4cc4-8631-12658645af0f" targetNamespace="http://schemas.microsoft.com/office/2006/metadata/properties" ma:root="true" ma:fieldsID="b060fb0d693c85b3946ea7a875cd0b77" ns2:_="" ns3:_="">
    <xsd:import namespace="d0fb0f98-34f9-4d57-9559-eb8efd17aa5e"/>
    <xsd:import namespace="d6ee69ee-eb04-4cc4-8631-12658645af0f"/>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1e1a0bf-1753-432d-a0a9-3ddff6f2db29"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90688103-1e8a-4f61-b7e0-9f62eca5dc1a"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e69ee-eb04-4cc4-8631-12658645af0f"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purl.org/dc/dcmitype/"/>
    <ds:schemaRef ds:uri="d0fb0f98-34f9-4d57-9559-eb8efd17aa5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6ee69ee-eb04-4cc4-8631-12658645af0f"/>
    <ds:schemaRef ds:uri="http://www.w3.org/XML/1998/namespace"/>
    <ds:schemaRef ds:uri="http://purl.org/dc/elements/1.1/"/>
  </ds:schemaRefs>
</ds:datastoreItem>
</file>

<file path=customXml/itemProps4.xml><?xml version="1.0" encoding="utf-8"?>
<ds:datastoreItem xmlns:ds="http://schemas.openxmlformats.org/officeDocument/2006/customXml" ds:itemID="{70CE2AE6-F742-4416-A22E-6B52DA960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d6ee69ee-eb04-4cc4-8631-12658645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17383B-E54D-40DB-B440-83A2C1F8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2471</TotalTime>
  <Pages>23</Pages>
  <Words>5494</Words>
  <Characters>31320</Characters>
  <Application>Microsoft Office Word</Application>
  <DocSecurity>8</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François Baratte</cp:lastModifiedBy>
  <cp:revision>37</cp:revision>
  <cp:lastPrinted>2023-12-05T08:45:00Z</cp:lastPrinted>
  <dcterms:created xsi:type="dcterms:W3CDTF">2023-10-13T10:19:00Z</dcterms:created>
  <dcterms:modified xsi:type="dcterms:W3CDTF">2023-12-15T17:10:00Z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0x0101008D9E5D2C101BA04B85C7EB08C6516E40070063E1B3F6A3CBC848AC72876EC74C30A0</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19652987-5c33-4005-9194-eecf50ceef6c</vt:lpwstr>
  </property>
  <property fmtid="{D5CDD505-2E9C-101B-9397-08002B2CF9AE}" pid="8" name="EsmaAudience">
    <vt:lpwstr>158;#Post-Trading Standing Committee|b4466ad1-2610-4bb4-b77e-13cd08e75663</vt:lpwstr>
  </property>
  <property fmtid="{D5CDD505-2E9C-101B-9397-08002B2CF9AE}" pid="9" name="Topic">
    <vt:lpwstr>324;#CSDR Policy - General|db21dc18-4aa6-45e7-9a71-d37b675b6713</vt:lpwstr>
  </property>
  <property fmtid="{D5CDD505-2E9C-101B-9397-08002B2CF9AE}" pid="10" name="ConfidentialityLevel">
    <vt:lpwstr>6;#Regular|07f1e362-856b-423d-bea6-a14079762141</vt:lpwstr>
  </property>
  <property fmtid="{D5CDD505-2E9C-101B-9397-08002B2CF9AE}" pid="11" name="DocumentType">
    <vt:lpwstr>282;#Call for Evidence|4dd13041-d074-4513-b0c9-9d450ea451f0</vt:lpwstr>
  </property>
  <property fmtid="{D5CDD505-2E9C-101B-9397-08002B2CF9AE}" pid="12" name="Order">
    <vt:r8>52000</vt:r8>
  </property>
  <property fmtid="{D5CDD505-2E9C-101B-9397-08002B2CF9AE}" pid="13" name="DocumentSetDescription">
    <vt:lpwstr/>
  </property>
  <property fmtid="{D5CDD505-2E9C-101B-9397-08002B2CF9AE}" pid="14" name="TeamName">
    <vt:lpwstr>9;#Trading Unit|0cda11c1-7d91-4d51-b3a1-339122a07b73</vt:lpwstr>
  </property>
  <property fmtid="{D5CDD505-2E9C-101B-9397-08002B2CF9AE}" pid="15" name="SubTopic">
    <vt:lpwstr>323;#CSDR General - T + 1|a5a376d4-84eb-4354-ab81-b0766b380093</vt:lpwstr>
  </property>
</Properties>
</file>