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eastAsiaTheme="minorEastAsia" w:hAnsiTheme="minorHAnsi" w:cstheme="minorBidi"/>
          <w:b w:val="0"/>
          <w:color w:val="181818" w:themeColor="background1" w:themeShade="1A"/>
          <w:spacing w:val="0"/>
          <w:sz w:val="28"/>
          <w:szCs w:val="24"/>
        </w:rPr>
        <w:id w:val="-973058580"/>
        <w:docPartObj>
          <w:docPartGallery w:val="Cover Pages"/>
          <w:docPartUnique/>
        </w:docPartObj>
      </w:sdtPr>
      <w:sdtContent>
        <w:p w14:paraId="01438AE1" w14:textId="19FC5ED4" w:rsidR="00563C1F" w:rsidRDefault="00EC6066" w:rsidP="00F72D28">
          <w:pPr>
            <w:pStyle w:val="Titre"/>
          </w:pPr>
          <w:r>
            <w:t>Reply form</w:t>
          </w:r>
        </w:p>
        <w:p w14:paraId="031F2108" w14:textId="314EEC9D" w:rsidR="007E7997" w:rsidRDefault="00D77369" w:rsidP="00D77369">
          <w:pPr>
            <w:pStyle w:val="Sous-titre"/>
            <w:rPr>
              <w:rFonts w:cs="Arial"/>
            </w:rPr>
          </w:pPr>
          <w:r>
            <w:rPr>
              <w:noProof/>
            </w:rPr>
            <mc:AlternateContent>
              <mc:Choice Requires="wps">
                <w:drawing>
                  <wp:anchor distT="0" distB="0" distL="114300" distR="114300" simplePos="0" relativeHeight="251658240" behindDoc="1" locked="1" layoutInCell="1" allowOverlap="0" wp14:anchorId="72CBE987" wp14:editId="5CFA8051">
                    <wp:simplePos x="0" y="0"/>
                    <wp:positionH relativeFrom="page">
                      <wp:posOffset>17145</wp:posOffset>
                    </wp:positionH>
                    <wp:positionV relativeFrom="paragraph">
                      <wp:posOffset>541020</wp:posOffset>
                    </wp:positionV>
                    <wp:extent cx="7570470" cy="9777095"/>
                    <wp:effectExtent l="0" t="0" r="0" b="0"/>
                    <wp:wrapNone/>
                    <wp:docPr id="1" name="Freeform: Shape 1"/>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1"/>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202211" id="Freeform: Shape 1" o:spid="_x0000_s1026" style="position:absolute;margin-left:1.35pt;margin-top:42.6pt;width:596.1pt;height:769.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" o:allowoverlap="f" path="m2939613,926867c5038819,-714379,6826523,267027,7569200,545025r,2628099l7569200,9779055r,l,9779055r,l,3173124,2939613,926867xe" stroked="f" strokeweight="1pt">
                    <v:fill r:id="rId13"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r w:rsidR="00EC6066" w:rsidRPr="0026459D">
            <w:rPr>
              <w:rFonts w:cs="Arial"/>
              <w:b/>
              <w:bCs/>
            </w:rPr>
            <w:t>on</w:t>
          </w:r>
          <w:r w:rsidR="003C5D75">
            <w:rPr>
              <w:rFonts w:cs="Arial"/>
              <w:b/>
              <w:bCs/>
            </w:rPr>
            <w:t xml:space="preserve"> the</w:t>
          </w:r>
          <w:r w:rsidR="00EC6066">
            <w:rPr>
              <w:rFonts w:cs="Arial"/>
            </w:rPr>
            <w:t xml:space="preserve"> </w:t>
          </w:r>
          <w:r w:rsidR="006902D1">
            <w:rPr>
              <w:rFonts w:cs="Arial"/>
              <w:b/>
              <w:bCs/>
            </w:rPr>
            <w:t>call for evidence</w:t>
          </w:r>
          <w:r w:rsidR="00780FEC">
            <w:rPr>
              <w:rFonts w:cs="Arial"/>
              <w:b/>
              <w:bCs/>
            </w:rPr>
            <w:t xml:space="preserve"> on </w:t>
          </w:r>
          <w:r w:rsidR="00EC6066">
            <w:rPr>
              <w:rFonts w:cs="Arial"/>
              <w:b/>
              <w:bCs/>
            </w:rPr>
            <w:t xml:space="preserve">shortening </w:t>
          </w:r>
          <w:r w:rsidR="0024683D">
            <w:rPr>
              <w:rFonts w:cs="Arial"/>
              <w:b/>
              <w:bCs/>
            </w:rPr>
            <w:t xml:space="preserve">of </w:t>
          </w:r>
          <w:r w:rsidR="00EC6066">
            <w:rPr>
              <w:rFonts w:cs="Arial"/>
              <w:b/>
              <w:bCs/>
            </w:rPr>
            <w:t>the settlement cycle</w:t>
          </w:r>
        </w:p>
        <w:p w14:paraId="5C42D2D2" w14:textId="77777777" w:rsidR="00D77369" w:rsidRDefault="00D77369" w:rsidP="00D77369"/>
        <w:p w14:paraId="0A9EB4DC" w14:textId="77777777" w:rsidR="00D77369" w:rsidRPr="00D77369" w:rsidRDefault="00D77369" w:rsidP="00D77369">
          <w:pPr>
            <w:sectPr w:rsidR="00D77369" w:rsidRPr="00D77369" w:rsidSect="0043139E">
              <w:headerReference w:type="first" r:id="rId14"/>
              <w:pgSz w:w="11906" w:h="16838"/>
              <w:pgMar w:top="1417" w:right="1417" w:bottom="1417" w:left="1417" w:header="862" w:footer="708" w:gutter="0"/>
              <w:pgNumType w:start="0"/>
              <w:cols w:space="708"/>
              <w:titlePg/>
              <w:docGrid w:linePitch="360"/>
            </w:sectPr>
          </w:pPr>
        </w:p>
        <w:p w14:paraId="11777801" w14:textId="77777777" w:rsidR="002533FC" w:rsidRPr="005B6B12" w:rsidRDefault="002533FC" w:rsidP="002533FC">
          <w:pPr>
            <w:pStyle w:val="Sous-titre"/>
          </w:pPr>
          <w:r w:rsidRPr="005B6B12">
            <w:lastRenderedPageBreak/>
            <w:t xml:space="preserve">Responding to this paper </w:t>
          </w:r>
        </w:p>
        <w:p w14:paraId="2F436F98" w14:textId="77777777" w:rsidR="002533FC" w:rsidRPr="005B6B12" w:rsidRDefault="002533FC" w:rsidP="002533FC">
          <w:r w:rsidRPr="005B6B12">
            <w:t xml:space="preserve">ESMA invites comments on all matters in this paper and in particular </w:t>
          </w:r>
          <w:r>
            <w:t>on the specific questions summa</w:t>
          </w:r>
          <w:r w:rsidRPr="005B6B12">
            <w:t>rised in Annex 1. Comments are most helpful if they:</w:t>
          </w:r>
        </w:p>
        <w:p w14:paraId="491CDAA8" w14:textId="77777777" w:rsidR="002533FC" w:rsidRPr="00E13D25" w:rsidRDefault="002533FC" w:rsidP="00EC6066">
          <w:pPr>
            <w:pStyle w:val="Paragraphedeliste"/>
          </w:pPr>
          <w:r w:rsidRPr="00E13D25">
            <w:t>respond to the question stated;</w:t>
          </w:r>
        </w:p>
        <w:p w14:paraId="72FD40F6" w14:textId="77777777" w:rsidR="002533FC" w:rsidRPr="00E13D25" w:rsidRDefault="002533FC" w:rsidP="00EC6066">
          <w:pPr>
            <w:pStyle w:val="Paragraphedeliste"/>
          </w:pPr>
          <w:r w:rsidRPr="00E13D25">
            <w:t>indicate the specific question to which the comment relates;</w:t>
          </w:r>
        </w:p>
        <w:p w14:paraId="78B206B7" w14:textId="77777777" w:rsidR="002533FC" w:rsidRPr="00E13D25" w:rsidRDefault="002533FC" w:rsidP="00EC6066">
          <w:pPr>
            <w:pStyle w:val="Paragraphedeliste"/>
          </w:pPr>
          <w:r w:rsidRPr="00E13D25">
            <w:t>contain a clear rationale; and</w:t>
          </w:r>
        </w:p>
        <w:p w14:paraId="60B8834E" w14:textId="77777777" w:rsidR="002533FC" w:rsidRPr="00E13D25" w:rsidRDefault="002533FC" w:rsidP="00EC6066">
          <w:pPr>
            <w:pStyle w:val="Paragraphedeliste"/>
          </w:pPr>
          <w:r w:rsidRPr="00E13D25">
            <w:t>describe any alternatives ESMA should consider.</w:t>
          </w:r>
        </w:p>
        <w:p w14:paraId="219225AC" w14:textId="51BCD894" w:rsidR="002533FC" w:rsidRPr="005B6B12" w:rsidRDefault="002533FC" w:rsidP="002533FC">
          <w:r w:rsidRPr="005B6B12">
            <w:t xml:space="preserve">ESMA will consider all comments received by </w:t>
          </w:r>
          <w:r w:rsidR="0029727F">
            <w:rPr>
              <w:b/>
            </w:rPr>
            <w:t>15 December 2023</w:t>
          </w:r>
          <w:r w:rsidRPr="005B6B12">
            <w:rPr>
              <w:b/>
            </w:rPr>
            <w:t xml:space="preserve">. </w:t>
          </w:r>
        </w:p>
        <w:p w14:paraId="7EBC0542" w14:textId="0CD5B31D" w:rsidR="002533FC" w:rsidRDefault="002533FC" w:rsidP="002533FC">
          <w:r w:rsidRPr="005B6B12">
            <w:t xml:space="preserve">All contributions should be submitted online at </w:t>
          </w:r>
          <w:hyperlink r:id="rId15" w:history="1">
            <w:r w:rsidRPr="005B6B12">
              <w:rPr>
                <w:rStyle w:val="Lienhypertexte"/>
              </w:rPr>
              <w:t>www.esma.europa.eu</w:t>
            </w:r>
          </w:hyperlink>
          <w:r w:rsidRPr="005B6B12">
            <w:t xml:space="preserve"> under the heading ‘Your input - Consultations’. </w:t>
          </w:r>
        </w:p>
        <w:p w14:paraId="5E44C845" w14:textId="77777777" w:rsidR="00EC6066" w:rsidRPr="0026459D" w:rsidRDefault="00EC6066" w:rsidP="00EC6066">
          <w:pPr>
            <w:pStyle w:val="Sous-titre"/>
            <w:rPr>
              <w:b/>
              <w:sz w:val="24"/>
              <w:szCs w:val="22"/>
            </w:rPr>
          </w:pPr>
          <w:r w:rsidRPr="00013CA1">
            <w:t>Instructions</w:t>
          </w:r>
        </w:p>
        <w:p w14:paraId="0FC3DC5B" w14:textId="77777777" w:rsidR="00EC6066" w:rsidRPr="0026459D" w:rsidRDefault="00EC6066" w:rsidP="00EC6066">
          <w:pPr>
            <w:rPr>
              <w:bCs/>
            </w:rPr>
          </w:pPr>
          <w:r w:rsidRPr="0026459D">
            <w:rPr>
              <w:bCs/>
            </w:rPr>
            <w:t>In order to facilitate analysis of responses to the Consultation Paper, respondents are requested to follow the below steps when preparing and submitting their response:</w:t>
          </w:r>
        </w:p>
        <w:p w14:paraId="67E94801" w14:textId="77777777" w:rsidR="00EC6066" w:rsidRPr="0026459D" w:rsidRDefault="00EC6066" w:rsidP="00EC6066">
          <w:pPr>
            <w:ind w:left="142"/>
            <w:rPr>
              <w:bCs/>
            </w:rPr>
          </w:pPr>
          <w:r w:rsidRPr="0026459D">
            <w:rPr>
              <w:bCs/>
            </w:rPr>
            <w:t>•</w:t>
          </w:r>
          <w:r w:rsidRPr="0026459D">
            <w:rPr>
              <w:bCs/>
            </w:rPr>
            <w:tab/>
            <w:t xml:space="preserve">Insert your responses to the questions in the Consultation Paper in this reply form. </w:t>
          </w:r>
        </w:p>
        <w:p w14:paraId="7B7C29FF" w14:textId="432E9E72" w:rsidR="00EC6066" w:rsidRPr="00C5469A" w:rsidRDefault="00EC6066" w:rsidP="00EC6066">
          <w:pPr>
            <w:ind w:left="142"/>
            <w:rPr>
              <w:bCs/>
            </w:rPr>
          </w:pPr>
          <w:r w:rsidRPr="0026459D">
            <w:rPr>
              <w:bCs/>
            </w:rPr>
            <w:t>•</w:t>
          </w:r>
          <w:r w:rsidRPr="0026459D">
            <w:rPr>
              <w:bCs/>
            </w:rPr>
            <w:tab/>
            <w:t>Please do not remove tags of the type &lt;</w:t>
          </w:r>
          <w:r w:rsidRPr="00557BD2">
            <w:t xml:space="preserve"> </w:t>
          </w:r>
          <w:r w:rsidRPr="00557BD2">
            <w:rPr>
              <w:bCs/>
            </w:rPr>
            <w:t>ESMA_</w:t>
          </w:r>
          <w:r w:rsidRPr="00C5469A">
            <w:rPr>
              <w:bCs/>
            </w:rPr>
            <w:t>QUESTION_</w:t>
          </w:r>
          <w:r w:rsidR="00635BCA" w:rsidRPr="00C5469A">
            <w:rPr>
              <w:bCs/>
            </w:rPr>
            <w:t>SETT</w:t>
          </w:r>
          <w:r w:rsidRPr="00C5469A">
            <w:rPr>
              <w:bCs/>
            </w:rPr>
            <w:t xml:space="preserve">_0&gt;. Your response </w:t>
          </w:r>
          <w:r w:rsidRPr="00C5469A">
            <w:rPr>
              <w:bCs/>
            </w:rPr>
            <w:tab/>
            <w:t>to each question has to be framed by the two tags corresponding to the question.</w:t>
          </w:r>
        </w:p>
        <w:p w14:paraId="65642175" w14:textId="77777777" w:rsidR="00EC6066" w:rsidRPr="00C5469A" w:rsidRDefault="00EC6066" w:rsidP="00EC6066">
          <w:pPr>
            <w:ind w:left="142"/>
            <w:rPr>
              <w:bCs/>
            </w:rPr>
          </w:pPr>
          <w:r w:rsidRPr="00C5469A">
            <w:rPr>
              <w:bCs/>
            </w:rPr>
            <w:t>•</w:t>
          </w:r>
          <w:r w:rsidRPr="00C5469A">
            <w:rPr>
              <w:bCs/>
            </w:rPr>
            <w:tab/>
            <w:t xml:space="preserve">If you do not wish to respond to a given question, please do not delete it but simply </w:t>
          </w:r>
          <w:r w:rsidRPr="00C5469A">
            <w:rPr>
              <w:bCs/>
            </w:rPr>
            <w:tab/>
            <w:t>leave the text “TYPE YOUR TEXT HERE” between the tags.</w:t>
          </w:r>
        </w:p>
        <w:p w14:paraId="4D646F3A" w14:textId="4D858A35" w:rsidR="00EC6066" w:rsidRPr="00C5469A" w:rsidRDefault="00EC6066" w:rsidP="00EC6066">
          <w:pPr>
            <w:ind w:left="142"/>
            <w:rPr>
              <w:bCs/>
            </w:rPr>
          </w:pPr>
          <w:r w:rsidRPr="00C5469A">
            <w:rPr>
              <w:bCs/>
            </w:rPr>
            <w:t>•</w:t>
          </w:r>
          <w:r w:rsidRPr="00C5469A">
            <w:rPr>
              <w:bCs/>
            </w:rPr>
            <w:tab/>
            <w:t xml:space="preserve">When you have drafted your responses, save the reply form according to the following </w:t>
          </w:r>
          <w:r w:rsidRPr="00C5469A">
            <w:rPr>
              <w:bCs/>
            </w:rPr>
            <w:tab/>
            <w:t>convention: ESMA_CP1_</w:t>
          </w:r>
          <w:r w:rsidR="00635BCA" w:rsidRPr="00C5469A">
            <w:rPr>
              <w:bCs/>
            </w:rPr>
            <w:t>SETT</w:t>
          </w:r>
          <w:r w:rsidRPr="00C5469A">
            <w:rPr>
              <w:bCs/>
            </w:rPr>
            <w:t xml:space="preserve"> _nameofrespondent. </w:t>
          </w:r>
        </w:p>
        <w:p w14:paraId="210BE93A" w14:textId="28B7FD79" w:rsidR="00EC6066" w:rsidRPr="0026459D" w:rsidRDefault="00EC6066" w:rsidP="00EC6066">
          <w:pPr>
            <w:ind w:left="142"/>
            <w:rPr>
              <w:bCs/>
            </w:rPr>
          </w:pPr>
          <w:r w:rsidRPr="00C5469A">
            <w:rPr>
              <w:bCs/>
            </w:rPr>
            <w:tab/>
            <w:t xml:space="preserve">For example, for a respondent named ABCD, the reply form would be saved with the </w:t>
          </w:r>
          <w:r w:rsidRPr="00C5469A">
            <w:rPr>
              <w:bCs/>
            </w:rPr>
            <w:tab/>
            <w:t>following name: ESMA_CP1_</w:t>
          </w:r>
          <w:r w:rsidR="00635BCA" w:rsidRPr="00C5469A">
            <w:rPr>
              <w:bCs/>
            </w:rPr>
            <w:t>SETT</w:t>
          </w:r>
          <w:r w:rsidRPr="00C5469A">
            <w:rPr>
              <w:bCs/>
            </w:rPr>
            <w:t xml:space="preserve"> _ABCD.</w:t>
          </w:r>
        </w:p>
        <w:p w14:paraId="60FF11C9" w14:textId="77777777" w:rsidR="00EC6066" w:rsidRPr="0026459D" w:rsidRDefault="00EC6066" w:rsidP="00EC6066">
          <w:pPr>
            <w:ind w:left="142"/>
            <w:rPr>
              <w:bCs/>
            </w:rPr>
          </w:pPr>
          <w:r w:rsidRPr="0026459D">
            <w:rPr>
              <w:bCs/>
            </w:rPr>
            <w:t>•</w:t>
          </w:r>
          <w:r w:rsidRPr="0026459D">
            <w:rPr>
              <w:bCs/>
            </w:rPr>
            <w:tab/>
            <w:t>Upload the Word reply form containing your responses to ESMA’s website (</w:t>
          </w:r>
          <w:r w:rsidRPr="0026459D">
            <w:rPr>
              <w:b/>
            </w:rPr>
            <w:t xml:space="preserve">pdf </w:t>
          </w:r>
          <w:r w:rsidRPr="0026459D">
            <w:rPr>
              <w:b/>
            </w:rPr>
            <w:tab/>
            <w:t>documents will not be considered except for annexes</w:t>
          </w:r>
          <w:r w:rsidRPr="0026459D">
            <w:rPr>
              <w:bCs/>
            </w:rPr>
            <w:t xml:space="preserve">). All contributions should be </w:t>
          </w:r>
          <w:r>
            <w:rPr>
              <w:bCs/>
            </w:rPr>
            <w:tab/>
          </w:r>
          <w:r w:rsidRPr="0026459D">
            <w:rPr>
              <w:bCs/>
            </w:rPr>
            <w:t xml:space="preserve">submitted online at </w:t>
          </w:r>
          <w:r w:rsidRPr="00557BD2">
            <w:rPr>
              <w:bCs/>
              <w:i/>
              <w:iCs/>
            </w:rPr>
            <w:t>www.esma.europa.eu</w:t>
          </w:r>
          <w:r w:rsidRPr="0026459D">
            <w:rPr>
              <w:bCs/>
            </w:rPr>
            <w:t xml:space="preserve"> under the heading </w:t>
          </w:r>
          <w:r w:rsidRPr="00557BD2">
            <w:rPr>
              <w:bCs/>
              <w:i/>
              <w:iCs/>
            </w:rPr>
            <w:t xml:space="preserve">‘Your input - </w:t>
          </w:r>
          <w:r w:rsidRPr="00557BD2">
            <w:rPr>
              <w:bCs/>
              <w:i/>
              <w:iCs/>
            </w:rPr>
            <w:tab/>
            <w:t>Consultations’.</w:t>
          </w:r>
        </w:p>
        <w:p w14:paraId="6B61FE84" w14:textId="77777777" w:rsidR="00EC6066" w:rsidRPr="005B6B12" w:rsidRDefault="00EC6066" w:rsidP="00EC6066">
          <w:pPr>
            <w:rPr>
              <w:b/>
            </w:rPr>
          </w:pPr>
          <w:r w:rsidRPr="005B6B12">
            <w:rPr>
              <w:b/>
            </w:rPr>
            <w:lastRenderedPageBreak/>
            <w:t>Publication of responses</w:t>
          </w:r>
        </w:p>
        <w:p w14:paraId="296E0671" w14:textId="77777777" w:rsidR="00EC6066" w:rsidRPr="005B6B12" w:rsidRDefault="00EC6066" w:rsidP="00EC6066">
          <w:r w:rsidRPr="005B6B12">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7CF9D385" w14:textId="77777777" w:rsidR="00EC6066" w:rsidRPr="005B6B12" w:rsidRDefault="00EC6066" w:rsidP="00EC6066">
          <w:pPr>
            <w:rPr>
              <w:b/>
            </w:rPr>
          </w:pPr>
          <w:r w:rsidRPr="005B6B12">
            <w:rPr>
              <w:b/>
            </w:rPr>
            <w:t>Data protection</w:t>
          </w:r>
        </w:p>
        <w:p w14:paraId="1734978B" w14:textId="77777777" w:rsidR="00EC6066" w:rsidRPr="005B6B12" w:rsidRDefault="00EC6066" w:rsidP="00EC6066">
          <w:r w:rsidRPr="005B6B12">
            <w:t xml:space="preserve">Information on data protection can be found at </w:t>
          </w:r>
          <w:hyperlink r:id="rId16" w:history="1">
            <w:r w:rsidRPr="005B6B12">
              <w:rPr>
                <w:rStyle w:val="Lienhypertexte"/>
              </w:rPr>
              <w:t>www.esma.europa.eu</w:t>
            </w:r>
          </w:hyperlink>
          <w:r w:rsidRPr="005B6B12">
            <w:t xml:space="preserve"> under the heading </w:t>
          </w:r>
          <w:r w:rsidRPr="00025A7F">
            <w:rPr>
              <w:rStyle w:val="Lienhypertexte"/>
            </w:rPr>
            <w:t>‘</w:t>
          </w:r>
          <w:hyperlink r:id="rId17" w:history="1">
            <w:r>
              <w:rPr>
                <w:rStyle w:val="Lienhypertexte"/>
              </w:rPr>
              <w:t>Data protection</w:t>
            </w:r>
          </w:hyperlink>
          <w:r>
            <w:rPr>
              <w:rStyle w:val="Lienhypertexte"/>
            </w:rPr>
            <w:t>’</w:t>
          </w:r>
          <w:r w:rsidRPr="005B6B12">
            <w:t>.</w:t>
          </w:r>
        </w:p>
        <w:p w14:paraId="57A67DA5" w14:textId="77777777" w:rsidR="00EC6066" w:rsidRPr="005B6B12" w:rsidRDefault="00EC6066" w:rsidP="00EC6066">
          <w:pPr>
            <w:rPr>
              <w:b/>
            </w:rPr>
          </w:pPr>
          <w:r w:rsidRPr="005B6B12">
            <w:rPr>
              <w:b/>
            </w:rPr>
            <w:t>Who should read this paper?</w:t>
          </w:r>
        </w:p>
        <w:p w14:paraId="39BF27F5" w14:textId="360616AA" w:rsidR="00EC6066" w:rsidRDefault="00EC6066" w:rsidP="00EC6066">
          <w:r>
            <w:t xml:space="preserve">All interested stakeholders are invited to respond to this consultation paper. In particular, ESMA invites market infrastructures (CSDs, CCPs, trading venues), their members and participants, other investment firms, issuers, fund managers, retail and wholesale investors, and their representatives to provide their views to the questions asked in this paper. </w:t>
          </w:r>
        </w:p>
      </w:sdtContent>
    </w:sdt>
    <w:p w14:paraId="4690CAFC" w14:textId="77777777" w:rsidR="00EC6066" w:rsidRDefault="00EC6066" w:rsidP="00EC6066"/>
    <w:p w14:paraId="50C0B880" w14:textId="17A2407D" w:rsidR="00EC6066" w:rsidRPr="00EC6066" w:rsidRDefault="00EC6066" w:rsidP="00EC6066">
      <w:pPr>
        <w:rPr>
          <w:rFonts w:asciiTheme="majorHAnsi" w:eastAsiaTheme="majorEastAsia" w:hAnsiTheme="majorHAnsi" w:cstheme="majorBidi"/>
          <w:sz w:val="28"/>
          <w:szCs w:val="24"/>
          <w:highlight w:val="yellow"/>
        </w:rPr>
        <w:sectPr w:rsidR="00EC6066" w:rsidRPr="00EC6066" w:rsidSect="0043139E">
          <w:headerReference w:type="default" r:id="rId18"/>
          <w:footerReference w:type="default" r:id="rId19"/>
          <w:headerReference w:type="first" r:id="rId20"/>
          <w:pgSz w:w="11906" w:h="16838"/>
          <w:pgMar w:top="1417" w:right="1417" w:bottom="1417" w:left="1417" w:header="862" w:footer="708" w:gutter="0"/>
          <w:pgNumType w:start="2"/>
          <w:cols w:space="708"/>
          <w:docGrid w:linePitch="360"/>
        </w:sectPr>
      </w:pPr>
    </w:p>
    <w:p w14:paraId="60EF00E1" w14:textId="77777777" w:rsidR="00635BCA" w:rsidRPr="00557BD2" w:rsidRDefault="00635BCA" w:rsidP="00635BCA">
      <w:pPr>
        <w:pStyle w:val="Titre1"/>
        <w:rPr>
          <w:lang w:val="fr-BE"/>
        </w:rPr>
      </w:pPr>
      <w:r>
        <w:rPr>
          <w:lang w:val="fr-BE"/>
        </w:rPr>
        <w:lastRenderedPageBreak/>
        <w:t xml:space="preserve">General information about </w:t>
      </w:r>
      <w:r w:rsidRPr="00501EF4">
        <w:t>respondent</w:t>
      </w:r>
    </w:p>
    <w:tbl>
      <w:tblPr>
        <w:tblStyle w:val="Grilledutableau"/>
        <w:tblW w:w="0" w:type="auto"/>
        <w:tblLook w:val="04A0" w:firstRow="1" w:lastRow="0" w:firstColumn="1" w:lastColumn="0" w:noHBand="0" w:noVBand="1"/>
      </w:tblPr>
      <w:tblGrid>
        <w:gridCol w:w="4531"/>
        <w:gridCol w:w="4531"/>
      </w:tblGrid>
      <w:tr w:rsidR="00635BCA" w:rsidRPr="00557BD2" w14:paraId="183FA56F" w14:textId="77777777" w:rsidTr="00D21C35">
        <w:tc>
          <w:tcPr>
            <w:tcW w:w="4531" w:type="dxa"/>
          </w:tcPr>
          <w:p w14:paraId="4C01A6C9" w14:textId="77777777" w:rsidR="00635BCA" w:rsidRPr="00557BD2" w:rsidRDefault="00635BCA" w:rsidP="00D21C35">
            <w:pPr>
              <w:rPr>
                <w:color w:val="00379F" w:themeColor="text1"/>
                <w:sz w:val="24"/>
                <w:szCs w:val="22"/>
              </w:rPr>
            </w:pPr>
            <w:r w:rsidRPr="00557BD2">
              <w:rPr>
                <w:color w:val="00379F" w:themeColor="text1"/>
                <w:sz w:val="24"/>
                <w:szCs w:val="22"/>
              </w:rPr>
              <w:t>Name of the company / organisation</w:t>
            </w:r>
          </w:p>
        </w:tc>
        <w:sdt>
          <w:sdtPr>
            <w:id w:val="-803776227"/>
            <w:placeholder>
              <w:docPart w:val="2B0FF21738C1433DBAFB661809AC1F87"/>
            </w:placeholder>
          </w:sdtPr>
          <w:sdtContent>
            <w:permStart w:id="43071050" w:edGrp="everyone" w:displacedByCustomXml="prev"/>
            <w:tc>
              <w:tcPr>
                <w:tcW w:w="4531" w:type="dxa"/>
              </w:tcPr>
              <w:p w14:paraId="76683ED7" w14:textId="3A9228E0" w:rsidR="00635BCA" w:rsidRPr="00557BD2" w:rsidRDefault="00974C64" w:rsidP="00D21C35">
                <w:r w:rsidRPr="00974C64">
                  <w:rPr>
                    <w:lang w:val="fr-FR"/>
                  </w:rPr>
                  <w:t xml:space="preserve">Association </w:t>
                </w:r>
                <w:r w:rsidR="00C8666B">
                  <w:rPr>
                    <w:lang w:val="fr-FR"/>
                  </w:rPr>
                  <w:t xml:space="preserve">française </w:t>
                </w:r>
                <w:r w:rsidRPr="00974C64">
                  <w:rPr>
                    <w:lang w:val="fr-FR"/>
                  </w:rPr>
                  <w:t>des march</w:t>
                </w:r>
                <w:r w:rsidR="003676A0">
                  <w:rPr>
                    <w:lang w:val="fr-FR"/>
                  </w:rPr>
                  <w:t>é</w:t>
                </w:r>
                <w:r w:rsidRPr="00974C64">
                  <w:rPr>
                    <w:lang w:val="fr-FR"/>
                  </w:rPr>
                  <w:t xml:space="preserve">s financiers </w:t>
                </w:r>
                <w:r>
                  <w:rPr>
                    <w:lang w:val="fr-FR"/>
                  </w:rPr>
                  <w:t>[</w:t>
                </w:r>
                <w:r w:rsidRPr="00974C64">
                  <w:rPr>
                    <w:lang w:val="fr-FR"/>
                  </w:rPr>
                  <w:t>A</w:t>
                </w:r>
                <w:r>
                  <w:rPr>
                    <w:lang w:val="fr-FR"/>
                  </w:rPr>
                  <w:t>MAFI]</w:t>
                </w:r>
              </w:p>
            </w:tc>
            <w:permEnd w:id="43071050" w:displacedByCustomXml="next"/>
          </w:sdtContent>
        </w:sdt>
      </w:tr>
      <w:tr w:rsidR="00635BCA" w:rsidRPr="00557BD2" w14:paraId="528511B7" w14:textId="77777777" w:rsidTr="00D21C35">
        <w:tc>
          <w:tcPr>
            <w:tcW w:w="4531" w:type="dxa"/>
          </w:tcPr>
          <w:p w14:paraId="5CBA5961" w14:textId="77777777" w:rsidR="00635BCA" w:rsidRPr="00557BD2" w:rsidRDefault="00635BCA" w:rsidP="00D21C35">
            <w:pPr>
              <w:rPr>
                <w:color w:val="00379F" w:themeColor="text1"/>
                <w:sz w:val="24"/>
                <w:szCs w:val="22"/>
              </w:rPr>
            </w:pPr>
            <w:r w:rsidRPr="00557BD2">
              <w:rPr>
                <w:color w:val="00379F" w:themeColor="text1"/>
                <w:sz w:val="24"/>
                <w:szCs w:val="22"/>
              </w:rPr>
              <w:t>Activity</w:t>
            </w:r>
          </w:p>
        </w:tc>
        <w:sdt>
          <w:sdtPr>
            <w:alias w:val="Select an activity"/>
            <w:tag w:val="Select an activity"/>
            <w:id w:val="-1813092133"/>
            <w:placeholder>
              <w:docPart w:val="9CC931E39FC74FAF9E2DD0BCDDF3C57E"/>
            </w:placeholder>
            <w:comboBox>
              <w:listItem w:value="Choose an item."/>
              <w:listItem w:displayText="Issuers of crypto-assets" w:value="Issuers of crypto-assets"/>
              <w:listItem w:displayText="Crypto-asset service providers" w:value="Crypto-asset service providers"/>
              <w:listItem w:displayText="DLT and IT systems developers" w:value="DLT and IT systems developers"/>
              <w:listItem w:displayText="Credit institutions, CSDs, investment firms, market operators, e-money institutions, UCITS management companies, AIFs " w:value="Credit institutions, CSDs, investment firms, market operators, e-money institutions, UCITS management companies, AIFs "/>
              <w:listItem w:displayText="Associations, professional bodies, industry representatives" w:value="Associations, professional bodies, industry representatives"/>
              <w:listItem w:displayText="Law firms" w:value="Law firms"/>
              <w:listItem w:displayText="Retail investors" w:value="Retail investors"/>
              <w:listItem w:displayText="Others" w:value="Others"/>
            </w:comboBox>
          </w:sdtPr>
          <w:sdtContent>
            <w:permStart w:id="1563696391" w:edGrp="everyone" w:displacedByCustomXml="prev"/>
            <w:tc>
              <w:tcPr>
                <w:tcW w:w="4531" w:type="dxa"/>
              </w:tcPr>
              <w:p w14:paraId="7403D812" w14:textId="4FD7592A" w:rsidR="00635BCA" w:rsidRPr="00557BD2" w:rsidRDefault="00974C64" w:rsidP="00D21C35">
                <w:r>
                  <w:t>Associations, professional bodies, industry representatives</w:t>
                </w:r>
              </w:p>
            </w:tc>
            <w:permEnd w:id="1563696391" w:displacedByCustomXml="next"/>
          </w:sdtContent>
        </w:sdt>
      </w:tr>
      <w:tr w:rsidR="00635BCA" w:rsidRPr="00557BD2" w14:paraId="3F7B477A" w14:textId="77777777" w:rsidTr="00D21C35">
        <w:tc>
          <w:tcPr>
            <w:tcW w:w="4531" w:type="dxa"/>
          </w:tcPr>
          <w:p w14:paraId="560577F7" w14:textId="77777777" w:rsidR="00635BCA" w:rsidRPr="00557BD2" w:rsidRDefault="00635BCA" w:rsidP="00D21C35">
            <w:pPr>
              <w:rPr>
                <w:color w:val="00379F" w:themeColor="text1"/>
                <w:sz w:val="24"/>
                <w:szCs w:val="22"/>
              </w:rPr>
            </w:pPr>
            <w:r w:rsidRPr="00557BD2">
              <w:rPr>
                <w:color w:val="00379F" w:themeColor="text1"/>
                <w:sz w:val="24"/>
                <w:szCs w:val="22"/>
              </w:rPr>
              <w:t>Are you representing an association?</w:t>
            </w:r>
          </w:p>
        </w:tc>
        <w:sdt>
          <w:sdtPr>
            <w:id w:val="456152326"/>
            <w14:checkbox>
              <w14:checked w14:val="1"/>
              <w14:checkedState w14:val="2612" w14:font="MS Gothic"/>
              <w14:uncheckedState w14:val="2610" w14:font="MS Gothic"/>
            </w14:checkbox>
          </w:sdtPr>
          <w:sdtContent>
            <w:permStart w:id="1071191175" w:edGrp="everyone" w:displacedByCustomXml="prev"/>
            <w:tc>
              <w:tcPr>
                <w:tcW w:w="4531" w:type="dxa"/>
              </w:tcPr>
              <w:p w14:paraId="2AD81A72" w14:textId="79A61C6D" w:rsidR="00635BCA" w:rsidRPr="00557BD2" w:rsidRDefault="00974C64" w:rsidP="00D21C35">
                <w:r>
                  <w:rPr>
                    <w:rFonts w:ascii="MS Gothic" w:eastAsia="MS Gothic" w:hAnsi="MS Gothic" w:hint="eastAsia"/>
                  </w:rPr>
                  <w:t>☒</w:t>
                </w:r>
              </w:p>
            </w:tc>
            <w:permEnd w:id="1071191175" w:displacedByCustomXml="next"/>
          </w:sdtContent>
        </w:sdt>
      </w:tr>
      <w:tr w:rsidR="00635BCA" w:rsidRPr="00557BD2" w14:paraId="3D982432" w14:textId="77777777" w:rsidTr="00D21C35">
        <w:tc>
          <w:tcPr>
            <w:tcW w:w="4531" w:type="dxa"/>
          </w:tcPr>
          <w:p w14:paraId="7771F8C5" w14:textId="77777777" w:rsidR="00635BCA" w:rsidRPr="00557BD2" w:rsidRDefault="00635BCA" w:rsidP="00D21C35">
            <w:pPr>
              <w:rPr>
                <w:color w:val="00379F" w:themeColor="text1"/>
                <w:sz w:val="24"/>
                <w:szCs w:val="22"/>
              </w:rPr>
            </w:pPr>
            <w:r w:rsidRPr="00557BD2">
              <w:rPr>
                <w:color w:val="00379F" w:themeColor="text1"/>
                <w:sz w:val="24"/>
                <w:szCs w:val="22"/>
              </w:rPr>
              <w:t>Country / Region</w:t>
            </w:r>
          </w:p>
        </w:tc>
        <w:sdt>
          <w:sdtPr>
            <w:alias w:val="Select a country/region"/>
            <w:tag w:val="Select a country/region"/>
            <w:id w:val="32541635"/>
            <w:placeholder>
              <w:docPart w:val="9CC931E39FC74FAF9E2DD0BCDDF3C57E"/>
            </w:placeholde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permStart w:id="1581805691" w:edGrp="everyone" w:displacedByCustomXml="prev"/>
            <w:tc>
              <w:tcPr>
                <w:tcW w:w="4531" w:type="dxa"/>
              </w:tcPr>
              <w:p w14:paraId="6A619B85" w14:textId="59B76526" w:rsidR="00635BCA" w:rsidRPr="00557BD2" w:rsidRDefault="00974C64" w:rsidP="00D21C35">
                <w:r>
                  <w:t>France</w:t>
                </w:r>
              </w:p>
            </w:tc>
            <w:permEnd w:id="1581805691" w:displacedByCustomXml="next"/>
          </w:sdtContent>
        </w:sdt>
      </w:tr>
    </w:tbl>
    <w:p w14:paraId="687A8108" w14:textId="77777777" w:rsidR="00635BCA" w:rsidRPr="00053B66" w:rsidRDefault="00635BCA" w:rsidP="00635BCA"/>
    <w:p w14:paraId="3EB4F3B6" w14:textId="77777777" w:rsidR="00635BCA" w:rsidRPr="00557BD2" w:rsidRDefault="00635BCA" w:rsidP="00635BCA">
      <w:pPr>
        <w:pStyle w:val="Titre1"/>
        <w:rPr>
          <w:lang w:val="fr-BE"/>
        </w:rPr>
      </w:pPr>
      <w:r w:rsidRPr="00557BD2">
        <w:rPr>
          <w:lang w:val="fr-BE"/>
        </w:rPr>
        <w:t xml:space="preserve">Questions </w:t>
      </w:r>
    </w:p>
    <w:p w14:paraId="449AB301" w14:textId="77777777" w:rsidR="00C5469A" w:rsidRDefault="00C5469A" w:rsidP="0040236B">
      <w:pPr>
        <w:pStyle w:val="Questionstyle"/>
        <w:numPr>
          <w:ilvl w:val="0"/>
          <w:numId w:val="14"/>
        </w:numPr>
        <w:ind w:left="0"/>
        <w:rPr>
          <w:color w:val="auto"/>
        </w:rPr>
      </w:pPr>
      <w:r>
        <w:t>: Please describe the impacts on the processes and operations from compressing the intended settlement date to T+1 and to T+0. Please:</w:t>
      </w:r>
    </w:p>
    <w:p w14:paraId="7DD21609" w14:textId="77777777" w:rsidR="00C5469A" w:rsidRDefault="00C5469A" w:rsidP="0040236B">
      <w:pPr>
        <w:pStyle w:val="Paragraphedeliste"/>
        <w:numPr>
          <w:ilvl w:val="0"/>
          <w:numId w:val="15"/>
        </w:numPr>
        <w:ind w:left="426"/>
      </w:pPr>
      <w:r>
        <w:t xml:space="preserve">provide as much detail as possible on what issues would emerge in both cases and how they could be addressed with special attention to critical processes (matching, allocation, affirmation and confirmation) and interdependencies. Where relevant please explain if these are general or asset class/instrument/ trade specific. </w:t>
      </w:r>
    </w:p>
    <w:p w14:paraId="7FA44DF4" w14:textId="77777777" w:rsidR="00C5469A" w:rsidRDefault="00C5469A" w:rsidP="0040236B">
      <w:pPr>
        <w:pStyle w:val="Paragraphedeliste"/>
        <w:numPr>
          <w:ilvl w:val="0"/>
          <w:numId w:val="15"/>
        </w:numPr>
        <w:ind w:left="426"/>
      </w:pPr>
      <w:r>
        <w:t xml:space="preserve"> Identify processes, operations or types of transaction or financial instrument class that would be severely impacted or no longer doable in a T+1 and in a T+0 environment. </w:t>
      </w:r>
    </w:p>
    <w:p w14:paraId="4DCA07D7" w14:textId="53DFAE34" w:rsidR="00C5469A" w:rsidRPr="00C5469A" w:rsidRDefault="00C5469A" w:rsidP="00C5469A">
      <w:pPr>
        <w:ind w:left="-284"/>
        <w:rPr>
          <w:rFonts w:ascii="Arial" w:hAnsi="Arial" w:cs="Arial"/>
          <w:b/>
          <w:lang w:val="en-US"/>
        </w:rPr>
      </w:pPr>
      <w:r>
        <w:rPr>
          <w:rFonts w:ascii="Arial" w:hAnsi="Arial" w:cs="Arial"/>
          <w:b/>
          <w:lang w:val="en-US"/>
        </w:rPr>
        <w:t xml:space="preserve">Please, suggest if there are </w:t>
      </w:r>
      <w:r w:rsidR="009F68D8">
        <w:rPr>
          <w:rFonts w:ascii="Arial" w:hAnsi="Arial" w:cs="Arial"/>
          <w:b/>
          <w:lang w:val="en-US"/>
        </w:rPr>
        <w:t>legislative</w:t>
      </w:r>
      <w:r>
        <w:rPr>
          <w:rFonts w:ascii="Arial" w:hAnsi="Arial" w:cs="Arial"/>
          <w:b/>
          <w:lang w:val="en-US"/>
        </w:rPr>
        <w:t xml:space="preserve"> or regulatory actions that would help address the problems. Where relevant please explain if these are general or asset class/instrument/ trade specific.  </w:t>
      </w:r>
    </w:p>
    <w:p w14:paraId="5A9B8F15" w14:textId="77777777" w:rsidR="00C5469A" w:rsidRDefault="00C5469A" w:rsidP="00C5469A">
      <w:r>
        <w:t>&lt;ESMA_QUESTION_SETT_1&gt;</w:t>
      </w:r>
    </w:p>
    <w:p w14:paraId="65B7A895" w14:textId="77777777" w:rsidR="00D102FE" w:rsidRPr="00DD6D26" w:rsidRDefault="00D102FE" w:rsidP="00D102FE">
      <w:pPr>
        <w:pStyle w:val="1AMAFI"/>
        <w:numPr>
          <w:ilvl w:val="0"/>
          <w:numId w:val="0"/>
        </w:numPr>
        <w:rPr>
          <w:lang w:val="en-US"/>
        </w:rPr>
      </w:pPr>
      <w:permStart w:id="1228560568" w:edGrp="everyone"/>
      <w:r w:rsidRPr="00DD6D26">
        <w:rPr>
          <w:lang w:val="en-US"/>
        </w:rPr>
        <w:t>AMAFI would like to thank ESMA for this consultation on the shortening of the settlement cycle</w:t>
      </w:r>
      <w:r>
        <w:rPr>
          <w:lang w:val="en-US"/>
        </w:rPr>
        <w:t xml:space="preserve"> to</w:t>
      </w:r>
      <w:r w:rsidRPr="00DD6D26">
        <w:rPr>
          <w:lang w:val="en-US"/>
        </w:rPr>
        <w:t xml:space="preserve"> T+1/T.0</w:t>
      </w:r>
      <w:r>
        <w:rPr>
          <w:lang w:val="en-US"/>
        </w:rPr>
        <w:t>,</w:t>
      </w:r>
      <w:r w:rsidRPr="00DD6D26">
        <w:rPr>
          <w:lang w:val="en-US"/>
        </w:rPr>
        <w:t xml:space="preserve"> </w:t>
      </w:r>
      <w:r>
        <w:rPr>
          <w:lang w:val="en-US"/>
        </w:rPr>
        <w:t>as</w:t>
      </w:r>
      <w:r w:rsidRPr="00DD6D26">
        <w:rPr>
          <w:lang w:val="en-US"/>
        </w:rPr>
        <w:t xml:space="preserve"> this topic is very important </w:t>
      </w:r>
      <w:r>
        <w:rPr>
          <w:lang w:val="en-US"/>
        </w:rPr>
        <w:t>to its</w:t>
      </w:r>
      <w:r w:rsidRPr="00DD6D26">
        <w:rPr>
          <w:lang w:val="en-US"/>
        </w:rPr>
        <w:t xml:space="preserve"> members. </w:t>
      </w:r>
    </w:p>
    <w:p w14:paraId="51CB548A" w14:textId="77777777" w:rsidR="00D102FE" w:rsidRPr="00DD6D26" w:rsidRDefault="00D102FE" w:rsidP="00D102FE">
      <w:pPr>
        <w:pStyle w:val="1AMAFI"/>
        <w:numPr>
          <w:ilvl w:val="0"/>
          <w:numId w:val="0"/>
        </w:numPr>
        <w:rPr>
          <w:lang w:val="en-US"/>
        </w:rPr>
      </w:pPr>
    </w:p>
    <w:p w14:paraId="00770801" w14:textId="77777777" w:rsidR="00D102FE" w:rsidRPr="00DD6D26" w:rsidRDefault="00D102FE" w:rsidP="00D102FE">
      <w:pPr>
        <w:pStyle w:val="1AMAFI"/>
        <w:numPr>
          <w:ilvl w:val="0"/>
          <w:numId w:val="0"/>
        </w:numPr>
        <w:rPr>
          <w:lang w:val="en-US"/>
        </w:rPr>
      </w:pPr>
      <w:r w:rsidRPr="00DD6D26">
        <w:rPr>
          <w:lang w:val="en-US"/>
        </w:rPr>
        <w:t xml:space="preserve">The </w:t>
      </w:r>
      <w:r>
        <w:rPr>
          <w:lang w:val="en-US"/>
        </w:rPr>
        <w:t>answers</w:t>
      </w:r>
      <w:r w:rsidRPr="00DD6D26">
        <w:rPr>
          <w:lang w:val="en-US"/>
        </w:rPr>
        <w:t xml:space="preserve"> to the questions were prepared </w:t>
      </w:r>
      <w:r>
        <w:rPr>
          <w:lang w:val="en-US"/>
        </w:rPr>
        <w:t>in cooperation</w:t>
      </w:r>
      <w:r w:rsidRPr="00DD6D26">
        <w:rPr>
          <w:lang w:val="en-US"/>
        </w:rPr>
        <w:t xml:space="preserve"> with other French associations, notably </w:t>
      </w:r>
      <w:r w:rsidRPr="00DD6D26">
        <w:rPr>
          <w:i/>
          <w:iCs/>
          <w:lang w:val="en-US"/>
        </w:rPr>
        <w:t>France Post Marché</w:t>
      </w:r>
      <w:r w:rsidRPr="00DD6D26">
        <w:rPr>
          <w:lang w:val="en-US"/>
        </w:rPr>
        <w:t xml:space="preserve"> (FPM) and </w:t>
      </w:r>
      <w:r w:rsidRPr="00DD6D26">
        <w:rPr>
          <w:i/>
          <w:iCs/>
          <w:lang w:val="en-US"/>
        </w:rPr>
        <w:t>Association Française de Gestion</w:t>
      </w:r>
      <w:r w:rsidRPr="00DD6D26">
        <w:rPr>
          <w:lang w:val="en-US"/>
        </w:rPr>
        <w:t xml:space="preserve"> (AFG). </w:t>
      </w:r>
    </w:p>
    <w:p w14:paraId="1ABFB119" w14:textId="320604AF" w:rsidR="003676A0" w:rsidRPr="007D6BB0" w:rsidRDefault="003676A0" w:rsidP="003676A0">
      <w:pPr>
        <w:rPr>
          <w:szCs w:val="22"/>
          <w:lang w:val="en-US"/>
        </w:rPr>
      </w:pPr>
      <w:r w:rsidRPr="007D6BB0">
        <w:rPr>
          <w:szCs w:val="22"/>
          <w:lang w:val="en-US"/>
        </w:rPr>
        <w:t xml:space="preserve">. </w:t>
      </w:r>
    </w:p>
    <w:p w14:paraId="5E260B42" w14:textId="544F3D24" w:rsidR="006F62DC" w:rsidRPr="00DD6D26" w:rsidRDefault="006F62DC" w:rsidP="00E84EB4">
      <w:pPr>
        <w:rPr>
          <w:lang w:val="en-US"/>
        </w:rPr>
      </w:pPr>
      <w:r w:rsidRPr="00DD6D26">
        <w:rPr>
          <w:lang w:val="en-US"/>
        </w:rPr>
        <w:t>As stated in our general comments we have not analyzed the T.0 scenario.</w:t>
      </w:r>
    </w:p>
    <w:p w14:paraId="748AC31B" w14:textId="77777777" w:rsidR="006F62DC" w:rsidRPr="00DD6D26" w:rsidRDefault="006F62DC" w:rsidP="00E84EB4">
      <w:pPr>
        <w:rPr>
          <w:lang w:val="en-US"/>
        </w:rPr>
      </w:pPr>
      <w:r w:rsidRPr="00DD6D26">
        <w:rPr>
          <w:lang w:val="en-US"/>
        </w:rPr>
        <w:lastRenderedPageBreak/>
        <w:t>In a nutshell, we anticipate that the following issues would emerge from compressing the settlement cycle to T+1:</w:t>
      </w:r>
    </w:p>
    <w:p w14:paraId="0A6BE4BD" w14:textId="77777777" w:rsidR="006F62DC" w:rsidRPr="00DD6D26" w:rsidRDefault="006F62DC" w:rsidP="006F62DC">
      <w:pPr>
        <w:pStyle w:val="Paragraphedeliste"/>
        <w:numPr>
          <w:ilvl w:val="0"/>
          <w:numId w:val="17"/>
        </w:numPr>
        <w:spacing w:after="0" w:line="240" w:lineRule="atLeast"/>
        <w:ind w:right="102"/>
        <w:rPr>
          <w:szCs w:val="20"/>
          <w:lang w:val="en-US"/>
        </w:rPr>
      </w:pPr>
      <w:r w:rsidRPr="00DD6D26">
        <w:rPr>
          <w:szCs w:val="20"/>
          <w:lang w:val="en-US"/>
        </w:rPr>
        <w:t xml:space="preserve">Settlement processes from investors to brokers/clearers and to infrastructures. </w:t>
      </w:r>
    </w:p>
    <w:p w14:paraId="6832D8EF" w14:textId="77777777" w:rsidR="006F62DC" w:rsidRPr="00DD6D26" w:rsidRDefault="006F62DC" w:rsidP="006F62DC">
      <w:pPr>
        <w:pStyle w:val="Paragraphedeliste"/>
        <w:numPr>
          <w:ilvl w:val="0"/>
          <w:numId w:val="17"/>
        </w:numPr>
        <w:spacing w:after="0" w:line="240" w:lineRule="atLeast"/>
        <w:ind w:right="102"/>
        <w:rPr>
          <w:szCs w:val="20"/>
          <w:lang w:val="en-US"/>
        </w:rPr>
      </w:pPr>
      <w:r w:rsidRPr="00DD6D26">
        <w:rPr>
          <w:szCs w:val="20"/>
          <w:lang w:val="en-US"/>
        </w:rPr>
        <w:t xml:space="preserve">Specific processes such as management of corporate actions, impact on funds and ETF’s. </w:t>
      </w:r>
    </w:p>
    <w:p w14:paraId="01B94476" w14:textId="77777777" w:rsidR="006F62DC" w:rsidRPr="00DD6D26" w:rsidRDefault="006F62DC" w:rsidP="006F62DC">
      <w:pPr>
        <w:pStyle w:val="Paragraphedeliste"/>
        <w:numPr>
          <w:ilvl w:val="0"/>
          <w:numId w:val="17"/>
        </w:numPr>
        <w:spacing w:after="0" w:line="240" w:lineRule="atLeast"/>
        <w:ind w:right="102"/>
        <w:rPr>
          <w:szCs w:val="20"/>
          <w:lang w:val="en-US"/>
        </w:rPr>
      </w:pPr>
      <w:r w:rsidRPr="00DD6D26">
        <w:rPr>
          <w:szCs w:val="20"/>
          <w:lang w:val="en-US"/>
        </w:rPr>
        <w:t xml:space="preserve">Operational impacts (staff management, business continuity…) </w:t>
      </w:r>
    </w:p>
    <w:p w14:paraId="3B840B1B" w14:textId="77777777" w:rsidR="006F62DC" w:rsidRPr="00DD6D26" w:rsidRDefault="006F62DC" w:rsidP="00E84EB4">
      <w:pPr>
        <w:rPr>
          <w:lang w:val="en-US"/>
        </w:rPr>
      </w:pPr>
    </w:p>
    <w:p w14:paraId="60F8F695" w14:textId="77777777" w:rsidR="006F62DC" w:rsidRDefault="006F62DC" w:rsidP="00C5469A">
      <w:pPr>
        <w:rPr>
          <w:lang w:val="en-US"/>
        </w:rPr>
      </w:pPr>
      <w:r w:rsidRPr="00DD6D26">
        <w:rPr>
          <w:lang w:val="en-US"/>
        </w:rPr>
        <w:t xml:space="preserve">For all these specific impacts please refer to FPM response and specifically to the </w:t>
      </w:r>
      <w:r>
        <w:rPr>
          <w:lang w:val="en-US"/>
        </w:rPr>
        <w:t>diagrams</w:t>
      </w:r>
      <w:r w:rsidRPr="00DD6D26">
        <w:rPr>
          <w:lang w:val="en-US"/>
        </w:rPr>
        <w:t xml:space="preserve"> attached to their response which were prepared in relationship with AMAFI</w:t>
      </w:r>
    </w:p>
    <w:permEnd w:id="1228560568"/>
    <w:p w14:paraId="7E8CEB1B" w14:textId="4828D179" w:rsidR="00C5469A" w:rsidRDefault="00C5469A" w:rsidP="00C5469A">
      <w:r>
        <w:t>&lt;ESMA_QUESTION_SETT_1&gt;</w:t>
      </w:r>
    </w:p>
    <w:p w14:paraId="7F2466D0" w14:textId="2EB1C3A2" w:rsidR="00C5469A" w:rsidRDefault="00C5469A" w:rsidP="00C5469A"/>
    <w:p w14:paraId="74AAE734" w14:textId="77777777" w:rsidR="00C5469A" w:rsidRDefault="00C5469A" w:rsidP="00C5469A"/>
    <w:p w14:paraId="32892B14" w14:textId="77777777" w:rsidR="00C5469A" w:rsidRDefault="00C5469A" w:rsidP="00C5469A">
      <w:pPr>
        <w:pStyle w:val="Questionstyle"/>
        <w:numPr>
          <w:ilvl w:val="0"/>
          <w:numId w:val="14"/>
        </w:numPr>
      </w:pPr>
      <w:r>
        <w:t>: What would be the consequences of a move to a shorter settlement cycle for (a) hedging practices (i.e. would it lead to increase pre-hedging practices?), (b) transactions with an FX component?</w:t>
      </w:r>
    </w:p>
    <w:p w14:paraId="53467F4C" w14:textId="77777777" w:rsidR="00C5469A" w:rsidRDefault="00C5469A" w:rsidP="00C5469A">
      <w:r>
        <w:t>&lt;ESMA_QUESTION_SETT_2&gt;</w:t>
      </w:r>
    </w:p>
    <w:p w14:paraId="55CE7DA7" w14:textId="77777777" w:rsidR="003676A0" w:rsidRPr="003676A0" w:rsidRDefault="003676A0" w:rsidP="003676A0">
      <w:pPr>
        <w:spacing w:after="160" w:line="259" w:lineRule="auto"/>
        <w:ind w:left="1070" w:right="102" w:hanging="360"/>
        <w:contextualSpacing/>
        <w:rPr>
          <w:lang w:val="en-US"/>
        </w:rPr>
      </w:pPr>
      <w:permStart w:id="45707097" w:edGrp="everyone"/>
    </w:p>
    <w:p w14:paraId="392AD94C" w14:textId="77777777" w:rsidR="00C44F98" w:rsidRPr="00DD6D26" w:rsidRDefault="00C44F98" w:rsidP="00C44F98">
      <w:pPr>
        <w:pStyle w:val="Paragraphedeliste"/>
        <w:numPr>
          <w:ilvl w:val="0"/>
          <w:numId w:val="18"/>
        </w:numPr>
        <w:spacing w:after="0" w:line="240" w:lineRule="atLeast"/>
        <w:ind w:left="567" w:right="102"/>
        <w:contextualSpacing/>
        <w:rPr>
          <w:szCs w:val="20"/>
          <w:lang w:val="en-US"/>
        </w:rPr>
      </w:pPr>
      <w:r w:rsidRPr="00DD6D26">
        <w:rPr>
          <w:szCs w:val="20"/>
          <w:lang w:val="en-US"/>
        </w:rPr>
        <w:t>The wholesale FX market is already able to and do settle on T+1, however there is particular concern for cross-border transactions where participants are in different time zones (e.g. A</w:t>
      </w:r>
      <w:r>
        <w:rPr>
          <w:szCs w:val="20"/>
          <w:lang w:val="en-US"/>
        </w:rPr>
        <w:t>sia</w:t>
      </w:r>
      <w:r w:rsidRPr="00DD6D26">
        <w:rPr>
          <w:szCs w:val="20"/>
          <w:lang w:val="en-US"/>
        </w:rPr>
        <w:t>)</w:t>
      </w:r>
    </w:p>
    <w:p w14:paraId="3BDF07BC" w14:textId="77777777" w:rsidR="00C44F98" w:rsidRPr="00DD6D26" w:rsidRDefault="00C44F98" w:rsidP="00C44F98">
      <w:pPr>
        <w:pStyle w:val="Paragraphedeliste"/>
        <w:numPr>
          <w:ilvl w:val="0"/>
          <w:numId w:val="18"/>
        </w:numPr>
        <w:spacing w:after="0" w:line="240" w:lineRule="atLeast"/>
        <w:ind w:left="567" w:right="102"/>
        <w:contextualSpacing/>
        <w:jc w:val="left"/>
        <w:rPr>
          <w:szCs w:val="20"/>
          <w:lang w:val="en-US"/>
        </w:rPr>
      </w:pPr>
      <w:r w:rsidRPr="00DD6D26">
        <w:rPr>
          <w:szCs w:val="20"/>
          <w:lang w:val="en-US"/>
        </w:rPr>
        <w:t>FX order</w:t>
      </w:r>
      <w:r>
        <w:rPr>
          <w:szCs w:val="20"/>
          <w:lang w:val="en-US"/>
        </w:rPr>
        <w:t>s</w:t>
      </w:r>
      <w:r w:rsidRPr="00DD6D26">
        <w:rPr>
          <w:szCs w:val="20"/>
          <w:lang w:val="en-US"/>
        </w:rPr>
        <w:t xml:space="preserve"> usually follow the securities trade confirmation – thus the FX component may effectively have to settle on T0 relative to the FX order.</w:t>
      </w:r>
    </w:p>
    <w:p w14:paraId="3B06244C" w14:textId="3B5AC4CB" w:rsidR="00C44F98" w:rsidRPr="00C44F98" w:rsidRDefault="00C44F98" w:rsidP="00C44F98">
      <w:pPr>
        <w:pStyle w:val="Paragraphedeliste"/>
        <w:numPr>
          <w:ilvl w:val="0"/>
          <w:numId w:val="18"/>
        </w:numPr>
        <w:spacing w:after="0" w:line="240" w:lineRule="atLeast"/>
        <w:ind w:left="567" w:right="102"/>
        <w:contextualSpacing/>
        <w:jc w:val="left"/>
        <w:rPr>
          <w:b/>
          <w:bCs/>
          <w:szCs w:val="20"/>
          <w:lang w:val="en-US"/>
        </w:rPr>
      </w:pPr>
      <w:r w:rsidRPr="00DD6D26">
        <w:rPr>
          <w:szCs w:val="20"/>
          <w:lang w:val="en-US"/>
        </w:rPr>
        <w:t xml:space="preserve">Also, there will be a </w:t>
      </w:r>
      <w:r>
        <w:rPr>
          <w:szCs w:val="20"/>
          <w:lang w:val="en-US"/>
        </w:rPr>
        <w:t>strong</w:t>
      </w:r>
      <w:r w:rsidRPr="00DD6D26">
        <w:rPr>
          <w:szCs w:val="20"/>
          <w:lang w:val="en-US"/>
        </w:rPr>
        <w:t xml:space="preserve"> need for prefunding</w:t>
      </w:r>
      <w:r>
        <w:rPr>
          <w:szCs w:val="20"/>
          <w:lang w:val="en-US"/>
        </w:rPr>
        <w:t>,</w:t>
      </w:r>
      <w:r w:rsidRPr="00DD6D26">
        <w:rPr>
          <w:szCs w:val="20"/>
          <w:lang w:val="en-US"/>
        </w:rPr>
        <w:t xml:space="preserve"> so the prefunding practices will need to be revised.</w:t>
      </w:r>
    </w:p>
    <w:permEnd w:id="45707097"/>
    <w:p w14:paraId="3C617E94" w14:textId="77777777" w:rsidR="00C5469A" w:rsidRDefault="00C5469A" w:rsidP="00C5469A">
      <w:r>
        <w:t>&lt;ESMA_QUESTION_SETT_2&gt;</w:t>
      </w:r>
    </w:p>
    <w:p w14:paraId="0341BF99" w14:textId="77777777" w:rsidR="00C5469A" w:rsidRDefault="00C5469A" w:rsidP="00C5469A"/>
    <w:p w14:paraId="0C5FFD2B" w14:textId="77777777" w:rsidR="00C5469A" w:rsidRDefault="00C5469A" w:rsidP="00C5469A">
      <w:pPr>
        <w:pStyle w:val="Questionstyle"/>
        <w:numPr>
          <w:ilvl w:val="0"/>
          <w:numId w:val="14"/>
        </w:numPr>
      </w:pPr>
      <w:r>
        <w:t>: Which is your current rate of straight-through processing (STP ), in percentage of the number and of the volume of transactions broken down per type of transaction or per instrument as relevant? In case STP is used only for certain processes/operations, please identify them. Which are the anticipated challenges that you envisage in improving your current rate of STP?</w:t>
      </w:r>
    </w:p>
    <w:p w14:paraId="59801105" w14:textId="77777777" w:rsidR="00C5469A" w:rsidRDefault="00C5469A" w:rsidP="00C5469A">
      <w:r>
        <w:t>&lt;ESMA_QUESTION_SETT_3&gt;</w:t>
      </w:r>
    </w:p>
    <w:p w14:paraId="3403898D" w14:textId="77777777" w:rsidR="00811C60" w:rsidRPr="00DD6D26" w:rsidRDefault="00811C60" w:rsidP="00811C60">
      <w:pPr>
        <w:rPr>
          <w:lang w:val="en-US"/>
        </w:rPr>
      </w:pPr>
      <w:permStart w:id="1188046948" w:edGrp="everyone"/>
      <w:r w:rsidRPr="00DD6D26">
        <w:rPr>
          <w:lang w:val="en-US"/>
        </w:rPr>
        <w:lastRenderedPageBreak/>
        <w:t xml:space="preserve">The complexity of the settlement chain and </w:t>
      </w:r>
      <w:r>
        <w:rPr>
          <w:lang w:val="en-US"/>
        </w:rPr>
        <w:t xml:space="preserve">the </w:t>
      </w:r>
      <w:r w:rsidRPr="00DD6D26">
        <w:rPr>
          <w:lang w:val="en-US"/>
        </w:rPr>
        <w:t xml:space="preserve">diversity of all the actors make it difficult to estimate the rate of STP transactions. However, the use of STP process does not guarantee that human intervention will not be needed. Even if this process helps a lot to improve and accelerate transactions, it cannot be fully sufficient by itself. Therefore, we consider that STP would not serve as a substantial indicator of the settlement efficiency’s ability to handle a transition to T+1. </w:t>
      </w:r>
    </w:p>
    <w:permEnd w:id="1188046948"/>
    <w:p w14:paraId="779B5185" w14:textId="77777777" w:rsidR="00C5469A" w:rsidRDefault="00C5469A" w:rsidP="00C5469A">
      <w:r>
        <w:t>&lt;ESMA_QUESTION_SETT_3&gt;</w:t>
      </w:r>
    </w:p>
    <w:p w14:paraId="1C935D3F" w14:textId="77777777" w:rsidR="00C5469A" w:rsidRDefault="00C5469A" w:rsidP="00C5469A"/>
    <w:p w14:paraId="5C6CEC2A" w14:textId="77777777" w:rsidR="00C5469A" w:rsidRDefault="00C5469A" w:rsidP="00C5469A">
      <w:pPr>
        <w:pStyle w:val="Questionstyle"/>
        <w:numPr>
          <w:ilvl w:val="0"/>
          <w:numId w:val="14"/>
        </w:numPr>
      </w:pPr>
      <w:r>
        <w:t>: Please describe the impacts that, in your views, the shortening of the securities settlement cycle could have beyond post-trade processes, in particular on the functioning of markets (trading) and on the access of retail investors to financial markets. If you identify any negative impact, please identify the piece of legislation affected (MiFID II, MiFIR, Short Selling Regulation…) and elaborate on possible avenues to address it.</w:t>
      </w:r>
    </w:p>
    <w:p w14:paraId="59ACDC86" w14:textId="77777777" w:rsidR="00C5469A" w:rsidRDefault="00C5469A" w:rsidP="00C5469A">
      <w:r>
        <w:t>&lt;ESMA_QUESTION_SETT_4&gt;</w:t>
      </w:r>
    </w:p>
    <w:p w14:paraId="6F315B0D" w14:textId="26FF8A1A" w:rsidR="00484DAA" w:rsidRPr="00DD6D26" w:rsidRDefault="00484DAA" w:rsidP="00E84EB4">
      <w:pPr>
        <w:rPr>
          <w:lang w:val="en-US"/>
        </w:rPr>
      </w:pPr>
      <w:permStart w:id="19423711" w:edGrp="everyone"/>
      <w:r w:rsidRPr="00DD6D26">
        <w:rPr>
          <w:lang w:val="en-US"/>
        </w:rPr>
        <w:t xml:space="preserve">On this question, AMAFI would like to highlight a </w:t>
      </w:r>
      <w:r w:rsidRPr="00DD6D26">
        <w:rPr>
          <w:b/>
          <w:bCs/>
          <w:u w:val="single"/>
          <w:lang w:val="en-US"/>
        </w:rPr>
        <w:t>negative impact on liquidity</w:t>
      </w:r>
      <w:r>
        <w:rPr>
          <w:lang w:val="en-US"/>
        </w:rPr>
        <w:t>.</w:t>
      </w:r>
      <w:r w:rsidRPr="00DD6D26">
        <w:rPr>
          <w:lang w:val="en-US"/>
        </w:rPr>
        <w:t xml:space="preserve">  On several products, and notably corporate bonds, liquidity providers cannot trade solely on their inventories. They often offer prices on bonds that they do not own, but </w:t>
      </w:r>
      <w:r>
        <w:rPr>
          <w:lang w:val="en-US"/>
        </w:rPr>
        <w:t>whose borrowing cost</w:t>
      </w:r>
      <w:r w:rsidRPr="00DD6D26">
        <w:rPr>
          <w:lang w:val="en-US"/>
        </w:rPr>
        <w:t xml:space="preserve"> they have a view on (that they </w:t>
      </w:r>
      <w:r>
        <w:rPr>
          <w:lang w:val="en-US"/>
        </w:rPr>
        <w:t>include</w:t>
      </w:r>
      <w:r w:rsidRPr="00DD6D26">
        <w:rPr>
          <w:lang w:val="en-US"/>
        </w:rPr>
        <w:t xml:space="preserve"> in their offer). If, and once, the transaction is done, they then need to secure a borrowing transaction quickly enough to ensure the settlement of the transaction with their own client. If such borrowing transaction is concluded the next day, then it will have to settle T+1. If it is concluded on T+2, it will have to be immediately settled.</w:t>
      </w:r>
    </w:p>
    <w:p w14:paraId="25CDF014" w14:textId="77777777" w:rsidR="00484DAA" w:rsidRDefault="00484DAA" w:rsidP="00C5469A">
      <w:pPr>
        <w:rPr>
          <w:lang w:val="en-US"/>
        </w:rPr>
      </w:pPr>
      <w:r w:rsidRPr="00DD6D26">
        <w:rPr>
          <w:lang w:val="en-US"/>
        </w:rPr>
        <w:t xml:space="preserve">Reducing the settlement cycle would obviously limit the time available for liquidity providers to source liquidity, which would have a variety of effects: it would impact the quality of settlement, but also the availability and cost of liquidity offered to </w:t>
      </w:r>
      <w:proofErr w:type="gramStart"/>
      <w:r w:rsidRPr="00DD6D26">
        <w:rPr>
          <w:lang w:val="en-US"/>
        </w:rPr>
        <w:t>investors</w:t>
      </w:r>
      <w:proofErr w:type="gramEnd"/>
    </w:p>
    <w:permEnd w:id="19423711"/>
    <w:p w14:paraId="08A0832D" w14:textId="3461C4F6" w:rsidR="00C5469A" w:rsidRDefault="00C5469A" w:rsidP="00C5469A">
      <w:r>
        <w:t>&lt;ESMA_QUESTION_SETT_4&gt;</w:t>
      </w:r>
    </w:p>
    <w:p w14:paraId="10D50CB9" w14:textId="48742D0D" w:rsidR="00C5469A" w:rsidRDefault="00C5469A" w:rsidP="00C5469A"/>
    <w:p w14:paraId="2BF11A79" w14:textId="77777777" w:rsidR="00C5469A" w:rsidRDefault="00C5469A" w:rsidP="00C5469A"/>
    <w:p w14:paraId="5855D199" w14:textId="77777777" w:rsidR="00C5469A" w:rsidRDefault="00C5469A" w:rsidP="00C5469A">
      <w:pPr>
        <w:pStyle w:val="Questionstyle"/>
        <w:numPr>
          <w:ilvl w:val="0"/>
          <w:numId w:val="14"/>
        </w:numPr>
      </w:pPr>
      <w:r>
        <w:t xml:space="preserve">: What would be the costs you would have to incur in order to implement the technology and operational changes required to work in a T+1 environment? And in a T+0 environment? Please differentiate between one-off costs and on-going costs, comparing the on-going costs of T+1 and T+0 to those in the current T+2 </w:t>
      </w:r>
      <w:r>
        <w:lastRenderedPageBreak/>
        <w:t>environment. Where relevant please explain if these are general or asset class/instrument/ trade specific.</w:t>
      </w:r>
    </w:p>
    <w:p w14:paraId="6F56C3DB" w14:textId="77777777" w:rsidR="00C5469A" w:rsidRDefault="00C5469A" w:rsidP="00C5469A">
      <w:r>
        <w:t>&lt;ESMA_QUESTION_SETT_5&gt;</w:t>
      </w:r>
    </w:p>
    <w:p w14:paraId="3F446AB1" w14:textId="22BF9B54" w:rsidR="00492188" w:rsidRPr="00DD6D26" w:rsidRDefault="00492188" w:rsidP="00492188">
      <w:pPr>
        <w:rPr>
          <w:lang w:val="en-US"/>
        </w:rPr>
      </w:pPr>
      <w:permStart w:id="1238857977" w:edGrp="everyone"/>
      <w:r w:rsidRPr="00DD6D26">
        <w:rPr>
          <w:lang w:val="en-US"/>
        </w:rPr>
        <w:t xml:space="preserve">At this stage, it is very difficult to assess with precision all the costs involved. On a more general level we can oversee: </w:t>
      </w:r>
    </w:p>
    <w:p w14:paraId="3EBDE19E" w14:textId="77777777" w:rsidR="00492188" w:rsidRPr="00DD6D26" w:rsidRDefault="00492188" w:rsidP="00492188">
      <w:pPr>
        <w:rPr>
          <w:lang w:val="en-US"/>
        </w:rPr>
      </w:pPr>
      <w:r w:rsidRPr="00DD6D26">
        <w:rPr>
          <w:lang w:val="en-US"/>
        </w:rPr>
        <w:t>On direct costs:</w:t>
      </w:r>
    </w:p>
    <w:p w14:paraId="158531A8" w14:textId="77777777" w:rsidR="00492188" w:rsidRPr="00DD6D26" w:rsidRDefault="00492188" w:rsidP="00492188">
      <w:pPr>
        <w:pStyle w:val="Paragraphedeliste"/>
        <w:numPr>
          <w:ilvl w:val="0"/>
          <w:numId w:val="20"/>
        </w:numPr>
        <w:spacing w:after="0" w:line="240" w:lineRule="atLeast"/>
        <w:ind w:right="102"/>
        <w:rPr>
          <w:szCs w:val="20"/>
          <w:lang w:val="en-US"/>
        </w:rPr>
      </w:pPr>
      <w:r w:rsidRPr="00DD6D26">
        <w:rPr>
          <w:szCs w:val="20"/>
          <w:lang w:val="en-US"/>
        </w:rPr>
        <w:t xml:space="preserve">Technological costs to be able to process the rise of volumes (automatization of some processes, software acquisitions...) </w:t>
      </w:r>
    </w:p>
    <w:p w14:paraId="652494E2" w14:textId="3DE65329" w:rsidR="00492188" w:rsidRDefault="00492188" w:rsidP="00492188">
      <w:pPr>
        <w:pStyle w:val="Paragraphedeliste"/>
        <w:numPr>
          <w:ilvl w:val="0"/>
          <w:numId w:val="20"/>
        </w:numPr>
        <w:spacing w:after="0" w:line="240" w:lineRule="atLeast"/>
        <w:ind w:right="102"/>
        <w:rPr>
          <w:szCs w:val="20"/>
          <w:lang w:val="en-US"/>
        </w:rPr>
      </w:pPr>
      <w:r w:rsidRPr="00DD6D26">
        <w:rPr>
          <w:szCs w:val="20"/>
          <w:lang w:val="en-US"/>
        </w:rPr>
        <w:t xml:space="preserve">Operational costs due to </w:t>
      </w:r>
      <w:r>
        <w:rPr>
          <w:szCs w:val="20"/>
          <w:lang w:val="en-US"/>
        </w:rPr>
        <w:t>the transformation of the current</w:t>
      </w:r>
      <w:r w:rsidRPr="00DD6D26">
        <w:rPr>
          <w:szCs w:val="20"/>
          <w:lang w:val="en-US"/>
        </w:rPr>
        <w:t xml:space="preserve"> model (this includes human costs because there will be a need to increase the workforce and be faster on operational duties) </w:t>
      </w:r>
    </w:p>
    <w:p w14:paraId="55FB224B" w14:textId="77777777" w:rsidR="00492188" w:rsidRPr="00492188" w:rsidRDefault="00492188" w:rsidP="00492188">
      <w:pPr>
        <w:pStyle w:val="Paragraphedeliste"/>
        <w:numPr>
          <w:ilvl w:val="0"/>
          <w:numId w:val="0"/>
        </w:numPr>
        <w:spacing w:after="0" w:line="240" w:lineRule="atLeast"/>
        <w:ind w:left="720" w:right="102"/>
        <w:rPr>
          <w:szCs w:val="20"/>
          <w:lang w:val="en-US"/>
        </w:rPr>
      </w:pPr>
    </w:p>
    <w:p w14:paraId="47708681" w14:textId="77777777" w:rsidR="00492188" w:rsidRPr="00DD6D26" w:rsidRDefault="00492188" w:rsidP="00492188">
      <w:pPr>
        <w:rPr>
          <w:lang w:val="en-US"/>
        </w:rPr>
      </w:pPr>
      <w:r w:rsidRPr="00DD6D26">
        <w:rPr>
          <w:lang w:val="en-US"/>
        </w:rPr>
        <w:t xml:space="preserve">On indirect costs: </w:t>
      </w:r>
    </w:p>
    <w:p w14:paraId="42E4EBFD" w14:textId="77777777" w:rsidR="00492188" w:rsidRPr="00DD6D26" w:rsidRDefault="00492188" w:rsidP="00492188">
      <w:pPr>
        <w:pStyle w:val="Paragraphedeliste"/>
        <w:numPr>
          <w:ilvl w:val="0"/>
          <w:numId w:val="19"/>
        </w:numPr>
        <w:spacing w:after="0" w:line="240" w:lineRule="atLeast"/>
        <w:ind w:right="102"/>
        <w:rPr>
          <w:szCs w:val="20"/>
          <w:lang w:val="en-US"/>
        </w:rPr>
      </w:pPr>
      <w:r w:rsidRPr="00DD6D26">
        <w:rPr>
          <w:rFonts w:eastAsia="Calibri"/>
          <w:szCs w:val="20"/>
          <w:lang w:val="en-US"/>
        </w:rPr>
        <w:t xml:space="preserve">Infrastructure transformation </w:t>
      </w:r>
    </w:p>
    <w:p w14:paraId="633E1CAE" w14:textId="77777777" w:rsidR="00492188" w:rsidRPr="00DD6D26" w:rsidRDefault="00492188" w:rsidP="00492188">
      <w:pPr>
        <w:pStyle w:val="Paragraphedeliste"/>
        <w:numPr>
          <w:ilvl w:val="0"/>
          <w:numId w:val="19"/>
        </w:numPr>
        <w:spacing w:after="0" w:line="240" w:lineRule="atLeast"/>
        <w:contextualSpacing/>
        <w:jc w:val="left"/>
        <w:rPr>
          <w:rFonts w:eastAsia="Calibri"/>
          <w:szCs w:val="20"/>
          <w:lang w:val="en-US"/>
        </w:rPr>
      </w:pPr>
      <w:r w:rsidRPr="00DD6D26">
        <w:rPr>
          <w:rFonts w:eastAsia="Calibri"/>
          <w:szCs w:val="20"/>
          <w:lang w:val="en-US"/>
        </w:rPr>
        <w:t xml:space="preserve">Securities lending and borrowing  </w:t>
      </w:r>
    </w:p>
    <w:p w14:paraId="60DF1BE5" w14:textId="77777777" w:rsidR="00492188" w:rsidRPr="00DD6D26" w:rsidRDefault="00492188" w:rsidP="00492188">
      <w:pPr>
        <w:pStyle w:val="Paragraphedeliste"/>
        <w:numPr>
          <w:ilvl w:val="0"/>
          <w:numId w:val="19"/>
        </w:numPr>
        <w:spacing w:after="0" w:line="240" w:lineRule="atLeast"/>
        <w:contextualSpacing/>
        <w:jc w:val="left"/>
        <w:rPr>
          <w:rFonts w:eastAsia="Calibri"/>
          <w:szCs w:val="20"/>
          <w:lang w:val="en-US"/>
        </w:rPr>
      </w:pPr>
      <w:r w:rsidRPr="00DD6D26">
        <w:rPr>
          <w:rFonts w:eastAsia="Calibri"/>
          <w:szCs w:val="20"/>
          <w:lang w:val="en-US"/>
        </w:rPr>
        <w:t xml:space="preserve">Liquidity </w:t>
      </w:r>
    </w:p>
    <w:p w14:paraId="6A3E147A" w14:textId="77777777" w:rsidR="00492188" w:rsidRPr="00DD6D26" w:rsidRDefault="00492188" w:rsidP="00492188">
      <w:pPr>
        <w:pStyle w:val="Paragraphedeliste"/>
        <w:numPr>
          <w:ilvl w:val="0"/>
          <w:numId w:val="19"/>
        </w:numPr>
        <w:spacing w:after="0" w:line="240" w:lineRule="atLeast"/>
        <w:contextualSpacing/>
        <w:jc w:val="left"/>
        <w:rPr>
          <w:rFonts w:eastAsia="Calibri"/>
          <w:szCs w:val="20"/>
          <w:lang w:val="en-US"/>
        </w:rPr>
      </w:pPr>
      <w:r w:rsidRPr="00DD6D26">
        <w:rPr>
          <w:rFonts w:eastAsia="Calibri"/>
          <w:szCs w:val="20"/>
          <w:lang w:val="en-US"/>
        </w:rPr>
        <w:t xml:space="preserve">Foreign currency </w:t>
      </w:r>
    </w:p>
    <w:p w14:paraId="6AA488EC" w14:textId="77777777" w:rsidR="00492188" w:rsidRPr="00DD6D26" w:rsidRDefault="00492188" w:rsidP="00492188">
      <w:pPr>
        <w:pStyle w:val="Paragraphedeliste"/>
        <w:numPr>
          <w:ilvl w:val="0"/>
          <w:numId w:val="19"/>
        </w:numPr>
        <w:spacing w:after="0" w:line="240" w:lineRule="atLeast"/>
        <w:contextualSpacing/>
        <w:jc w:val="left"/>
        <w:rPr>
          <w:rFonts w:eastAsia="Calibri"/>
          <w:szCs w:val="20"/>
          <w:lang w:val="en-US"/>
        </w:rPr>
      </w:pPr>
      <w:r w:rsidRPr="00DD6D26">
        <w:rPr>
          <w:rFonts w:eastAsia="Calibri"/>
          <w:szCs w:val="20"/>
          <w:lang w:val="en-US"/>
        </w:rPr>
        <w:t>Settlement risk (on short term)</w:t>
      </w:r>
    </w:p>
    <w:p w14:paraId="4525C88F" w14:textId="77777777" w:rsidR="00492188" w:rsidRPr="00DD6D26" w:rsidRDefault="00492188" w:rsidP="00492188">
      <w:pPr>
        <w:pStyle w:val="Paragraphedeliste"/>
        <w:numPr>
          <w:ilvl w:val="0"/>
          <w:numId w:val="19"/>
        </w:numPr>
        <w:spacing w:after="0" w:line="240" w:lineRule="atLeast"/>
        <w:contextualSpacing/>
        <w:jc w:val="left"/>
        <w:rPr>
          <w:rFonts w:eastAsia="Calibri"/>
          <w:szCs w:val="20"/>
          <w:lang w:val="en-US"/>
        </w:rPr>
      </w:pPr>
      <w:r w:rsidRPr="00DD6D26">
        <w:rPr>
          <w:rFonts w:eastAsia="Calibri"/>
          <w:szCs w:val="20"/>
          <w:lang w:val="en-US"/>
        </w:rPr>
        <w:t>CSDR penalties (on short/middle term)</w:t>
      </w:r>
    </w:p>
    <w:p w14:paraId="6EA48A43" w14:textId="4E5FFA55" w:rsidR="00C5469A" w:rsidRPr="003676A0" w:rsidRDefault="00C5469A" w:rsidP="00C5469A">
      <w:pPr>
        <w:rPr>
          <w:lang w:val="en-US"/>
        </w:rPr>
      </w:pPr>
    </w:p>
    <w:permEnd w:id="1238857977"/>
    <w:p w14:paraId="39592726" w14:textId="77777777" w:rsidR="00C5469A" w:rsidRDefault="00C5469A" w:rsidP="00C5469A">
      <w:r>
        <w:t>&lt;ESMA_QUESTION_SETT_5&gt;</w:t>
      </w:r>
    </w:p>
    <w:p w14:paraId="2C3FAB8E" w14:textId="77777777" w:rsidR="00C5469A" w:rsidRDefault="00C5469A" w:rsidP="00C5469A"/>
    <w:p w14:paraId="21A53CC1" w14:textId="77777777" w:rsidR="00C5469A" w:rsidRDefault="00C5469A" w:rsidP="00C5469A">
      <w:pPr>
        <w:pStyle w:val="Questionstyle"/>
        <w:numPr>
          <w:ilvl w:val="0"/>
          <w:numId w:val="14"/>
        </w:numPr>
      </w:pPr>
      <w:r>
        <w:t>: In your view, by how much would settlement fails increase if T+1 would be required in the short, medium and long term? What about T+0? Please provide estimates where possible.</w:t>
      </w:r>
    </w:p>
    <w:p w14:paraId="5B188D9B" w14:textId="77777777" w:rsidR="00C5469A" w:rsidRDefault="00C5469A" w:rsidP="00C5469A">
      <w:r>
        <w:t>&lt;ESMA_QUESTION_SETT_6&gt;</w:t>
      </w:r>
    </w:p>
    <w:p w14:paraId="1AA82AB2" w14:textId="77777777" w:rsidR="00045694" w:rsidRPr="00DD6D26" w:rsidRDefault="00045694" w:rsidP="00045694">
      <w:pPr>
        <w:rPr>
          <w:rFonts w:eastAsia="Calibri"/>
          <w:lang w:val="en-US"/>
        </w:rPr>
      </w:pPr>
      <w:permStart w:id="367399486" w:edGrp="everyone"/>
      <w:r w:rsidRPr="00DD6D26">
        <w:rPr>
          <w:rFonts w:eastAsia="Calibri"/>
          <w:lang w:val="en-US"/>
        </w:rPr>
        <w:t xml:space="preserve">The exact estimation of the increase of fails and cash penalties is not possible at this point. However, we believe that fails and cash penalties will be at the highest level </w:t>
      </w:r>
      <w:r>
        <w:rPr>
          <w:rFonts w:eastAsia="Calibri"/>
          <w:lang w:val="en-US"/>
        </w:rPr>
        <w:t>at</w:t>
      </w:r>
      <w:r w:rsidRPr="00DD6D26">
        <w:rPr>
          <w:rFonts w:eastAsia="Calibri"/>
          <w:lang w:val="en-US"/>
        </w:rPr>
        <w:t xml:space="preserve"> the beginning of the T+1 implementation. We anticipate that this level will decrease over time, but we are not sure that it will come back to the current situation. T+1 should not be implemented at the expense of settlement efficiency. </w:t>
      </w:r>
    </w:p>
    <w:permEnd w:id="367399486"/>
    <w:p w14:paraId="2CF84BCC" w14:textId="77777777" w:rsidR="00C5469A" w:rsidRDefault="00C5469A" w:rsidP="00C5469A">
      <w:r>
        <w:t>&lt;ESMA_QUESTION_SETT_6&gt;</w:t>
      </w:r>
    </w:p>
    <w:p w14:paraId="4C80899B" w14:textId="77777777" w:rsidR="00C5469A" w:rsidRDefault="00C5469A" w:rsidP="00C5469A"/>
    <w:p w14:paraId="7A2BD77F" w14:textId="77777777" w:rsidR="00C5469A" w:rsidRDefault="00C5469A" w:rsidP="00C5469A">
      <w:pPr>
        <w:pStyle w:val="Questionstyle"/>
        <w:numPr>
          <w:ilvl w:val="0"/>
          <w:numId w:val="14"/>
        </w:numPr>
      </w:pPr>
      <w:r>
        <w:t>: In your opinion, would the increase in settlement fails/cash penalties remain permanent or would you expect settlement efficiency to come back to higher rates with time? Please elaborate.</w:t>
      </w:r>
    </w:p>
    <w:p w14:paraId="7EF71B51" w14:textId="77777777" w:rsidR="00C5469A" w:rsidRDefault="00C5469A" w:rsidP="00C5469A">
      <w:r>
        <w:t>&lt;ESMA_QUESTION_SETT_7&gt;</w:t>
      </w:r>
    </w:p>
    <w:p w14:paraId="68E0001D" w14:textId="7F9AF9AC" w:rsidR="00C5469A" w:rsidRDefault="003676A0" w:rsidP="00C5469A">
      <w:permStart w:id="1217420632" w:edGrp="everyone"/>
      <w:r w:rsidRPr="00240466">
        <w:rPr>
          <w:szCs w:val="22"/>
          <w:lang w:val="en-US"/>
        </w:rPr>
        <w:t xml:space="preserve">See Q.6 </w:t>
      </w:r>
      <w:proofErr w:type="gramStart"/>
      <w:r w:rsidRPr="00240466">
        <w:rPr>
          <w:szCs w:val="22"/>
          <w:lang w:val="en-US"/>
        </w:rPr>
        <w:t>above</w:t>
      </w:r>
      <w:proofErr w:type="gramEnd"/>
    </w:p>
    <w:permEnd w:id="1217420632"/>
    <w:p w14:paraId="747144F4" w14:textId="77777777" w:rsidR="00C5469A" w:rsidRDefault="00C5469A" w:rsidP="00C5469A">
      <w:r>
        <w:t>&lt;ESMA_QUESTION_SETT_7&gt;</w:t>
      </w:r>
    </w:p>
    <w:p w14:paraId="386F3E7A" w14:textId="23022D63" w:rsidR="00C5469A" w:rsidRDefault="00C5469A" w:rsidP="00C5469A"/>
    <w:p w14:paraId="2593F09B" w14:textId="77777777" w:rsidR="00C5469A" w:rsidRDefault="00C5469A" w:rsidP="00C5469A"/>
    <w:p w14:paraId="1EBC8F49" w14:textId="77777777" w:rsidR="00C5469A" w:rsidRDefault="00C5469A" w:rsidP="00C5469A">
      <w:pPr>
        <w:pStyle w:val="Questionstyle"/>
        <w:numPr>
          <w:ilvl w:val="0"/>
          <w:numId w:val="14"/>
        </w:numPr>
        <w:ind w:left="0"/>
      </w:pPr>
      <w:r>
        <w:t>: Is there any other cost (in particular those resulting from potential impacts to trading identified in the previous section) that ESMA should take into consideration? If yes, please describe the type of cost and provide estimates.</w:t>
      </w:r>
    </w:p>
    <w:p w14:paraId="42D1A981" w14:textId="77777777" w:rsidR="00C5469A" w:rsidRDefault="00C5469A" w:rsidP="00C5469A">
      <w:r>
        <w:t>&lt;ESMA_QUESTION_SETT_8&gt;</w:t>
      </w:r>
    </w:p>
    <w:p w14:paraId="2CC16A00" w14:textId="77777777" w:rsidR="00770EE1" w:rsidRPr="00DD6D26" w:rsidRDefault="00770EE1" w:rsidP="00E84EB4">
      <w:pPr>
        <w:rPr>
          <w:lang w:val="en-US"/>
        </w:rPr>
      </w:pPr>
      <w:permStart w:id="736563321" w:edGrp="everyone"/>
      <w:r w:rsidRPr="00DD6D26">
        <w:rPr>
          <w:lang w:val="en-US"/>
        </w:rPr>
        <w:t xml:space="preserve">We can anticipate several types of costs after a transition to T+1 settlement cycle: </w:t>
      </w:r>
    </w:p>
    <w:p w14:paraId="130C47B0" w14:textId="77777777" w:rsidR="00770EE1" w:rsidRPr="00DD6D26" w:rsidRDefault="00770EE1" w:rsidP="00770EE1">
      <w:pPr>
        <w:pStyle w:val="Paragraphedeliste"/>
        <w:numPr>
          <w:ilvl w:val="0"/>
          <w:numId w:val="21"/>
        </w:numPr>
        <w:spacing w:after="0" w:line="240" w:lineRule="atLeast"/>
        <w:ind w:right="102"/>
        <w:rPr>
          <w:szCs w:val="20"/>
          <w:lang w:val="en-US"/>
        </w:rPr>
      </w:pPr>
      <w:r w:rsidRPr="00DD6D26">
        <w:rPr>
          <w:szCs w:val="20"/>
          <w:lang w:val="en-US"/>
        </w:rPr>
        <w:t xml:space="preserve">Important costs resulting from the need to change EU market infrastructure (specially on T2S platform to adapt to new hours and cut offs) </w:t>
      </w:r>
    </w:p>
    <w:p w14:paraId="5926DB91" w14:textId="77777777" w:rsidR="00770EE1" w:rsidRPr="00DD6D26" w:rsidRDefault="00770EE1" w:rsidP="00770EE1">
      <w:pPr>
        <w:pStyle w:val="Paragraphedeliste"/>
        <w:numPr>
          <w:ilvl w:val="0"/>
          <w:numId w:val="21"/>
        </w:numPr>
        <w:spacing w:after="0" w:line="240" w:lineRule="atLeast"/>
        <w:ind w:right="102"/>
        <w:rPr>
          <w:szCs w:val="20"/>
          <w:lang w:val="en-US"/>
        </w:rPr>
      </w:pPr>
      <w:r w:rsidRPr="00DD6D26">
        <w:rPr>
          <w:szCs w:val="20"/>
          <w:lang w:val="en-US"/>
        </w:rPr>
        <w:t>Extension of the ECB payments cut-off</w:t>
      </w:r>
    </w:p>
    <w:p w14:paraId="42C21F18" w14:textId="77777777" w:rsidR="00770EE1" w:rsidRPr="00DD6D26" w:rsidRDefault="00770EE1" w:rsidP="00770EE1">
      <w:pPr>
        <w:pStyle w:val="Paragraphedeliste"/>
        <w:numPr>
          <w:ilvl w:val="0"/>
          <w:numId w:val="21"/>
        </w:numPr>
        <w:spacing w:after="0" w:line="240" w:lineRule="atLeast"/>
        <w:ind w:right="102"/>
        <w:rPr>
          <w:szCs w:val="20"/>
          <w:lang w:val="en-US"/>
        </w:rPr>
      </w:pPr>
      <w:r w:rsidRPr="00DD6D26">
        <w:rPr>
          <w:szCs w:val="20"/>
          <w:lang w:val="en-US"/>
        </w:rPr>
        <w:t xml:space="preserve">Important internal investments for market participants at the expense on other ongoing projects. </w:t>
      </w:r>
    </w:p>
    <w:p w14:paraId="4D459A4A" w14:textId="77777777" w:rsidR="00770EE1" w:rsidRDefault="00770EE1" w:rsidP="00C5469A">
      <w:pPr>
        <w:rPr>
          <w:lang w:val="en-US"/>
        </w:rPr>
      </w:pPr>
      <w:r w:rsidRPr="00DD6D26">
        <w:rPr>
          <w:lang w:val="en-US"/>
        </w:rPr>
        <w:t>Increase of securities costs due to lower liquidity</w:t>
      </w:r>
    </w:p>
    <w:permEnd w:id="736563321"/>
    <w:p w14:paraId="120F8916" w14:textId="059C03AC" w:rsidR="00C5469A" w:rsidRDefault="00C5469A" w:rsidP="00C5469A">
      <w:r>
        <w:t>&lt;ESMA_QUESTION_SETT_8&gt;</w:t>
      </w:r>
    </w:p>
    <w:p w14:paraId="790AC8AA" w14:textId="77777777" w:rsidR="00C5469A" w:rsidRDefault="00C5469A" w:rsidP="00C5469A"/>
    <w:p w14:paraId="2DC10864" w14:textId="77777777" w:rsidR="00C5469A" w:rsidRDefault="00C5469A" w:rsidP="00C5469A">
      <w:pPr>
        <w:pStyle w:val="Questionstyle"/>
        <w:numPr>
          <w:ilvl w:val="0"/>
          <w:numId w:val="14"/>
        </w:numPr>
        <w:ind w:left="0"/>
      </w:pPr>
      <w:r>
        <w:t>: Do you agree with the mentioned benefits? Are there other benefits that should be accounted for in the assessment of an eventual shortening of the securities settlement cycle?</w:t>
      </w:r>
    </w:p>
    <w:p w14:paraId="616BC043" w14:textId="77777777" w:rsidR="00C5469A" w:rsidRDefault="00C5469A" w:rsidP="00C5469A">
      <w:r>
        <w:t>&lt;ESMA_QUESTION_SETT_9&gt;</w:t>
      </w:r>
    </w:p>
    <w:p w14:paraId="0E01746C" w14:textId="77777777" w:rsidR="00E15E89" w:rsidRPr="00DD6D26" w:rsidRDefault="00E15E89" w:rsidP="00E15E89">
      <w:pPr>
        <w:rPr>
          <w:rFonts w:eastAsia="Calibri"/>
          <w:lang w:val="en-US"/>
        </w:rPr>
      </w:pPr>
      <w:permStart w:id="1982556193" w:edGrp="everyone"/>
      <w:r w:rsidRPr="00DD6D26">
        <w:rPr>
          <w:rFonts w:eastAsia="Calibri"/>
          <w:lang w:val="en-US"/>
        </w:rPr>
        <w:t>From our perspective, the benefits mentioned are very marginal compared to the costs. Indeed, the benefits mentioned by ESMA are purely theoretical.</w:t>
      </w:r>
    </w:p>
    <w:permEnd w:id="1982556193"/>
    <w:p w14:paraId="279B3093" w14:textId="77777777" w:rsidR="00C5469A" w:rsidRDefault="00C5469A" w:rsidP="00C5469A">
      <w:r>
        <w:lastRenderedPageBreak/>
        <w:t>&lt;ESMA_QUESTION_SETT_9&gt;</w:t>
      </w:r>
    </w:p>
    <w:p w14:paraId="07A35032" w14:textId="77777777" w:rsidR="00C5469A" w:rsidRDefault="00C5469A" w:rsidP="00C5469A"/>
    <w:p w14:paraId="1F484B02" w14:textId="70286B38" w:rsidR="00C5469A" w:rsidRDefault="00C5469A" w:rsidP="00C5469A">
      <w:pPr>
        <w:pStyle w:val="Questionstyle"/>
        <w:numPr>
          <w:ilvl w:val="0"/>
          <w:numId w:val="14"/>
        </w:numPr>
        <w:ind w:left="0"/>
      </w:pPr>
      <w:r>
        <w:t>:Please quantify the expected savings from an eventual reduction of collateral requirements derived from T+1 and T+0 (for cleared transactions as well as for non-cleared transactions subject to margin requirements).</w:t>
      </w:r>
    </w:p>
    <w:p w14:paraId="33725216" w14:textId="77777777" w:rsidR="00C5469A" w:rsidRDefault="00C5469A" w:rsidP="00C5469A">
      <w:r>
        <w:t>&lt;ESMA_QUESTION_SETT_10&gt;</w:t>
      </w:r>
    </w:p>
    <w:p w14:paraId="16F1A514" w14:textId="77777777" w:rsidR="00D07244" w:rsidRPr="00DD6D26" w:rsidRDefault="00D07244" w:rsidP="00D07244">
      <w:pPr>
        <w:pStyle w:val="xelementtoproof"/>
        <w:spacing w:before="0" w:beforeAutospacing="0" w:after="0" w:afterAutospacing="0" w:line="240" w:lineRule="atLeast"/>
        <w:jc w:val="both"/>
        <w:rPr>
          <w:rFonts w:ascii="Arial" w:hAnsi="Arial" w:cs="Arial"/>
          <w:sz w:val="20"/>
          <w:szCs w:val="20"/>
          <w:bdr w:val="none" w:sz="0" w:space="0" w:color="auto" w:frame="1"/>
          <w:lang w:val="en-US"/>
        </w:rPr>
      </w:pPr>
      <w:permStart w:id="639642393" w:edGrp="everyone"/>
      <w:r w:rsidRPr="00DD6D26">
        <w:rPr>
          <w:rFonts w:ascii="Arial" w:hAnsi="Arial" w:cs="Arial"/>
          <w:sz w:val="20"/>
          <w:szCs w:val="20"/>
          <w:bdr w:val="none" w:sz="0" w:space="0" w:color="auto" w:frame="1"/>
          <w:lang w:val="en-US"/>
        </w:rPr>
        <w:t xml:space="preserve">Collateral requirements on cash transactions reflect the magnitude of settlement risk, </w:t>
      </w:r>
      <w:r>
        <w:rPr>
          <w:rFonts w:ascii="Arial" w:hAnsi="Arial" w:cs="Arial"/>
          <w:sz w:val="20"/>
          <w:szCs w:val="20"/>
          <w:bdr w:val="none" w:sz="0" w:space="0" w:color="auto" w:frame="1"/>
          <w:lang w:val="en-US"/>
        </w:rPr>
        <w:t>i.e.</w:t>
      </w:r>
      <w:r w:rsidRPr="00DD6D26">
        <w:rPr>
          <w:rFonts w:ascii="Arial" w:hAnsi="Arial" w:cs="Arial"/>
          <w:sz w:val="20"/>
          <w:szCs w:val="20"/>
          <w:bdr w:val="none" w:sz="0" w:space="0" w:color="auto" w:frame="1"/>
          <w:lang w:val="en-US"/>
        </w:rPr>
        <w:t xml:space="preserve"> the risk of a credit event occurring during the settlement cycle.</w:t>
      </w:r>
    </w:p>
    <w:p w14:paraId="4F56A5EA" w14:textId="77777777" w:rsidR="00D07244" w:rsidRPr="00DD6D26" w:rsidRDefault="00D07244" w:rsidP="00D07244">
      <w:pPr>
        <w:pStyle w:val="xelementtoproof"/>
        <w:spacing w:before="0" w:beforeAutospacing="0" w:after="0" w:afterAutospacing="0" w:line="240" w:lineRule="atLeast"/>
        <w:jc w:val="both"/>
        <w:rPr>
          <w:rFonts w:ascii="Arial" w:hAnsi="Arial" w:cs="Arial"/>
          <w:sz w:val="20"/>
          <w:szCs w:val="20"/>
          <w:lang w:val="en-US"/>
        </w:rPr>
      </w:pPr>
    </w:p>
    <w:p w14:paraId="4A27DDF2" w14:textId="77777777" w:rsidR="00D07244" w:rsidRPr="00DD6D26" w:rsidRDefault="00D07244" w:rsidP="00D07244">
      <w:pPr>
        <w:pStyle w:val="xelementtoproof"/>
        <w:spacing w:before="0" w:beforeAutospacing="0" w:after="0" w:afterAutospacing="0" w:line="240" w:lineRule="atLeast"/>
        <w:jc w:val="both"/>
        <w:rPr>
          <w:rFonts w:ascii="Arial" w:hAnsi="Arial" w:cs="Arial"/>
          <w:sz w:val="20"/>
          <w:szCs w:val="20"/>
          <w:bdr w:val="none" w:sz="0" w:space="0" w:color="auto" w:frame="1"/>
          <w:lang w:val="en-US"/>
        </w:rPr>
      </w:pPr>
      <w:r w:rsidRPr="00DD6D26">
        <w:rPr>
          <w:rFonts w:ascii="Arial" w:hAnsi="Arial" w:cs="Arial"/>
          <w:sz w:val="20"/>
          <w:szCs w:val="20"/>
          <w:bdr w:val="none" w:sz="0" w:space="0" w:color="auto" w:frame="1"/>
          <w:lang w:val="en-US"/>
        </w:rPr>
        <w:t>The diffusion of such risk depends on time. Most models of risk diffusion consider that time dependence is correctly modelled by the square root of time.</w:t>
      </w:r>
    </w:p>
    <w:p w14:paraId="767A61E1" w14:textId="77777777" w:rsidR="00D07244" w:rsidRPr="00DD6D26" w:rsidRDefault="00D07244" w:rsidP="00D07244">
      <w:pPr>
        <w:pStyle w:val="xelementtoproof"/>
        <w:spacing w:before="0" w:beforeAutospacing="0" w:after="0" w:afterAutospacing="0" w:line="240" w:lineRule="atLeast"/>
        <w:jc w:val="both"/>
        <w:rPr>
          <w:rFonts w:ascii="Arial" w:hAnsi="Arial" w:cs="Arial"/>
          <w:sz w:val="20"/>
          <w:szCs w:val="20"/>
          <w:lang w:val="en-US"/>
        </w:rPr>
      </w:pPr>
    </w:p>
    <w:p w14:paraId="5009F431" w14:textId="77777777" w:rsidR="00D07244" w:rsidRPr="00DD6D26" w:rsidRDefault="00D07244" w:rsidP="00D07244">
      <w:pPr>
        <w:pStyle w:val="xelementtoproof"/>
        <w:spacing w:before="0" w:beforeAutospacing="0" w:after="0" w:afterAutospacing="0" w:line="240" w:lineRule="atLeast"/>
        <w:jc w:val="both"/>
        <w:rPr>
          <w:rFonts w:ascii="Arial" w:hAnsi="Arial" w:cs="Arial"/>
          <w:sz w:val="20"/>
          <w:szCs w:val="20"/>
          <w:bdr w:val="none" w:sz="0" w:space="0" w:color="auto" w:frame="1"/>
          <w:lang w:val="en-US"/>
        </w:rPr>
      </w:pPr>
      <w:r w:rsidRPr="00DD6D26">
        <w:rPr>
          <w:rFonts w:ascii="Arial" w:hAnsi="Arial" w:cs="Arial"/>
          <w:sz w:val="20"/>
          <w:szCs w:val="20"/>
          <w:bdr w:val="none" w:sz="0" w:space="0" w:color="auto" w:frame="1"/>
          <w:lang w:val="en-US"/>
        </w:rPr>
        <w:t>Moving for T+2 to T+1 would</w:t>
      </w:r>
      <w:r>
        <w:rPr>
          <w:rFonts w:ascii="Arial" w:hAnsi="Arial" w:cs="Arial"/>
          <w:sz w:val="20"/>
          <w:szCs w:val="20"/>
          <w:bdr w:val="none" w:sz="0" w:space="0" w:color="auto" w:frame="1"/>
          <w:lang w:val="en-US"/>
        </w:rPr>
        <w:t xml:space="preserve"> mean</w:t>
      </w:r>
      <w:r w:rsidRPr="00DD6D26">
        <w:rPr>
          <w:rFonts w:ascii="Arial" w:hAnsi="Arial" w:cs="Arial"/>
          <w:sz w:val="20"/>
          <w:szCs w:val="20"/>
          <w:bdr w:val="none" w:sz="0" w:space="0" w:color="auto" w:frame="1"/>
          <w:lang w:val="en-US"/>
        </w:rPr>
        <w:t xml:space="preserve">, in the best possible case, a reduction </w:t>
      </w:r>
      <w:r>
        <w:rPr>
          <w:rFonts w:ascii="Arial" w:hAnsi="Arial" w:cs="Arial"/>
          <w:sz w:val="20"/>
          <w:szCs w:val="20"/>
          <w:bdr w:val="none" w:sz="0" w:space="0" w:color="auto" w:frame="1"/>
          <w:lang w:val="en-US"/>
        </w:rPr>
        <w:t>by</w:t>
      </w:r>
      <w:r w:rsidRPr="00DD6D26">
        <w:rPr>
          <w:rFonts w:ascii="Arial" w:hAnsi="Arial" w:cs="Arial"/>
          <w:sz w:val="20"/>
          <w:szCs w:val="20"/>
          <w:bdr w:val="none" w:sz="0" w:space="0" w:color="auto" w:frame="1"/>
          <w:lang w:val="en-US"/>
        </w:rPr>
        <w:t xml:space="preserve"> </w:t>
      </w:r>
      <w:proofErr w:type="gramStart"/>
      <w:r w:rsidRPr="00DD6D26">
        <w:rPr>
          <w:rFonts w:ascii="Arial" w:hAnsi="Arial" w:cs="Arial"/>
          <w:sz w:val="20"/>
          <w:szCs w:val="20"/>
          <w:bdr w:val="none" w:sz="0" w:space="0" w:color="auto" w:frame="1"/>
          <w:lang w:val="en-US"/>
        </w:rPr>
        <w:t>sqrt(</w:t>
      </w:r>
      <w:proofErr w:type="gramEnd"/>
      <w:r w:rsidRPr="00DD6D26">
        <w:rPr>
          <w:rFonts w:ascii="Arial" w:hAnsi="Arial" w:cs="Arial"/>
          <w:sz w:val="20"/>
          <w:szCs w:val="20"/>
          <w:bdr w:val="none" w:sz="0" w:space="0" w:color="auto" w:frame="1"/>
          <w:lang w:val="en-US"/>
        </w:rPr>
        <w:t xml:space="preserve">2) </w:t>
      </w:r>
      <w:r>
        <w:rPr>
          <w:rFonts w:ascii="Arial" w:hAnsi="Arial" w:cs="Arial"/>
          <w:sz w:val="20"/>
          <w:szCs w:val="20"/>
          <w:bdr w:val="none" w:sz="0" w:space="0" w:color="auto" w:frame="1"/>
          <w:lang w:val="en-US"/>
        </w:rPr>
        <w:t>of</w:t>
      </w:r>
      <w:r w:rsidRPr="00DD6D26">
        <w:rPr>
          <w:rFonts w:ascii="Arial" w:hAnsi="Arial" w:cs="Arial"/>
          <w:sz w:val="20"/>
          <w:szCs w:val="20"/>
          <w:bdr w:val="none" w:sz="0" w:space="0" w:color="auto" w:frame="1"/>
          <w:lang w:val="en-US"/>
        </w:rPr>
        <w:t xml:space="preserve"> 1, which is a reduction by less than 30% of the collateral requirements for the settlement of cash transactions.</w:t>
      </w:r>
    </w:p>
    <w:p w14:paraId="28E9D498" w14:textId="77777777" w:rsidR="00D07244" w:rsidRPr="00DD6D26" w:rsidRDefault="00D07244" w:rsidP="00D07244">
      <w:pPr>
        <w:pStyle w:val="xelementtoproof"/>
        <w:spacing w:before="0" w:beforeAutospacing="0" w:after="0" w:afterAutospacing="0" w:line="240" w:lineRule="atLeast"/>
        <w:jc w:val="both"/>
        <w:rPr>
          <w:rFonts w:ascii="Arial" w:hAnsi="Arial" w:cs="Arial"/>
          <w:sz w:val="20"/>
          <w:szCs w:val="20"/>
          <w:lang w:val="en-US"/>
        </w:rPr>
      </w:pPr>
    </w:p>
    <w:p w14:paraId="43C3DEF9" w14:textId="4703BEF4" w:rsidR="00C5469A" w:rsidRPr="00D07244" w:rsidRDefault="00D07244" w:rsidP="00D07244">
      <w:pPr>
        <w:pStyle w:val="xelementtoproof"/>
        <w:shd w:val="clear" w:color="auto" w:fill="FFFFFF"/>
        <w:spacing w:before="0" w:beforeAutospacing="0" w:after="0" w:afterAutospacing="0"/>
        <w:jc w:val="both"/>
        <w:rPr>
          <w:rFonts w:ascii="Arial" w:hAnsi="Arial" w:cs="Arial"/>
          <w:sz w:val="20"/>
          <w:szCs w:val="20"/>
          <w:bdr w:val="none" w:sz="0" w:space="0" w:color="auto" w:frame="1"/>
          <w:lang w:val="en-US"/>
        </w:rPr>
      </w:pPr>
      <w:r w:rsidRPr="00DD6D26">
        <w:rPr>
          <w:rFonts w:ascii="Arial" w:hAnsi="Arial" w:cs="Arial"/>
          <w:sz w:val="20"/>
          <w:szCs w:val="20"/>
          <w:bdr w:val="none" w:sz="0" w:space="0" w:color="auto" w:frame="1"/>
          <w:lang w:val="en-US"/>
        </w:rPr>
        <w:t>This could seem to be significant, but it should be reminded that, at the scale of the financial industry, collateral requirements linked to cash transactions are a negligeable fraction of the requirements linked to derivative transactions. Typically, the exclusion of Post Trade Risk Reduction services from clearing obligation offers a for more effective lever to reduce collateral requirements</w:t>
      </w:r>
      <w:r>
        <w:rPr>
          <w:rFonts w:ascii="Arial" w:hAnsi="Arial" w:cs="Arial"/>
          <w:sz w:val="22"/>
          <w:szCs w:val="22"/>
          <w:bdr w:val="none" w:sz="0" w:space="0" w:color="auto" w:frame="1"/>
          <w:lang w:val="en-US"/>
        </w:rPr>
        <w:t>.</w:t>
      </w:r>
    </w:p>
    <w:permEnd w:id="639642393"/>
    <w:p w14:paraId="4C4DCD26" w14:textId="77777777" w:rsidR="00C5469A" w:rsidRDefault="00C5469A" w:rsidP="00C5469A">
      <w:r>
        <w:t>&lt;ESMA_QUESTION_SETT_10&gt;</w:t>
      </w:r>
    </w:p>
    <w:p w14:paraId="5FC40AB6" w14:textId="30F37AE7" w:rsidR="00C5469A" w:rsidRDefault="00C5469A" w:rsidP="00C5469A"/>
    <w:p w14:paraId="07BEC62A" w14:textId="3CC4EF5B" w:rsidR="00C5469A" w:rsidRDefault="00C5469A" w:rsidP="00C5469A"/>
    <w:p w14:paraId="6A1F5571" w14:textId="4F1DB2A8" w:rsidR="00C5469A" w:rsidRDefault="00C5469A" w:rsidP="00C5469A"/>
    <w:p w14:paraId="415BB25E" w14:textId="77777777" w:rsidR="00C5469A" w:rsidRDefault="00C5469A" w:rsidP="00C5469A"/>
    <w:p w14:paraId="7EDBD522" w14:textId="77777777" w:rsidR="00C5469A" w:rsidRDefault="00C5469A" w:rsidP="00C5469A">
      <w:pPr>
        <w:pStyle w:val="Questionstyle"/>
        <w:numPr>
          <w:ilvl w:val="0"/>
          <w:numId w:val="14"/>
        </w:numPr>
        <w:ind w:left="0"/>
      </w:pPr>
      <w:r>
        <w:t>: If possible, please provide estimates of the benefits that you would expect from T+1 and from T+0, for example the on-going savings of potentially more automated processes.</w:t>
      </w:r>
    </w:p>
    <w:p w14:paraId="528C8491" w14:textId="77777777" w:rsidR="00C5469A" w:rsidRDefault="00C5469A" w:rsidP="00C5469A">
      <w:r>
        <w:t>&lt;ESMA_QUESTION_SETT_11&gt;</w:t>
      </w:r>
    </w:p>
    <w:p w14:paraId="73C69B65" w14:textId="7DA0159D" w:rsidR="00C5469A" w:rsidRDefault="009A1550" w:rsidP="00C5469A">
      <w:permStart w:id="78006216" w:edGrp="everyone"/>
      <w:r w:rsidRPr="00DD6D26">
        <w:t>At this stage AMAFI does not see any significant savings. In a context where market processes are highly automati</w:t>
      </w:r>
      <w:r>
        <w:t>s</w:t>
      </w:r>
      <w:r w:rsidRPr="00DD6D26">
        <w:t xml:space="preserve">ed or </w:t>
      </w:r>
      <w:proofErr w:type="spellStart"/>
      <w:r w:rsidRPr="00DD6D26">
        <w:t>STP</w:t>
      </w:r>
      <w:r>
        <w:t>ed</w:t>
      </w:r>
      <w:proofErr w:type="spellEnd"/>
      <w:r w:rsidRPr="00DD6D26">
        <w:t>, the marginal benefit of a bigger automati</w:t>
      </w:r>
      <w:r>
        <w:t>z</w:t>
      </w:r>
      <w:r w:rsidRPr="00DD6D26">
        <w:t>ation is totally accessory compared to all the costs consecutive to a move to T+</w:t>
      </w:r>
      <w:proofErr w:type="gramStart"/>
      <w:r w:rsidRPr="00DD6D26">
        <w:t>1</w:t>
      </w:r>
      <w:proofErr w:type="gramEnd"/>
    </w:p>
    <w:permEnd w:id="78006216"/>
    <w:p w14:paraId="25446109" w14:textId="77777777" w:rsidR="00C5469A" w:rsidRDefault="00C5469A" w:rsidP="00C5469A">
      <w:r>
        <w:t>&lt;ESMA_QUESTION_SETT_11&gt;</w:t>
      </w:r>
    </w:p>
    <w:p w14:paraId="4B4B6D1C" w14:textId="77777777" w:rsidR="00C5469A" w:rsidRDefault="00C5469A" w:rsidP="00C5469A"/>
    <w:p w14:paraId="27A5B905" w14:textId="77777777" w:rsidR="00C5469A" w:rsidRDefault="00C5469A" w:rsidP="00C5469A">
      <w:pPr>
        <w:pStyle w:val="Questionstyle"/>
        <w:numPr>
          <w:ilvl w:val="0"/>
          <w:numId w:val="14"/>
        </w:numPr>
        <w:ind w:left="0"/>
      </w:pPr>
      <w:r>
        <w:t>: How do you assess the impact that a shorter settlement cycle could have on the liquidity for EU markets (from your perspective and for the market in general)? Please differentiate between T+1 and T+0 where possible.</w:t>
      </w:r>
    </w:p>
    <w:p w14:paraId="1BB7B33C" w14:textId="77777777" w:rsidR="00C5469A" w:rsidRDefault="00C5469A" w:rsidP="00C5469A">
      <w:r>
        <w:t>&lt;ESMA_QUESTION_SETT_12&gt;</w:t>
      </w:r>
    </w:p>
    <w:p w14:paraId="7163C409" w14:textId="5374FA2F" w:rsidR="00C5469A" w:rsidRPr="003676A0" w:rsidRDefault="003676A0" w:rsidP="00C5469A">
      <w:pPr>
        <w:rPr>
          <w:shd w:val="clear" w:color="auto" w:fill="FFFFFF"/>
          <w:lang w:val="en-US"/>
        </w:rPr>
      </w:pPr>
      <w:permStart w:id="27267923" w:edGrp="everyone"/>
      <w:r w:rsidRPr="00C903B6">
        <w:rPr>
          <w:shd w:val="clear" w:color="auto" w:fill="FFFFFF"/>
          <w:lang w:val="en-US"/>
        </w:rPr>
        <w:t>See answer to Q4.</w:t>
      </w:r>
    </w:p>
    <w:permEnd w:id="27267923"/>
    <w:p w14:paraId="1B6472CD" w14:textId="77777777" w:rsidR="00C5469A" w:rsidRDefault="00C5469A" w:rsidP="00C5469A">
      <w:r>
        <w:t>&lt;ESMA_QUESTION_SETT_12&gt;</w:t>
      </w:r>
    </w:p>
    <w:p w14:paraId="7794DABE" w14:textId="77777777" w:rsidR="00C5469A" w:rsidRDefault="00C5469A" w:rsidP="00C5469A"/>
    <w:p w14:paraId="249894AD" w14:textId="77777777" w:rsidR="00C5469A" w:rsidRDefault="00C5469A" w:rsidP="00C5469A">
      <w:pPr>
        <w:pStyle w:val="Questionstyle"/>
        <w:numPr>
          <w:ilvl w:val="0"/>
          <w:numId w:val="14"/>
        </w:numPr>
        <w:ind w:left="0"/>
      </w:pPr>
      <w:r>
        <w:t>: What would be the benefits for retail clients?</w:t>
      </w:r>
    </w:p>
    <w:p w14:paraId="0C8C68D3" w14:textId="77777777" w:rsidR="00C5469A" w:rsidRDefault="00C5469A" w:rsidP="00C5469A">
      <w:r>
        <w:t>&lt;ESMA_QUESTION_SETT_13&gt;</w:t>
      </w:r>
    </w:p>
    <w:p w14:paraId="019E0E12" w14:textId="5345146E" w:rsidR="00C5469A" w:rsidRPr="00645C94" w:rsidRDefault="00645C94" w:rsidP="00C5469A">
      <w:permStart w:id="75696228" w:edGrp="everyone"/>
      <w:r w:rsidRPr="00DD6D26">
        <w:t xml:space="preserve">We do not see any benefits for retail clients </w:t>
      </w:r>
      <w:r>
        <w:t>who</w:t>
      </w:r>
      <w:r w:rsidRPr="00DD6D26">
        <w:t xml:space="preserve"> are not concerned by settlement cycles. </w:t>
      </w:r>
      <w:r w:rsidRPr="00DD6D26">
        <w:rPr>
          <w:i/>
          <w:iCs/>
        </w:rPr>
        <w:t xml:space="preserve">A </w:t>
      </w:r>
      <w:proofErr w:type="spellStart"/>
      <w:r w:rsidRPr="00DD6D26">
        <w:rPr>
          <w:i/>
          <w:iCs/>
        </w:rPr>
        <w:t>contrario</w:t>
      </w:r>
      <w:proofErr w:type="spellEnd"/>
      <w:r w:rsidRPr="00DD6D26">
        <w:rPr>
          <w:i/>
          <w:iCs/>
        </w:rPr>
        <w:t>,</w:t>
      </w:r>
      <w:r w:rsidRPr="00DD6D26">
        <w:t xml:space="preserve"> this could have a reverse effect on retail clients since the high costs for investment firms to implement T+1 could have an impact on explicit costs of transactions</w:t>
      </w:r>
      <w:r w:rsidR="003676A0" w:rsidRPr="00C903B6">
        <w:rPr>
          <w:szCs w:val="22"/>
        </w:rPr>
        <w:t>.</w:t>
      </w:r>
    </w:p>
    <w:permEnd w:id="75696228"/>
    <w:p w14:paraId="278E6A7C" w14:textId="77777777" w:rsidR="00C5469A" w:rsidRDefault="00C5469A" w:rsidP="00C5469A">
      <w:r>
        <w:t>&lt;ESMA_QUESTION_SETT_13&gt;</w:t>
      </w:r>
    </w:p>
    <w:p w14:paraId="1D97D564" w14:textId="77777777" w:rsidR="00C5469A" w:rsidRDefault="00C5469A" w:rsidP="00C5469A"/>
    <w:p w14:paraId="64E22119" w14:textId="77777777" w:rsidR="00C5469A" w:rsidRDefault="00C5469A" w:rsidP="00C5469A">
      <w:pPr>
        <w:pStyle w:val="Questionstyle"/>
        <w:numPr>
          <w:ilvl w:val="0"/>
          <w:numId w:val="14"/>
        </w:numPr>
        <w:ind w:left="0"/>
      </w:pPr>
      <w:r>
        <w:t>: How would you weigh the benefits against the costs of moving to a shorter settlement cycle? Please differentiate between a potential move to T+1 and to T+0.</w:t>
      </w:r>
    </w:p>
    <w:p w14:paraId="521CB461" w14:textId="77777777" w:rsidR="00C5469A" w:rsidRDefault="00C5469A" w:rsidP="00C5469A">
      <w:r>
        <w:t>&lt;ESMA_QUESTION_SETT_14&gt;</w:t>
      </w:r>
    </w:p>
    <w:p w14:paraId="37E228F1" w14:textId="77777777" w:rsidR="00980770" w:rsidRDefault="00980770" w:rsidP="00C5469A">
      <w:pPr>
        <w:rPr>
          <w:lang w:val="en-US"/>
        </w:rPr>
      </w:pPr>
      <w:permStart w:id="1702320082" w:edGrp="everyone"/>
      <w:r w:rsidRPr="00DD6D26">
        <w:rPr>
          <w:lang w:val="en-US"/>
        </w:rPr>
        <w:t xml:space="preserve">As mentioned earlier we expect much more costs than benefits from a move to T+1. We also think that it is too early to make a precise analysis on costs and benefits because we lack information on how exactly the market will be structured and all </w:t>
      </w:r>
      <w:r>
        <w:rPr>
          <w:lang w:val="en-US"/>
        </w:rPr>
        <w:t>the</w:t>
      </w:r>
      <w:r w:rsidRPr="00DD6D26">
        <w:rPr>
          <w:lang w:val="en-US"/>
        </w:rPr>
        <w:t xml:space="preserve"> future impacts of the new settlement cycle are not anticipable </w:t>
      </w:r>
      <w:proofErr w:type="gramStart"/>
      <w:r w:rsidRPr="00DD6D26">
        <w:rPr>
          <w:lang w:val="en-US"/>
        </w:rPr>
        <w:t>yet</w:t>
      </w:r>
      <w:proofErr w:type="gramEnd"/>
    </w:p>
    <w:permEnd w:id="1702320082"/>
    <w:p w14:paraId="2CEAAEB1" w14:textId="2345628B" w:rsidR="00C5469A" w:rsidRDefault="00C5469A" w:rsidP="00C5469A">
      <w:r>
        <w:t>&lt;ESMA_QUESTION_SETT_14&gt;</w:t>
      </w:r>
    </w:p>
    <w:p w14:paraId="423C7BC4" w14:textId="77777777" w:rsidR="00C5469A" w:rsidRDefault="00C5469A" w:rsidP="00C5469A">
      <w:pPr>
        <w:pStyle w:val="Questionstyle"/>
        <w:numPr>
          <w:ilvl w:val="0"/>
          <w:numId w:val="14"/>
        </w:numPr>
        <w:ind w:left="0"/>
      </w:pPr>
      <w:r>
        <w:t>: Please describe the main steps that you would envisage to achieve an eventual shorter securities settlement cycle. In particular, specify: (i) the regulatory and industry milestones; and (ii) the time needed for each milestone and the proposed ultimate deadline.</w:t>
      </w:r>
    </w:p>
    <w:p w14:paraId="2564E246" w14:textId="77777777" w:rsidR="00C5469A" w:rsidRDefault="00C5469A" w:rsidP="00C5469A">
      <w:r>
        <w:lastRenderedPageBreak/>
        <w:t>&lt;ESMA_QUESTION_SETT_15&gt;</w:t>
      </w:r>
    </w:p>
    <w:p w14:paraId="2A4969A1" w14:textId="6C474592" w:rsidR="00C5469A" w:rsidRPr="003676A0" w:rsidRDefault="003676A0" w:rsidP="00C5469A">
      <w:pPr>
        <w:rPr>
          <w:szCs w:val="22"/>
          <w:lang w:val="en-US"/>
        </w:rPr>
      </w:pPr>
      <w:permStart w:id="1673478500" w:edGrp="everyone"/>
      <w:r w:rsidRPr="00C903B6">
        <w:rPr>
          <w:szCs w:val="22"/>
          <w:lang w:val="en-US"/>
        </w:rPr>
        <w:t>See our response to Q.16</w:t>
      </w:r>
    </w:p>
    <w:permEnd w:id="1673478500"/>
    <w:p w14:paraId="5D6602EE" w14:textId="77777777" w:rsidR="00C5469A" w:rsidRDefault="00C5469A" w:rsidP="00C5469A">
      <w:r>
        <w:t>&lt;ESMA_QUESTION_SETT_15&gt;</w:t>
      </w:r>
    </w:p>
    <w:p w14:paraId="2D8B3C34" w14:textId="77777777" w:rsidR="00C5469A" w:rsidRDefault="00C5469A" w:rsidP="00C5469A"/>
    <w:p w14:paraId="51916544" w14:textId="77777777" w:rsidR="00C5469A" w:rsidRDefault="00C5469A" w:rsidP="00C5469A">
      <w:pPr>
        <w:pStyle w:val="Questionstyle"/>
        <w:numPr>
          <w:ilvl w:val="0"/>
          <w:numId w:val="14"/>
        </w:numPr>
        <w:ind w:left="0"/>
      </w:pPr>
      <w:r>
        <w:t>: Assuming that the EU institutions would decide to shorten the securities settlement cycle in the EU, how long would you need to adapt to the new settlement cycle? And in the case of a move to T+0?</w:t>
      </w:r>
    </w:p>
    <w:p w14:paraId="51E6BB64" w14:textId="77777777" w:rsidR="00C5469A" w:rsidRDefault="00C5469A" w:rsidP="00C5469A">
      <w:r>
        <w:t>&lt;ESMA_QUESTION_SETT_16&gt;</w:t>
      </w:r>
    </w:p>
    <w:p w14:paraId="72C13DBE" w14:textId="77777777" w:rsidR="00FE367C" w:rsidRPr="00DD6D26" w:rsidRDefault="00FE367C" w:rsidP="00FE367C">
      <w:pPr>
        <w:rPr>
          <w:lang w:val="en-US"/>
        </w:rPr>
      </w:pPr>
      <w:permStart w:id="1134712045" w:edGrp="everyone"/>
      <w:r w:rsidRPr="00DD6D26">
        <w:rPr>
          <w:lang w:val="en-US"/>
        </w:rPr>
        <w:t xml:space="preserve">If a move to T+1 </w:t>
      </w:r>
      <w:proofErr w:type="gramStart"/>
      <w:r w:rsidRPr="00DD6D26">
        <w:rPr>
          <w:lang w:val="en-US"/>
        </w:rPr>
        <w:t>were</w:t>
      </w:r>
      <w:proofErr w:type="gramEnd"/>
      <w:r w:rsidRPr="00DD6D26">
        <w:rPr>
          <w:lang w:val="en-US"/>
        </w:rPr>
        <w:t xml:space="preserve"> decided, we would advocate for a close cooperation between EU policy bodies and market participants, including infrastructures. It is not possible to anticipate the timeframe of such a transition but, as stated above, it will be very complex. Therefore, it is not a question we are able to answer for now.  </w:t>
      </w:r>
    </w:p>
    <w:permEnd w:id="1134712045"/>
    <w:p w14:paraId="439B983B" w14:textId="77777777" w:rsidR="00C5469A" w:rsidRDefault="00C5469A" w:rsidP="00C5469A">
      <w:r>
        <w:t>&lt;ESMA_QUESTION_SETT_16&gt;</w:t>
      </w:r>
    </w:p>
    <w:p w14:paraId="432BDCE9" w14:textId="77777777" w:rsidR="00C5469A" w:rsidRDefault="00C5469A" w:rsidP="00C5469A"/>
    <w:p w14:paraId="04C6A972" w14:textId="77777777" w:rsidR="00C5469A" w:rsidRDefault="00C5469A" w:rsidP="00C5469A">
      <w:pPr>
        <w:pStyle w:val="Questionstyle"/>
        <w:numPr>
          <w:ilvl w:val="0"/>
          <w:numId w:val="14"/>
        </w:numPr>
        <w:ind w:left="0"/>
      </w:pPr>
      <w:r>
        <w:t>: Do you think that the CSDR scope of financial instruments is adequate for a shorter settlement cycle? If not, what would be in your views a more adequate scope?</w:t>
      </w:r>
    </w:p>
    <w:p w14:paraId="545F22E0" w14:textId="77777777" w:rsidR="00C5469A" w:rsidRDefault="00C5469A" w:rsidP="00C5469A">
      <w:r>
        <w:t>&lt;ESMA_QUESTION_SETT_17&gt;</w:t>
      </w:r>
    </w:p>
    <w:p w14:paraId="70EADA20" w14:textId="7F506984" w:rsidR="00FF3D19" w:rsidRPr="00DD6D26" w:rsidRDefault="009708CE" w:rsidP="00FF3D19">
      <w:pPr>
        <w:rPr>
          <w:lang w:val="en-US"/>
        </w:rPr>
      </w:pPr>
      <w:permStart w:id="1013345542" w:edGrp="everyone"/>
      <w:r w:rsidRPr="00DD6D26">
        <w:rPr>
          <w:lang w:val="en-US"/>
        </w:rPr>
        <w:t>AMAFI considers that T+1 implementation should be aligned with CSDR</w:t>
      </w:r>
      <w:r>
        <w:rPr>
          <w:lang w:val="en-US"/>
        </w:rPr>
        <w:t>’s</w:t>
      </w:r>
      <w:r w:rsidRPr="00DD6D26">
        <w:rPr>
          <w:lang w:val="en-US"/>
        </w:rPr>
        <w:t xml:space="preserve"> scope (paragraph 2 of article 5). In other words, each transaction executed on an EU trading venue and settling in a CSDR CSD when its underlying financial instrument is a transferable security (unlike what is written in point 44, the 3 other asset classes are out of scope) should be required to settle on T+</w:t>
      </w:r>
      <w:proofErr w:type="gramStart"/>
      <w:r w:rsidRPr="00DD6D26">
        <w:rPr>
          <w:lang w:val="en-US"/>
        </w:rPr>
        <w:t>1</w:t>
      </w:r>
      <w:proofErr w:type="gramEnd"/>
    </w:p>
    <w:permEnd w:id="1013345542"/>
    <w:p w14:paraId="381E1AF6" w14:textId="77777777" w:rsidR="00C5469A" w:rsidRDefault="00C5469A" w:rsidP="00C5469A">
      <w:r>
        <w:t>&lt;ESMA_QUESTION_SETT_17&gt;</w:t>
      </w:r>
    </w:p>
    <w:p w14:paraId="75FD333E" w14:textId="20661BD4" w:rsidR="00C5469A" w:rsidRDefault="00C5469A" w:rsidP="00C5469A"/>
    <w:p w14:paraId="0846611F" w14:textId="0F089238" w:rsidR="00C5469A" w:rsidRDefault="00C5469A" w:rsidP="00C5469A"/>
    <w:p w14:paraId="56DE2B69" w14:textId="24343669" w:rsidR="00C5469A" w:rsidRDefault="00C5469A" w:rsidP="00C5469A"/>
    <w:p w14:paraId="021816C4" w14:textId="77777777" w:rsidR="00C5469A" w:rsidRDefault="00C5469A" w:rsidP="00C5469A"/>
    <w:p w14:paraId="0DA3D699" w14:textId="77777777" w:rsidR="00C5469A" w:rsidRDefault="00C5469A" w:rsidP="00C5469A">
      <w:pPr>
        <w:pStyle w:val="Questionstyle"/>
        <w:numPr>
          <w:ilvl w:val="0"/>
          <w:numId w:val="14"/>
        </w:numPr>
        <w:ind w:left="0"/>
      </w:pPr>
      <w:r>
        <w:lastRenderedPageBreak/>
        <w:t>: Is it feasible to have different settlement cycles across different instruments? Which are the ones that would benefit most? Which least?</w:t>
      </w:r>
    </w:p>
    <w:p w14:paraId="616C75D6" w14:textId="77777777" w:rsidR="00C5469A" w:rsidRDefault="00C5469A" w:rsidP="00C5469A">
      <w:r>
        <w:t>&lt;ESMA_QUESTION_SETT_18&gt;</w:t>
      </w:r>
    </w:p>
    <w:p w14:paraId="18F16CCF" w14:textId="2D2B6342" w:rsidR="00C5469A" w:rsidRPr="003676A0" w:rsidRDefault="003676A0" w:rsidP="00C5469A">
      <w:pPr>
        <w:rPr>
          <w:szCs w:val="22"/>
          <w:lang w:val="en-US"/>
        </w:rPr>
      </w:pPr>
      <w:permStart w:id="254495919" w:edGrp="everyone"/>
      <w:r w:rsidRPr="00C903B6">
        <w:rPr>
          <w:szCs w:val="22"/>
          <w:lang w:val="en-US"/>
        </w:rPr>
        <w:t>This question seems</w:t>
      </w:r>
      <w:r>
        <w:rPr>
          <w:szCs w:val="22"/>
          <w:lang w:val="en-US"/>
        </w:rPr>
        <w:t xml:space="preserve"> irrelevant. </w:t>
      </w:r>
      <w:r w:rsidRPr="00C903B6">
        <w:rPr>
          <w:szCs w:val="22"/>
          <w:lang w:val="en-US"/>
        </w:rPr>
        <w:t>In fact, we already have different settlement cycles across different instruments.</w:t>
      </w:r>
    </w:p>
    <w:permEnd w:id="254495919"/>
    <w:p w14:paraId="00E8016B" w14:textId="77777777" w:rsidR="00C5469A" w:rsidRDefault="00C5469A" w:rsidP="00C5469A">
      <w:r>
        <w:t>&lt;ESMA_QUESTION_SETT_18&gt;</w:t>
      </w:r>
    </w:p>
    <w:p w14:paraId="5F8B0C88" w14:textId="77777777" w:rsidR="00C5469A" w:rsidRDefault="00C5469A" w:rsidP="00C5469A"/>
    <w:p w14:paraId="746CB31E" w14:textId="77777777" w:rsidR="00C5469A" w:rsidRDefault="00C5469A" w:rsidP="00C5469A">
      <w:pPr>
        <w:pStyle w:val="Questionstyle"/>
        <w:numPr>
          <w:ilvl w:val="0"/>
          <w:numId w:val="14"/>
        </w:numPr>
        <w:ind w:left="0"/>
      </w:pPr>
      <w:r>
        <w:t>: Which financial instruments/ transaction types are easier to migrate to a shorter settlement period in the EU capital markets? Does the answer differ by asset class? Should it be feasible/advisable to have different migration times for different products/markets/assets? If yes, please elaborate.</w:t>
      </w:r>
    </w:p>
    <w:p w14:paraId="092078EB" w14:textId="77777777" w:rsidR="00C5469A" w:rsidRDefault="00C5469A" w:rsidP="00C5469A">
      <w:r>
        <w:t>&lt;ESMA_QUESTION_SETT_19&gt;</w:t>
      </w:r>
    </w:p>
    <w:p w14:paraId="3DCB7BF4" w14:textId="6CB273EB" w:rsidR="00C5469A" w:rsidRPr="003676A0" w:rsidRDefault="003676A0" w:rsidP="00C5469A">
      <w:pPr>
        <w:rPr>
          <w:szCs w:val="22"/>
          <w:lang w:val="en-US"/>
        </w:rPr>
      </w:pPr>
      <w:permStart w:id="1982605857" w:edGrp="everyone"/>
      <w:r w:rsidRPr="00C903B6">
        <w:rPr>
          <w:szCs w:val="22"/>
          <w:lang w:val="en-US"/>
        </w:rPr>
        <w:t>See our response to Q.17 and 18.</w:t>
      </w:r>
    </w:p>
    <w:permEnd w:id="1982605857"/>
    <w:p w14:paraId="425F1C67" w14:textId="77777777" w:rsidR="00C5469A" w:rsidRDefault="00C5469A" w:rsidP="00C5469A">
      <w:r>
        <w:t>&lt;ESMA_QUESTION_SETT_19&gt;</w:t>
      </w:r>
    </w:p>
    <w:p w14:paraId="55D17050" w14:textId="77777777" w:rsidR="00C5469A" w:rsidRDefault="00C5469A" w:rsidP="00C5469A"/>
    <w:p w14:paraId="5ECE7F2F" w14:textId="77777777" w:rsidR="00C5469A" w:rsidRDefault="00C5469A" w:rsidP="00C5469A">
      <w:pPr>
        <w:pStyle w:val="Questionstyle"/>
        <w:numPr>
          <w:ilvl w:val="0"/>
          <w:numId w:val="14"/>
        </w:numPr>
        <w:ind w:left="0"/>
      </w:pPr>
      <w:r>
        <w:t>: Do you think that the settlement cycle for transactions currently excluded by Article 5 of CSDR should be regulated? If you think that the settlement cycle of some or all of these transactions should be regulated, what would be in your view an appropriate length for their settlement cycle?</w:t>
      </w:r>
    </w:p>
    <w:p w14:paraId="32F20AE9" w14:textId="77777777" w:rsidR="00C5469A" w:rsidRDefault="00C5469A" w:rsidP="00C5469A">
      <w:r>
        <w:t>&lt;ESMA_QUESTION_SETT_20&gt;</w:t>
      </w:r>
    </w:p>
    <w:p w14:paraId="0A996883" w14:textId="1C5D4795" w:rsidR="00C5469A" w:rsidRPr="003676A0" w:rsidRDefault="003676A0" w:rsidP="00C5469A">
      <w:pPr>
        <w:rPr>
          <w:szCs w:val="22"/>
        </w:rPr>
      </w:pPr>
      <w:permStart w:id="558774206" w:edGrp="everyone"/>
      <w:r w:rsidRPr="00C903B6">
        <w:rPr>
          <w:szCs w:val="22"/>
        </w:rPr>
        <w:t>No</w:t>
      </w:r>
      <w:r>
        <w:rPr>
          <w:szCs w:val="22"/>
        </w:rPr>
        <w:t>.</w:t>
      </w:r>
      <w:r w:rsidRPr="00C903B6">
        <w:rPr>
          <w:szCs w:val="22"/>
        </w:rPr>
        <w:t xml:space="preserve"> </w:t>
      </w:r>
      <w:r>
        <w:rPr>
          <w:szCs w:val="22"/>
        </w:rPr>
        <w:t>The rules for transactions currently excluded by art. 5 of CSDR should not be modified even if the settlement cycle is shortened.</w:t>
      </w:r>
    </w:p>
    <w:permEnd w:id="558774206"/>
    <w:p w14:paraId="3A4B113A" w14:textId="77777777" w:rsidR="00C5469A" w:rsidRDefault="00C5469A" w:rsidP="00C5469A">
      <w:r>
        <w:t>&lt;ESMA_QUESTION_SETT_20&gt;</w:t>
      </w:r>
    </w:p>
    <w:p w14:paraId="6CE0BB47" w14:textId="31BA3366" w:rsidR="00C5469A" w:rsidRDefault="00C5469A" w:rsidP="00C5469A"/>
    <w:p w14:paraId="4F52A1CD" w14:textId="301615D5" w:rsidR="00C5469A" w:rsidRDefault="00C5469A" w:rsidP="00C5469A"/>
    <w:p w14:paraId="5A50567B" w14:textId="57129F2C" w:rsidR="00C5469A" w:rsidRDefault="00C5469A" w:rsidP="00C5469A"/>
    <w:p w14:paraId="007149CF" w14:textId="77777777" w:rsidR="00C5469A" w:rsidRDefault="00C5469A" w:rsidP="00C5469A"/>
    <w:p w14:paraId="047D9180" w14:textId="77777777" w:rsidR="00C5469A" w:rsidRDefault="00C5469A" w:rsidP="00C5469A">
      <w:pPr>
        <w:pStyle w:val="Questionstyle"/>
        <w:numPr>
          <w:ilvl w:val="0"/>
          <w:numId w:val="14"/>
        </w:numPr>
        <w:ind w:left="0"/>
      </w:pPr>
      <w:r>
        <w:t>: Please describe the impact(s) that the transition to T+1 in other jurisdictions has had or will have on your operations, assuming the EU remains on a T+2 cycle.</w:t>
      </w:r>
    </w:p>
    <w:p w14:paraId="604394F8" w14:textId="77777777" w:rsidR="00C5469A" w:rsidRDefault="00C5469A" w:rsidP="00C5469A">
      <w:r>
        <w:t>&lt;ESMA_QUESTION_SETT_21&gt;</w:t>
      </w:r>
    </w:p>
    <w:p w14:paraId="1BB6D426" w14:textId="68AF99D9" w:rsidR="00C5469A" w:rsidRPr="003676A0" w:rsidRDefault="0054718C" w:rsidP="00C5469A">
      <w:pPr>
        <w:rPr>
          <w:szCs w:val="22"/>
          <w:lang w:val="en-US"/>
        </w:rPr>
      </w:pPr>
      <w:permStart w:id="6054277" w:edGrp="everyone"/>
      <w:r w:rsidRPr="00DD6D26">
        <w:rPr>
          <w:lang w:val="en-US"/>
        </w:rPr>
        <w:t>AMAFI considers that T+1 implementation should be aligned with CSDR</w:t>
      </w:r>
      <w:r>
        <w:rPr>
          <w:lang w:val="en-US"/>
        </w:rPr>
        <w:t>’s</w:t>
      </w:r>
      <w:r w:rsidRPr="00DD6D26">
        <w:rPr>
          <w:lang w:val="en-US"/>
        </w:rPr>
        <w:t xml:space="preserve"> scope (paragraph 2 of article 5). In other words, each transaction executed on an EU trading venue and settling in a CSDR CSD when its underlying financial instrument is a transferable security (unlike what is written in point 44, the 3 other asset classes are out of scope) should be required to settle on T+</w:t>
      </w:r>
      <w:proofErr w:type="gramStart"/>
      <w:r w:rsidRPr="00DD6D26">
        <w:rPr>
          <w:lang w:val="en-US"/>
        </w:rPr>
        <w:t>1</w:t>
      </w:r>
      <w:proofErr w:type="gramEnd"/>
    </w:p>
    <w:permEnd w:id="6054277"/>
    <w:p w14:paraId="4FF5786A" w14:textId="77777777" w:rsidR="00C5469A" w:rsidRDefault="00C5469A" w:rsidP="00C5469A">
      <w:r>
        <w:t>&lt;ESMA_QUESTION_SETT_21&gt;</w:t>
      </w:r>
    </w:p>
    <w:p w14:paraId="171966B5" w14:textId="77777777" w:rsidR="00C5469A" w:rsidRDefault="00C5469A" w:rsidP="00C5469A"/>
    <w:p w14:paraId="4485EC52" w14:textId="77777777" w:rsidR="00C5469A" w:rsidRDefault="00C5469A" w:rsidP="00C5469A">
      <w:pPr>
        <w:pStyle w:val="Questionstyle"/>
        <w:numPr>
          <w:ilvl w:val="0"/>
          <w:numId w:val="14"/>
        </w:numPr>
        <w:ind w:left="0"/>
      </w:pPr>
      <w:r>
        <w:t>: Can you identify any EU legislative or regulatory action that would reduce the impact of the move to T+1 in third countries for EU market participants? Please specify the content of the regulatory action and justify why it would be necessary. In particular, please clarify whether those regulatory actions would be necessary in the event of a transition of the EU to a shorter settlement cycle, or they would be specific only to address the misaligned cycles.</w:t>
      </w:r>
    </w:p>
    <w:p w14:paraId="60C7D2F7" w14:textId="77777777" w:rsidR="00C5469A" w:rsidRDefault="00C5469A" w:rsidP="00C5469A">
      <w:r>
        <w:t>&lt;ESMA_QUESTION_SETT_22&gt;</w:t>
      </w:r>
    </w:p>
    <w:p w14:paraId="6CF52B04" w14:textId="49DB6747" w:rsidR="00C5469A" w:rsidRDefault="003676A0" w:rsidP="00C5469A">
      <w:permStart w:id="1778254877" w:edGrp="everyone"/>
      <w:r w:rsidRPr="00C903B6">
        <w:rPr>
          <w:rFonts w:eastAsia="Calibri"/>
          <w:szCs w:val="22"/>
          <w:lang w:val="en-US"/>
        </w:rPr>
        <w:t xml:space="preserve">We do not have an opinion on this </w:t>
      </w:r>
      <w:proofErr w:type="gramStart"/>
      <w:r w:rsidRPr="00C903B6">
        <w:rPr>
          <w:rFonts w:eastAsia="Calibri"/>
          <w:szCs w:val="22"/>
          <w:lang w:val="en-US"/>
        </w:rPr>
        <w:t>question</w:t>
      </w:r>
      <w:proofErr w:type="gramEnd"/>
    </w:p>
    <w:permEnd w:id="1778254877"/>
    <w:p w14:paraId="148017C4" w14:textId="77777777" w:rsidR="00C5469A" w:rsidRDefault="00C5469A" w:rsidP="00C5469A">
      <w:r>
        <w:t>&lt;ESMA_QUESTION_SETT_22&gt;</w:t>
      </w:r>
    </w:p>
    <w:p w14:paraId="111C6F7B" w14:textId="77777777" w:rsidR="00C5469A" w:rsidRDefault="00C5469A" w:rsidP="00C5469A"/>
    <w:p w14:paraId="0AED7AC8" w14:textId="77777777" w:rsidR="00C5469A" w:rsidRDefault="00C5469A" w:rsidP="00C5469A">
      <w:pPr>
        <w:pStyle w:val="Questionstyle"/>
        <w:numPr>
          <w:ilvl w:val="0"/>
          <w:numId w:val="14"/>
        </w:numPr>
        <w:ind w:left="142"/>
      </w:pPr>
      <w:r>
        <w:t>: Do you see benefits in the harmonisation of settlement cycles with other non-EU jurisdictions?</w:t>
      </w:r>
    </w:p>
    <w:p w14:paraId="538C0DDE" w14:textId="77777777" w:rsidR="00C5469A" w:rsidRDefault="00C5469A" w:rsidP="00C5469A">
      <w:r>
        <w:t>&lt;ESMA_QUESTION_SETT_23&gt;</w:t>
      </w:r>
    </w:p>
    <w:p w14:paraId="3EFCD4DE" w14:textId="3469E5B4" w:rsidR="00C5469A" w:rsidRPr="0076578A" w:rsidRDefault="0076578A" w:rsidP="00C5469A">
      <w:pPr>
        <w:rPr>
          <w:rFonts w:eastAsia="Calibri"/>
          <w:lang w:val="en-US"/>
        </w:rPr>
      </w:pPr>
      <w:permStart w:id="1174998131" w:edGrp="everyone"/>
      <w:r w:rsidRPr="00DD6D26">
        <w:rPr>
          <w:rFonts w:eastAsia="Calibri"/>
          <w:lang w:val="en-US"/>
        </w:rPr>
        <w:t xml:space="preserve">From a theoretical point of view, AMAFI considers that a global harmonization could be welcome. But, as a first step, we would suggest harmonizing </w:t>
      </w:r>
      <w:r w:rsidRPr="00DD6D26">
        <w:t xml:space="preserve">the European market (operationally with CSDs, currencies, CCPs and then on a regulatory standpoint). </w:t>
      </w:r>
    </w:p>
    <w:permEnd w:id="1174998131"/>
    <w:p w14:paraId="047F0C9D" w14:textId="77777777" w:rsidR="00C5469A" w:rsidRDefault="00C5469A" w:rsidP="00C5469A">
      <w:r>
        <w:t>&lt;ESMA_QUESTION_SETT_23&gt;</w:t>
      </w:r>
    </w:p>
    <w:p w14:paraId="19138CD9" w14:textId="7D5E3157" w:rsidR="00C5469A" w:rsidRDefault="00C5469A" w:rsidP="00C5469A"/>
    <w:p w14:paraId="2197C700" w14:textId="56BA1028" w:rsidR="00C5469A" w:rsidRDefault="00C5469A" w:rsidP="00C5469A"/>
    <w:p w14:paraId="3B0AC179" w14:textId="26AD0ADC" w:rsidR="00C5469A" w:rsidRDefault="00C5469A" w:rsidP="00C5469A"/>
    <w:p w14:paraId="578673D6" w14:textId="77777777" w:rsidR="00C5469A" w:rsidRDefault="00C5469A" w:rsidP="00C5469A"/>
    <w:p w14:paraId="1E0F21F2" w14:textId="77777777" w:rsidR="00C5469A" w:rsidRDefault="00C5469A" w:rsidP="00C5469A">
      <w:pPr>
        <w:pStyle w:val="Questionstyle"/>
        <w:numPr>
          <w:ilvl w:val="0"/>
          <w:numId w:val="14"/>
        </w:numPr>
        <w:ind w:left="0"/>
      </w:pPr>
      <w:r>
        <w:t>: Would reducing the settlement cycle bring any other indirect benefits to the Capital Markets Union and the EU's position internationally?</w:t>
      </w:r>
    </w:p>
    <w:p w14:paraId="459614D5" w14:textId="77777777" w:rsidR="00C5469A" w:rsidRDefault="00C5469A" w:rsidP="00C5469A">
      <w:r>
        <w:t>&lt;ESMA_QUESTION_SETT_24&gt;</w:t>
      </w:r>
    </w:p>
    <w:p w14:paraId="2ADC22A8" w14:textId="22893D38" w:rsidR="003312B8" w:rsidRPr="00DD6D26" w:rsidRDefault="003312B8" w:rsidP="003312B8">
      <w:pPr>
        <w:rPr>
          <w:lang w:val="en-US"/>
        </w:rPr>
      </w:pPr>
      <w:permStart w:id="2138049322" w:edGrp="everyone"/>
      <w:r w:rsidRPr="00DD6D26">
        <w:rPr>
          <w:lang w:val="en-US"/>
        </w:rPr>
        <w:t xml:space="preserve">No. We fully support the Capital Markets Union with the objective of developing the European economy and </w:t>
      </w:r>
      <w:r>
        <w:rPr>
          <w:lang w:val="en-US"/>
        </w:rPr>
        <w:t>securing</w:t>
      </w:r>
      <w:r w:rsidRPr="00DD6D26">
        <w:rPr>
          <w:lang w:val="en-US"/>
        </w:rPr>
        <w:t xml:space="preserve"> the retirement of European citizens. AMAFI considers that the reduction of the settlement cycle is not a criterion on which an issuer would rely to raise capital to develop its activities in Europe. </w:t>
      </w:r>
    </w:p>
    <w:p w14:paraId="23B400A3" w14:textId="7F3026B8" w:rsidR="003312B8" w:rsidRPr="00DD6D26" w:rsidRDefault="003312B8" w:rsidP="003312B8">
      <w:pPr>
        <w:rPr>
          <w:lang w:val="en-US"/>
        </w:rPr>
      </w:pPr>
      <w:r w:rsidRPr="00DD6D26">
        <w:rPr>
          <w:lang w:val="en-US"/>
        </w:rPr>
        <w:t>As indicated in the answers to the previous questions, shortening the settlement cycle will require considerable resources both from the legislator and, above all, from financial market participants (investment firms, market infrastructures and even T2S systems) for very little expected benefit.</w:t>
      </w:r>
    </w:p>
    <w:p w14:paraId="29AA1A01" w14:textId="78B25CF6" w:rsidR="00C5469A" w:rsidRPr="003312B8" w:rsidRDefault="003312B8" w:rsidP="003312B8">
      <w:pPr>
        <w:rPr>
          <w:lang w:val="en-US"/>
        </w:rPr>
      </w:pPr>
      <w:r w:rsidRPr="00DD6D26">
        <w:rPr>
          <w:lang w:val="en-US"/>
        </w:rPr>
        <w:t xml:space="preserve">These resources could be put to better use to achieve the CMU's objectives in areas such as financial education, financing the economy and environmental issues. </w:t>
      </w:r>
    </w:p>
    <w:permEnd w:id="2138049322"/>
    <w:p w14:paraId="7DB45E0B" w14:textId="77777777" w:rsidR="00C5469A" w:rsidRDefault="00C5469A" w:rsidP="00C5469A">
      <w:r>
        <w:t>&lt;ESMA_QUESTION_SETT_24&gt;</w:t>
      </w:r>
    </w:p>
    <w:p w14:paraId="0B88C95B" w14:textId="77777777" w:rsidR="00C5469A" w:rsidRDefault="00C5469A" w:rsidP="00C5469A"/>
    <w:p w14:paraId="19A15731" w14:textId="77777777" w:rsidR="00C5469A" w:rsidRDefault="00C5469A" w:rsidP="00C5469A">
      <w:pPr>
        <w:pStyle w:val="Questionstyle"/>
        <w:numPr>
          <w:ilvl w:val="0"/>
          <w:numId w:val="14"/>
        </w:numPr>
        <w:ind w:left="0"/>
      </w:pPr>
      <w:r>
        <w:t>: Do you consider that the adaptation of EU market participants to the shorter settlement cycles in other jurisdictions could facilitate the adoption of T+1 or T+0 in the EU? Please elaborate.</w:t>
      </w:r>
    </w:p>
    <w:p w14:paraId="5D9AAFF1" w14:textId="77777777" w:rsidR="00C5469A" w:rsidRDefault="00C5469A" w:rsidP="00C5469A">
      <w:r>
        <w:t>&lt;ESMA_QUESTION_SETT_25&gt;</w:t>
      </w:r>
    </w:p>
    <w:p w14:paraId="125C92C9" w14:textId="4EEF3BEA" w:rsidR="00C5469A" w:rsidRPr="003676A0" w:rsidRDefault="00297941" w:rsidP="00C5469A">
      <w:pPr>
        <w:rPr>
          <w:szCs w:val="22"/>
          <w:lang w:val="en-US"/>
        </w:rPr>
      </w:pPr>
      <w:permStart w:id="1765815298" w:edGrp="everyone"/>
      <w:r w:rsidRPr="00DD6D26">
        <w:rPr>
          <w:lang w:val="en-US"/>
        </w:rPr>
        <w:t xml:space="preserve">We consider that the formulation of the question is irrelevant. The decision of transitioning to T+1 in Europe should not be based on the consequences of such decision in other jurisdictions but mainly rely on European markets competitivity. This decision should be based on actual cost/benefits </w:t>
      </w:r>
      <w:proofErr w:type="gramStart"/>
      <w:r w:rsidRPr="00DD6D26">
        <w:rPr>
          <w:lang w:val="en-US"/>
        </w:rPr>
        <w:t>analysis</w:t>
      </w:r>
      <w:proofErr w:type="gramEnd"/>
    </w:p>
    <w:permEnd w:id="1765815298"/>
    <w:p w14:paraId="0477E185" w14:textId="77777777" w:rsidR="00C5469A" w:rsidRDefault="00C5469A" w:rsidP="00C5469A">
      <w:r>
        <w:t>&lt;ESMA_QUESTION_SETT_25&gt;</w:t>
      </w:r>
    </w:p>
    <w:p w14:paraId="06135D26" w14:textId="77777777" w:rsidR="00C5469A" w:rsidRDefault="00C5469A" w:rsidP="00C5469A"/>
    <w:p w14:paraId="2FE92644" w14:textId="77777777" w:rsidR="00C5469A" w:rsidRDefault="00C5469A" w:rsidP="00C5469A">
      <w:pPr>
        <w:pStyle w:val="Questionstyle"/>
        <w:numPr>
          <w:ilvl w:val="0"/>
          <w:numId w:val="14"/>
        </w:numPr>
        <w:ind w:left="0"/>
      </w:pPr>
      <w:r>
        <w:t>: Would different settlement cycles in the EU and other non-EU jurisdictions be a viable option?</w:t>
      </w:r>
    </w:p>
    <w:p w14:paraId="1E6DBFAB" w14:textId="77777777" w:rsidR="00C5469A" w:rsidRDefault="00C5469A" w:rsidP="00C5469A">
      <w:r>
        <w:t>&lt;ESMA_QUESTION_SETT_26&gt;</w:t>
      </w:r>
    </w:p>
    <w:p w14:paraId="735EC91A" w14:textId="217C7C47" w:rsidR="00C5469A" w:rsidRPr="00375833" w:rsidRDefault="00375833" w:rsidP="00C5469A">
      <w:permStart w:id="1934034529" w:edGrp="everyone"/>
      <w:r w:rsidRPr="00DD6D26">
        <w:t xml:space="preserve">Of course, this scenario is not optimal, but we do not anticipate that it would be so detrimental that Europe would have to rush to T+1. It must also be reminded that discrepancy between EU and US on settlement date has occurred in the past without major inconveniencies. EU adopted a T+2 settlement in 2014 cycle while the US market continued to stay on a T+3 settlement cycle until 2017. </w:t>
      </w:r>
    </w:p>
    <w:permEnd w:id="1934034529"/>
    <w:p w14:paraId="1655DD50" w14:textId="77777777" w:rsidR="00C5469A" w:rsidRDefault="00C5469A" w:rsidP="00C5469A">
      <w:r>
        <w:t>&lt;ESMA_QUESTION_SETT_26&gt;</w:t>
      </w:r>
    </w:p>
    <w:p w14:paraId="77180B12" w14:textId="77777777" w:rsidR="00C5469A" w:rsidRDefault="00C5469A" w:rsidP="00C5469A"/>
    <w:p w14:paraId="706D968A" w14:textId="77777777" w:rsidR="00C5469A" w:rsidRDefault="00C5469A" w:rsidP="00C5469A">
      <w:pPr>
        <w:pStyle w:val="Questionstyle"/>
        <w:numPr>
          <w:ilvl w:val="0"/>
          <w:numId w:val="14"/>
        </w:numPr>
        <w:ind w:left="0"/>
      </w:pPr>
      <w:r>
        <w:t>: Please elaborate about any other issue in relation to the shortening of the securities settlement cycle in the EU or in third-country jurisdictions not previously addressed in the Call for Evidence.</w:t>
      </w:r>
    </w:p>
    <w:p w14:paraId="373526A4" w14:textId="77777777" w:rsidR="00C5469A" w:rsidRDefault="00C5469A" w:rsidP="00C5469A">
      <w:r>
        <w:t>&lt;ESMA_QUESTION_SETT_27&gt;</w:t>
      </w:r>
    </w:p>
    <w:p w14:paraId="0D183AD2" w14:textId="530FDDB3" w:rsidR="00C5469A" w:rsidRDefault="003676A0" w:rsidP="00C5469A">
      <w:pPr>
        <w:rPr>
          <w:szCs w:val="22"/>
        </w:rPr>
      </w:pPr>
      <w:permStart w:id="1617899118" w:edGrp="everyone"/>
      <w:r w:rsidRPr="00924A25">
        <w:rPr>
          <w:szCs w:val="22"/>
        </w:rPr>
        <w:t xml:space="preserve">Please refer </w:t>
      </w:r>
      <w:r w:rsidR="00874F02">
        <w:rPr>
          <w:szCs w:val="22"/>
        </w:rPr>
        <w:t>to our r</w:t>
      </w:r>
      <w:r w:rsidRPr="00924A25">
        <w:rPr>
          <w:szCs w:val="22"/>
        </w:rPr>
        <w:t>esponses above</w:t>
      </w:r>
      <w:r w:rsidR="00874F02">
        <w:rPr>
          <w:szCs w:val="22"/>
        </w:rPr>
        <w:t xml:space="preserve"> and to the following general comments that we would like to stress as a </w:t>
      </w:r>
      <w:proofErr w:type="gramStart"/>
      <w:r w:rsidR="00874F02">
        <w:rPr>
          <w:szCs w:val="22"/>
        </w:rPr>
        <w:t>conclusion :</w:t>
      </w:r>
      <w:proofErr w:type="gramEnd"/>
      <w:r w:rsidR="00874F02">
        <w:rPr>
          <w:szCs w:val="22"/>
        </w:rPr>
        <w:t xml:space="preserve"> </w:t>
      </w:r>
    </w:p>
    <w:p w14:paraId="1334EB4D" w14:textId="4D12246B" w:rsidR="00177379" w:rsidRPr="00177379" w:rsidRDefault="00177379" w:rsidP="00177379">
      <w:pPr>
        <w:pStyle w:val="Paragraphedeliste"/>
        <w:numPr>
          <w:ilvl w:val="0"/>
          <w:numId w:val="22"/>
        </w:numPr>
        <w:spacing w:after="0" w:line="240" w:lineRule="auto"/>
        <w:ind w:left="426" w:right="102" w:hanging="425"/>
        <w:rPr>
          <w:szCs w:val="18"/>
          <w:lang w:val="en-US"/>
        </w:rPr>
      </w:pPr>
      <w:r w:rsidRPr="00DD6D26">
        <w:rPr>
          <w:szCs w:val="18"/>
          <w:lang w:val="en-US"/>
        </w:rPr>
        <w:t xml:space="preserve">We consider that the transition to T.0 would imply a technological change (DLT) that we believe is unattainable in the medium or even long term. For this reason, we have not studied this scenario. </w:t>
      </w:r>
    </w:p>
    <w:p w14:paraId="095E7E6C" w14:textId="583C7CCD" w:rsidR="00177379" w:rsidRPr="00177379" w:rsidRDefault="00177379" w:rsidP="00177379">
      <w:pPr>
        <w:pStyle w:val="Paragraphedeliste"/>
        <w:numPr>
          <w:ilvl w:val="0"/>
          <w:numId w:val="22"/>
        </w:numPr>
        <w:spacing w:after="0" w:line="240" w:lineRule="auto"/>
        <w:ind w:left="426" w:right="102" w:hanging="425"/>
        <w:rPr>
          <w:szCs w:val="18"/>
          <w:lang w:val="en-US"/>
        </w:rPr>
      </w:pPr>
      <w:r w:rsidRPr="00DD6D26">
        <w:rPr>
          <w:szCs w:val="18"/>
          <w:lang w:val="en-US"/>
        </w:rPr>
        <w:t xml:space="preserve">We </w:t>
      </w:r>
      <w:r>
        <w:rPr>
          <w:szCs w:val="18"/>
          <w:lang w:val="en-US"/>
        </w:rPr>
        <w:t>strongly</w:t>
      </w:r>
      <w:r w:rsidRPr="00DD6D26">
        <w:rPr>
          <w:szCs w:val="18"/>
          <w:lang w:val="en-US"/>
        </w:rPr>
        <w:t xml:space="preserve"> believe that in a purely European context, there is no advantage in moving to T+1. However, we must consider the international environment and the attractiveness of European markets. Yet, in our opinion, Europe's attractiveness does not depend on settlement/delivery timeframe. Indeed, there is no evidence that an issuer relies solely on settlement/delivery timeframe to raise capital </w:t>
      </w:r>
      <w:proofErr w:type="gramStart"/>
      <w:r w:rsidRPr="00DD6D26">
        <w:rPr>
          <w:szCs w:val="18"/>
          <w:lang w:val="en-US"/>
        </w:rPr>
        <w:t>in a given</w:t>
      </w:r>
      <w:proofErr w:type="gramEnd"/>
      <w:r w:rsidRPr="00DD6D26">
        <w:rPr>
          <w:szCs w:val="18"/>
          <w:lang w:val="en-US"/>
        </w:rPr>
        <w:t xml:space="preserve"> jurisdiction. Moreover, it should be assessed whether </w:t>
      </w:r>
      <w:r>
        <w:rPr>
          <w:szCs w:val="18"/>
          <w:lang w:val="en-US"/>
        </w:rPr>
        <w:t>maintaining</w:t>
      </w:r>
      <w:r w:rsidRPr="00DD6D26">
        <w:rPr>
          <w:szCs w:val="18"/>
          <w:lang w:val="en-US"/>
        </w:rPr>
        <w:t xml:space="preserve"> a T+2 settlement cycle could present some advantage</w:t>
      </w:r>
      <w:r>
        <w:rPr>
          <w:szCs w:val="18"/>
          <w:lang w:val="en-US"/>
        </w:rPr>
        <w:t>s</w:t>
      </w:r>
      <w:r w:rsidRPr="00DD6D26">
        <w:rPr>
          <w:szCs w:val="18"/>
          <w:lang w:val="en-US"/>
        </w:rPr>
        <w:t xml:space="preserve"> for the EU market</w:t>
      </w:r>
      <w:r>
        <w:rPr>
          <w:szCs w:val="18"/>
          <w:lang w:val="en-US"/>
        </w:rPr>
        <w:t xml:space="preserve"> in terms of </w:t>
      </w:r>
      <w:r w:rsidRPr="00DD6D26">
        <w:rPr>
          <w:szCs w:val="18"/>
          <w:lang w:val="en-US"/>
        </w:rPr>
        <w:t>attractiveness (notably for Asian investors</w:t>
      </w:r>
      <w:r w:rsidR="00035CE0">
        <w:rPr>
          <w:szCs w:val="18"/>
          <w:lang w:val="en-US"/>
        </w:rPr>
        <w:t xml:space="preserve"> due to time zone difference</w:t>
      </w:r>
      <w:r w:rsidRPr="00DD6D26">
        <w:rPr>
          <w:szCs w:val="18"/>
          <w:lang w:val="en-US"/>
        </w:rPr>
        <w:t xml:space="preserve">). </w:t>
      </w:r>
    </w:p>
    <w:p w14:paraId="61827C18" w14:textId="3A7DC34B" w:rsidR="00177379" w:rsidRPr="00177379" w:rsidRDefault="00177379" w:rsidP="00177379">
      <w:pPr>
        <w:pStyle w:val="Paragraphedeliste"/>
        <w:numPr>
          <w:ilvl w:val="0"/>
          <w:numId w:val="22"/>
        </w:numPr>
        <w:spacing w:after="0" w:line="240" w:lineRule="auto"/>
        <w:ind w:left="426" w:right="102" w:hanging="425"/>
        <w:rPr>
          <w:szCs w:val="18"/>
          <w:lang w:val="en-US"/>
        </w:rPr>
      </w:pPr>
      <w:r w:rsidRPr="00DD6D26">
        <w:rPr>
          <w:szCs w:val="18"/>
          <w:lang w:val="en-US"/>
        </w:rPr>
        <w:t xml:space="preserve">The move to T+1 in Europe will require a radical change </w:t>
      </w:r>
      <w:r>
        <w:rPr>
          <w:szCs w:val="18"/>
          <w:lang w:val="en-US"/>
        </w:rPr>
        <w:t>from</w:t>
      </w:r>
      <w:r w:rsidRPr="00DD6D26">
        <w:rPr>
          <w:szCs w:val="18"/>
          <w:lang w:val="en-US"/>
        </w:rPr>
        <w:t xml:space="preserve"> EU market participants including market infrastructures (trading venues, CCPs, settlement and payment systems). For these reasons, the move from T+2 to T+1 cannot be compared to the previous move from T+3 to T+2. </w:t>
      </w:r>
    </w:p>
    <w:p w14:paraId="4BFB2F1E" w14:textId="66E92EC1" w:rsidR="00177379" w:rsidRPr="00177379" w:rsidRDefault="00177379" w:rsidP="00177379">
      <w:pPr>
        <w:pStyle w:val="Paragraphedeliste"/>
        <w:numPr>
          <w:ilvl w:val="0"/>
          <w:numId w:val="22"/>
        </w:numPr>
        <w:spacing w:after="0" w:line="240" w:lineRule="auto"/>
        <w:ind w:left="426" w:right="102" w:hanging="425"/>
        <w:rPr>
          <w:szCs w:val="18"/>
          <w:lang w:val="en-US"/>
        </w:rPr>
      </w:pPr>
      <w:r w:rsidRPr="00DD6D26">
        <w:rPr>
          <w:szCs w:val="18"/>
          <w:lang w:val="en-US"/>
        </w:rPr>
        <w:t xml:space="preserve">This radical change will demand considerable resources while these resources could probably be better used for instance to achieve the UMC (investing in financial education, in financing the European economy or in addressing environmental issues…). </w:t>
      </w:r>
    </w:p>
    <w:p w14:paraId="3025EFAD" w14:textId="303AC87B" w:rsidR="00177379" w:rsidRPr="00177379" w:rsidRDefault="00177379" w:rsidP="00177379">
      <w:pPr>
        <w:pStyle w:val="Paragraphedeliste"/>
        <w:numPr>
          <w:ilvl w:val="0"/>
          <w:numId w:val="22"/>
        </w:numPr>
        <w:spacing w:after="0" w:line="240" w:lineRule="auto"/>
        <w:ind w:left="426" w:right="102" w:hanging="425"/>
        <w:rPr>
          <w:szCs w:val="20"/>
          <w:lang w:val="en-US"/>
        </w:rPr>
      </w:pPr>
      <w:r w:rsidRPr="00DD6D26">
        <w:rPr>
          <w:szCs w:val="18"/>
          <w:lang w:val="en-US"/>
        </w:rPr>
        <w:lastRenderedPageBreak/>
        <w:t xml:space="preserve">Furthermore, it should be stressed that </w:t>
      </w:r>
      <w:r>
        <w:rPr>
          <w:szCs w:val="18"/>
          <w:lang w:val="en-US"/>
        </w:rPr>
        <w:t xml:space="preserve">the </w:t>
      </w:r>
      <w:r w:rsidRPr="00DD6D26">
        <w:rPr>
          <w:szCs w:val="18"/>
          <w:lang w:val="en-US"/>
        </w:rPr>
        <w:t>European market has many specificities compared to other markets. Europe has 18 CCPS, 31 CSDs and 14 different currencies, while for instance</w:t>
      </w:r>
      <w:r>
        <w:rPr>
          <w:szCs w:val="18"/>
          <w:lang w:val="en-US"/>
        </w:rPr>
        <w:t xml:space="preserve"> the</w:t>
      </w:r>
      <w:r w:rsidRPr="00DD6D26">
        <w:rPr>
          <w:szCs w:val="18"/>
          <w:lang w:val="en-US"/>
        </w:rPr>
        <w:t xml:space="preserve"> US ha</w:t>
      </w:r>
      <w:r>
        <w:rPr>
          <w:szCs w:val="18"/>
          <w:lang w:val="en-US"/>
        </w:rPr>
        <w:t>ve</w:t>
      </w:r>
      <w:r w:rsidRPr="00DD6D26">
        <w:rPr>
          <w:szCs w:val="18"/>
          <w:lang w:val="en-US"/>
        </w:rPr>
        <w:t xml:space="preserve"> only one CCP, one CSD and one currency</w:t>
      </w:r>
      <w:r>
        <w:rPr>
          <w:szCs w:val="18"/>
          <w:lang w:val="en-US"/>
        </w:rPr>
        <w:t xml:space="preserve">, like </w:t>
      </w:r>
      <w:r w:rsidRPr="00DD6D26">
        <w:rPr>
          <w:szCs w:val="18"/>
          <w:lang w:val="en-US"/>
        </w:rPr>
        <w:t xml:space="preserve">in Canada, </w:t>
      </w:r>
      <w:r>
        <w:rPr>
          <w:szCs w:val="18"/>
          <w:lang w:val="en-US"/>
        </w:rPr>
        <w:t xml:space="preserve">the </w:t>
      </w:r>
      <w:proofErr w:type="gramStart"/>
      <w:r w:rsidRPr="00DD6D26">
        <w:rPr>
          <w:szCs w:val="18"/>
          <w:lang w:val="en-US"/>
        </w:rPr>
        <w:t>UK</w:t>
      </w:r>
      <w:proofErr w:type="gramEnd"/>
      <w:r w:rsidRPr="00DD6D26">
        <w:rPr>
          <w:szCs w:val="18"/>
          <w:lang w:val="en-US"/>
        </w:rPr>
        <w:t xml:space="preserve"> and some Asian countries. As a result, the operational difficulties and costs involved in switching to T+1 in Europe are much </w:t>
      </w:r>
      <w:r>
        <w:rPr>
          <w:szCs w:val="18"/>
          <w:lang w:val="en-US"/>
        </w:rPr>
        <w:t>higher</w:t>
      </w:r>
      <w:r w:rsidRPr="00DD6D26">
        <w:rPr>
          <w:szCs w:val="18"/>
          <w:lang w:val="en-US"/>
        </w:rPr>
        <w:t xml:space="preserve"> than in jurisdictions where the markets are </w:t>
      </w:r>
      <w:r>
        <w:rPr>
          <w:szCs w:val="18"/>
          <w:lang w:val="en-US"/>
        </w:rPr>
        <w:t xml:space="preserve">much </w:t>
      </w:r>
      <w:r w:rsidRPr="00DD6D26">
        <w:rPr>
          <w:szCs w:val="18"/>
          <w:lang w:val="en-US"/>
        </w:rPr>
        <w:t>more integrated.</w:t>
      </w:r>
      <w:r w:rsidRPr="00DD6D26">
        <w:rPr>
          <w:color w:val="0070C0"/>
          <w:szCs w:val="18"/>
          <w:lang w:val="en-US"/>
        </w:rPr>
        <w:t xml:space="preserve"> </w:t>
      </w:r>
    </w:p>
    <w:p w14:paraId="57EE5CDA" w14:textId="30AA9EA6" w:rsidR="00177379" w:rsidRPr="00177379" w:rsidRDefault="00177379" w:rsidP="00177379">
      <w:pPr>
        <w:pStyle w:val="Paragraphedeliste"/>
        <w:numPr>
          <w:ilvl w:val="0"/>
          <w:numId w:val="22"/>
        </w:numPr>
        <w:spacing w:after="0" w:line="240" w:lineRule="auto"/>
        <w:ind w:left="426" w:right="102" w:hanging="425"/>
        <w:rPr>
          <w:szCs w:val="20"/>
          <w:lang w:val="en-US"/>
        </w:rPr>
      </w:pPr>
      <w:r w:rsidRPr="00DD6D26">
        <w:rPr>
          <w:szCs w:val="20"/>
          <w:lang w:val="en-US"/>
        </w:rPr>
        <w:t xml:space="preserve">We </w:t>
      </w:r>
      <w:r>
        <w:rPr>
          <w:szCs w:val="20"/>
          <w:lang w:val="en-US"/>
        </w:rPr>
        <w:t>fore</w:t>
      </w:r>
      <w:r w:rsidRPr="00DD6D26">
        <w:rPr>
          <w:szCs w:val="20"/>
          <w:lang w:val="en-US"/>
        </w:rPr>
        <w:t xml:space="preserve">see that the shortening of the settlement cycle is not compatible with the trend to enlarge trading hours, notably </w:t>
      </w:r>
      <w:r>
        <w:rPr>
          <w:szCs w:val="20"/>
          <w:lang w:val="en-US"/>
        </w:rPr>
        <w:t>for</w:t>
      </w:r>
      <w:r w:rsidRPr="00DD6D26">
        <w:rPr>
          <w:szCs w:val="20"/>
          <w:lang w:val="en-US"/>
        </w:rPr>
        <w:t xml:space="preserve"> the benefit of retail clients in the EU. Moreover, </w:t>
      </w:r>
      <w:r>
        <w:rPr>
          <w:szCs w:val="20"/>
          <w:lang w:val="en-US"/>
        </w:rPr>
        <w:t>moving</w:t>
      </w:r>
      <w:r w:rsidRPr="00DD6D26">
        <w:rPr>
          <w:szCs w:val="20"/>
          <w:lang w:val="en-US"/>
        </w:rPr>
        <w:t xml:space="preserve"> to T+1 could </w:t>
      </w:r>
      <w:r>
        <w:rPr>
          <w:szCs w:val="20"/>
          <w:lang w:val="en-US"/>
        </w:rPr>
        <w:t>cause</w:t>
      </w:r>
      <w:r w:rsidRPr="00DD6D26">
        <w:rPr>
          <w:szCs w:val="20"/>
          <w:lang w:val="en-US"/>
        </w:rPr>
        <w:t xml:space="preserve"> EU trading venues to close their markets earlier than today</w:t>
      </w:r>
      <w:r>
        <w:rPr>
          <w:szCs w:val="20"/>
          <w:lang w:val="en-US"/>
        </w:rPr>
        <w:t>,</w:t>
      </w:r>
      <w:r w:rsidRPr="00DD6D26">
        <w:rPr>
          <w:szCs w:val="20"/>
          <w:lang w:val="en-US"/>
        </w:rPr>
        <w:t xml:space="preserve"> at the expense of the overlap between US and EU markets.</w:t>
      </w:r>
    </w:p>
    <w:p w14:paraId="41569CB3" w14:textId="65459CEE" w:rsidR="00874F02" w:rsidRPr="00177379" w:rsidRDefault="00177379" w:rsidP="00177379">
      <w:pPr>
        <w:pStyle w:val="Paragraphedeliste"/>
        <w:numPr>
          <w:ilvl w:val="0"/>
          <w:numId w:val="22"/>
        </w:numPr>
        <w:spacing w:after="0" w:line="240" w:lineRule="auto"/>
        <w:ind w:left="426" w:right="102" w:hanging="425"/>
        <w:rPr>
          <w:szCs w:val="18"/>
          <w:lang w:val="en-US"/>
        </w:rPr>
      </w:pPr>
      <w:r w:rsidRPr="00DD6D26">
        <w:rPr>
          <w:szCs w:val="18"/>
          <w:lang w:val="en-US"/>
        </w:rPr>
        <w:t xml:space="preserve">We anticipate that the transition to T+1 in other jurisdictions would have consequences for European stakeholders (investment firms and management companies) that should not be </w:t>
      </w:r>
      <w:proofErr w:type="spellStart"/>
      <w:r w:rsidR="00035CE0">
        <w:rPr>
          <w:szCs w:val="18"/>
          <w:lang w:val="en-US"/>
        </w:rPr>
        <w:t>underestimted</w:t>
      </w:r>
      <w:proofErr w:type="spellEnd"/>
      <w:r>
        <w:rPr>
          <w:szCs w:val="18"/>
          <w:lang w:val="en-US"/>
        </w:rPr>
        <w:t>,</w:t>
      </w:r>
      <w:r w:rsidRPr="00DD6D26">
        <w:rPr>
          <w:szCs w:val="18"/>
          <w:lang w:val="en-US"/>
        </w:rPr>
        <w:t xml:space="preserve"> as stated in </w:t>
      </w:r>
      <w:r>
        <w:rPr>
          <w:szCs w:val="18"/>
          <w:lang w:val="en-US"/>
        </w:rPr>
        <w:t xml:space="preserve">our </w:t>
      </w:r>
      <w:r w:rsidRPr="00DD6D26">
        <w:rPr>
          <w:szCs w:val="18"/>
          <w:lang w:val="en-US"/>
        </w:rPr>
        <w:t>answers to the consultation. It will be easier to assess the costs and benefits of a move to T+1 in Europe once the other markets (particularly the US market) have moved to T+1.</w:t>
      </w:r>
    </w:p>
    <w:permEnd w:id="1617899118"/>
    <w:p w14:paraId="04595985" w14:textId="6DF160E5" w:rsidR="00B15C0B" w:rsidRPr="00C5469A" w:rsidRDefault="00C5469A" w:rsidP="00B15C0B">
      <w:r>
        <w:t>&lt;ESMA_QUESTION_SETT_27&gt;</w:t>
      </w:r>
    </w:p>
    <w:sectPr w:rsidR="00B15C0B" w:rsidRPr="00C5469A" w:rsidSect="00AD0B10">
      <w:headerReference w:type="default" r:id="rId21"/>
      <w:footerReference w:type="default" r:id="rId22"/>
      <w:pgSz w:w="11906" w:h="16838"/>
      <w:pgMar w:top="1417" w:right="1417" w:bottom="1417" w:left="1417" w:header="86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B966BD" w14:textId="77777777" w:rsidR="00E2283D" w:rsidRDefault="00E2283D" w:rsidP="007E7997">
      <w:pPr>
        <w:spacing w:line="240" w:lineRule="auto"/>
      </w:pPr>
      <w:r>
        <w:separator/>
      </w:r>
    </w:p>
  </w:endnote>
  <w:endnote w:type="continuationSeparator" w:id="0">
    <w:p w14:paraId="5DB8C679" w14:textId="77777777" w:rsidR="00E2283D" w:rsidRDefault="00E2283D" w:rsidP="007E7997">
      <w:pPr>
        <w:spacing w:line="240" w:lineRule="auto"/>
      </w:pPr>
      <w:r>
        <w:continuationSeparator/>
      </w:r>
    </w:p>
  </w:endnote>
  <w:endnote w:type="continuationNotice" w:id="1">
    <w:p w14:paraId="4DD83044" w14:textId="77777777" w:rsidR="00E2283D" w:rsidRDefault="00E228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001B4F" w:themeColor="text1" w:themeShade="80"/>
        <w:sz w:val="16"/>
      </w:rPr>
      <w:id w:val="-1421483652"/>
      <w:docPartObj>
        <w:docPartGallery w:val="Page Numbers (Bottom of Page)"/>
        <w:docPartUnique/>
      </w:docPartObj>
    </w:sdtPr>
    <w:sdtEndPr>
      <w:rPr>
        <w:noProof/>
      </w:rPr>
    </w:sdtEndPr>
    <w:sdtContent>
      <w:p w14:paraId="70AFCDE4" w14:textId="77777777" w:rsidR="00045BA9" w:rsidRDefault="00045BA9" w:rsidP="002533FC">
        <w:pPr>
          <w:rPr>
            <w:i/>
            <w:iCs/>
          </w:rPr>
        </w:pPr>
      </w:p>
      <w:p w14:paraId="237A920D" w14:textId="56870BC6" w:rsidR="00787413" w:rsidRPr="004E5FF8" w:rsidRDefault="0043139E" w:rsidP="004E5FF8">
        <w:pPr>
          <w:pStyle w:val="Pieddepage"/>
          <w:rPr>
            <w:rFonts w:ascii="Arial" w:hAnsi="Arial" w:cs="Arial"/>
            <w:lang w:val="fr-FR"/>
          </w:rPr>
        </w:pPr>
        <w:r w:rsidRPr="00A8626B">
          <w:rPr>
            <w:rFonts w:ascii="Arial" w:hAnsi="Arial" w:cs="Arial"/>
            <w:sz w:val="15"/>
            <w:szCs w:val="15"/>
            <w:lang w:val="fr-FR"/>
          </w:rPr>
          <w:t xml:space="preserve">ESMA - </w:t>
        </w:r>
        <w:r w:rsidRPr="00A8626B">
          <w:rPr>
            <w:sz w:val="15"/>
            <w:szCs w:val="15"/>
            <w:lang w:val="fr-FR"/>
          </w:rPr>
          <w:t>201-203 rue de Bercy - CS 80910 - 75589 Paris Cedex 12 -</w:t>
        </w:r>
        <w:r w:rsidRPr="00A8626B">
          <w:rPr>
            <w:rFonts w:ascii="Arial" w:hAnsi="Arial" w:cs="Arial"/>
            <w:sz w:val="15"/>
            <w:szCs w:val="15"/>
            <w:lang w:val="fr-FR"/>
          </w:rPr>
          <w:t xml:space="preserve"> France -</w:t>
        </w:r>
        <w:r w:rsidRPr="00A8626B">
          <w:rPr>
            <w:rFonts w:ascii="Arial" w:hAnsi="Arial" w:cs="Arial"/>
            <w:color w:val="3E3F90"/>
            <w:sz w:val="15"/>
            <w:szCs w:val="15"/>
            <w:lang w:val="fr-FR"/>
          </w:rPr>
          <w:t xml:space="preserve"> </w:t>
        </w:r>
        <w:r w:rsidRPr="00A8626B">
          <w:rPr>
            <w:rFonts w:ascii="Arial" w:hAnsi="Arial" w:cs="Arial"/>
            <w:sz w:val="15"/>
            <w:szCs w:val="15"/>
            <w:lang w:val="fr-FR"/>
          </w:rPr>
          <w:t xml:space="preserve">Tel. </w:t>
        </w:r>
        <w:r w:rsidRPr="00A8626B">
          <w:rPr>
            <w:rFonts w:ascii="Arial" w:hAnsi="Arial" w:cs="Arial"/>
            <w:sz w:val="15"/>
            <w:szCs w:val="15"/>
            <w:lang w:val="fr-BE"/>
          </w:rPr>
          <w:t xml:space="preserve">+33 (0) 1 58 36 43 21 - </w:t>
        </w:r>
        <w:hyperlink r:id="rId1" w:history="1">
          <w:r w:rsidRPr="00A8626B">
            <w:rPr>
              <w:rStyle w:val="Lienhypertexte"/>
              <w:rFonts w:ascii="Arial" w:hAnsi="Arial" w:cs="Arial"/>
              <w:sz w:val="15"/>
              <w:szCs w:val="15"/>
              <w:lang w:val="fr-FR"/>
            </w:rPr>
            <w:t>www.esma.</w:t>
          </w:r>
          <w:r w:rsidRPr="00A8626B">
            <w:rPr>
              <w:rStyle w:val="Lienhypertexte"/>
              <w:sz w:val="15"/>
              <w:szCs w:val="15"/>
              <w:lang w:val="fr-BE"/>
            </w:rPr>
            <w:t>europa</w:t>
          </w:r>
          <w:r w:rsidRPr="00A8626B">
            <w:rPr>
              <w:rStyle w:val="Lienhypertexte"/>
              <w:rFonts w:ascii="Arial" w:hAnsi="Arial" w:cs="Arial"/>
              <w:sz w:val="15"/>
              <w:szCs w:val="15"/>
              <w:lang w:val="fr-FR"/>
            </w:rPr>
            <w:t>.eu</w:t>
          </w:r>
        </w:hyperlink>
        <w:r w:rsidR="004E5FF8">
          <w:rPr>
            <w:rFonts w:ascii="Arial" w:hAnsi="Arial" w:cs="Arial"/>
            <w:lang w:val="fr-FR"/>
          </w:rPr>
          <w:tab/>
        </w:r>
        <w:r w:rsidR="006A44DA" w:rsidRPr="00B73281">
          <w:rPr>
            <w:lang w:val="fr-BE"/>
          </w:rPr>
          <w:t xml:space="preserve"> </w:t>
        </w:r>
        <w:r w:rsidR="006A44DA">
          <w:fldChar w:fldCharType="begin"/>
        </w:r>
        <w:r w:rsidR="006A44DA" w:rsidRPr="002537CE">
          <w:rPr>
            <w:lang w:val="fr-FR"/>
          </w:rPr>
          <w:instrText xml:space="preserve"> PAGE   \* MERGEFORMAT </w:instrText>
        </w:r>
        <w:r w:rsidR="006A44DA">
          <w:fldChar w:fldCharType="separate"/>
        </w:r>
        <w:r w:rsidR="006A44DA" w:rsidRPr="002537CE">
          <w:rPr>
            <w:noProof/>
            <w:lang w:val="fr-FR"/>
          </w:rPr>
          <w:t>2</w:t>
        </w:r>
        <w:r w:rsidR="006A44DA">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4024557"/>
      <w:docPartObj>
        <w:docPartGallery w:val="Page Numbers (Bottom of Page)"/>
        <w:docPartUnique/>
      </w:docPartObj>
    </w:sdtPr>
    <w:sdtEndPr>
      <w:rPr>
        <w:noProof/>
      </w:rPr>
    </w:sdtEndPr>
    <w:sdtContent>
      <w:p w14:paraId="5AA6C61A" w14:textId="77777777" w:rsidR="006A44DA" w:rsidRDefault="006A44DA" w:rsidP="00B73281">
        <w:pPr>
          <w:pStyle w:val="Pieddepage"/>
          <w:jc w:val="right"/>
        </w:pPr>
        <w:r>
          <w:fldChar w:fldCharType="begin"/>
        </w:r>
        <w:r>
          <w:instrText xml:space="preserve"> PAGE   \* MERGEFORMAT </w:instrText>
        </w:r>
        <w:r>
          <w:fldChar w:fldCharType="separate"/>
        </w:r>
        <w:r>
          <w:rPr>
            <w:noProof/>
          </w:rPr>
          <w:t>14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044C4" w14:textId="77777777" w:rsidR="00E2283D" w:rsidRDefault="00E2283D" w:rsidP="007E7997">
      <w:pPr>
        <w:spacing w:line="240" w:lineRule="auto"/>
      </w:pPr>
      <w:r>
        <w:separator/>
      </w:r>
    </w:p>
  </w:footnote>
  <w:footnote w:type="continuationSeparator" w:id="0">
    <w:p w14:paraId="0E20F25B" w14:textId="77777777" w:rsidR="00E2283D" w:rsidRDefault="00E2283D" w:rsidP="007E7997">
      <w:pPr>
        <w:spacing w:line="240" w:lineRule="auto"/>
      </w:pPr>
      <w:r>
        <w:continuationSeparator/>
      </w:r>
    </w:p>
  </w:footnote>
  <w:footnote w:type="continuationNotice" w:id="1">
    <w:p w14:paraId="57AD9A88" w14:textId="77777777" w:rsidR="00E2283D" w:rsidRDefault="00E2283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42034" w14:textId="2FE584B9" w:rsidR="00D77369" w:rsidRPr="008858FE" w:rsidRDefault="00D77369" w:rsidP="008858FE">
    <w:pPr>
      <w:pStyle w:val="En-tte"/>
      <w:rPr>
        <w:bCs/>
        <w:caps/>
        <w:color w:val="FF0000" w:themeColor="accent6"/>
        <w:sz w:val="22"/>
      </w:rPr>
    </w:pPr>
    <w:r w:rsidRPr="008858FE">
      <w:rPr>
        <w:rStyle w:val="ESMAConfidentialRestricted"/>
        <w:noProof/>
      </w:rPr>
      <w:drawing>
        <wp:anchor distT="0" distB="0" distL="114300" distR="114300" simplePos="0" relativeHeight="251658240" behindDoc="0" locked="0" layoutInCell="1" allowOverlap="1" wp14:anchorId="7A8D36CF" wp14:editId="0FC7D767">
          <wp:simplePos x="0" y="0"/>
          <wp:positionH relativeFrom="page">
            <wp:posOffset>892914</wp:posOffset>
          </wp:positionH>
          <wp:positionV relativeFrom="page">
            <wp:posOffset>547370</wp:posOffset>
          </wp:positionV>
          <wp:extent cx="2296800" cy="601200"/>
          <wp:effectExtent l="0" t="0" r="190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7A3E0A">
      <w:t>5</w:t>
    </w:r>
    <w:r w:rsidR="00282901">
      <w:t xml:space="preserve"> </w:t>
    </w:r>
    <w:r w:rsidR="007A3E0A">
      <w:t>October</w:t>
    </w:r>
    <w:r w:rsidR="00282901">
      <w:t xml:space="preserve"> 2023</w:t>
    </w:r>
  </w:p>
  <w:p w14:paraId="2AC4487A" w14:textId="49B7B31C" w:rsidR="00D77369" w:rsidRPr="00D77369" w:rsidRDefault="00B03969" w:rsidP="00D77369">
    <w:pPr>
      <w:pStyle w:val="En-tte"/>
    </w:pPr>
    <w:r w:rsidRPr="00B03969">
      <w:t>ESMA74-2119945925-1689</w:t>
    </w:r>
  </w:p>
  <w:p w14:paraId="471D4524" w14:textId="77777777" w:rsidR="004E5FF8" w:rsidRDefault="004E5FF8" w:rsidP="004E5FF8"/>
  <w:p w14:paraId="48F2413B" w14:textId="77777777" w:rsidR="004E5FF8" w:rsidRDefault="004E5FF8" w:rsidP="004E5FF8"/>
  <w:p w14:paraId="10BD5565" w14:textId="77777777" w:rsidR="008858FE" w:rsidRDefault="008858FE" w:rsidP="004E5FF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BFB72" w14:textId="122D2DD4" w:rsidR="006A44DA" w:rsidRDefault="006A44DA" w:rsidP="0043139E">
    <w:pPr>
      <w:pStyle w:val="En-tte"/>
    </w:pPr>
  </w:p>
  <w:p w14:paraId="6A43EA5E" w14:textId="4A830C83" w:rsidR="00AD0B10" w:rsidRDefault="00AD0B10" w:rsidP="0043139E">
    <w:pPr>
      <w:pStyle w:val="En-tte"/>
    </w:pPr>
  </w:p>
  <w:p w14:paraId="2083DACE" w14:textId="77777777" w:rsidR="00AD0B10" w:rsidRPr="0043139E" w:rsidRDefault="00AD0B10" w:rsidP="0043139E">
    <w:pPr>
      <w:pStyle w:val="En-tte"/>
    </w:pPr>
  </w:p>
  <w:p w14:paraId="140A363C" w14:textId="77777777" w:rsidR="006A44DA" w:rsidRPr="0043139E" w:rsidRDefault="006A44DA" w:rsidP="0043139E">
    <w:pPr>
      <w:pStyle w:val="En-tte"/>
    </w:pPr>
  </w:p>
  <w:p w14:paraId="66CF4BF9" w14:textId="4F625EE8" w:rsidR="006A44DA" w:rsidRPr="0043139E" w:rsidRDefault="008858FE" w:rsidP="0043139E">
    <w:pPr>
      <w:pStyle w:val="En-tte"/>
      <w:rPr>
        <w:rStyle w:val="ESMARegularuse"/>
        <w:bCs w:val="0"/>
        <w:caps w:val="0"/>
        <w:color w:val="001B4F" w:themeColor="text1" w:themeShade="80"/>
        <w:sz w:val="16"/>
      </w:rPr>
    </w:pPr>
    <w:r w:rsidRPr="0043139E">
      <w:rPr>
        <w:rStyle w:val="ESMARegularuse"/>
        <w:bCs w:val="0"/>
        <w:caps w:val="0"/>
        <w:noProof/>
        <w:color w:val="001B4F" w:themeColor="text1" w:themeShade="80"/>
        <w:sz w:val="16"/>
      </w:rPr>
      <w:drawing>
        <wp:anchor distT="0" distB="0" distL="114300" distR="114300" simplePos="0" relativeHeight="251658241" behindDoc="0" locked="0" layoutInCell="1" allowOverlap="1" wp14:anchorId="43B59946" wp14:editId="1140D658">
          <wp:simplePos x="0" y="0"/>
          <wp:positionH relativeFrom="page">
            <wp:posOffset>892810</wp:posOffset>
          </wp:positionH>
          <wp:positionV relativeFrom="page">
            <wp:posOffset>547370</wp:posOffset>
          </wp:positionV>
          <wp:extent cx="1807200" cy="47520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p w14:paraId="5BBCAF0B" w14:textId="77777777" w:rsidR="00787413" w:rsidRPr="0043139E" w:rsidRDefault="00787413" w:rsidP="0043139E">
    <w:pPr>
      <w:pStyle w:val="En-tte"/>
    </w:pPr>
  </w:p>
  <w:p w14:paraId="70942C9C" w14:textId="77777777" w:rsidR="00672010" w:rsidRPr="0043139E" w:rsidRDefault="00672010" w:rsidP="0043139E">
    <w:pPr>
      <w:pStyle w:val="En-tte"/>
    </w:pPr>
  </w:p>
  <w:p w14:paraId="7F8040EC" w14:textId="77777777" w:rsidR="0018540C" w:rsidRPr="0043139E" w:rsidRDefault="0018540C" w:rsidP="0043139E">
    <w:pPr>
      <w:pStyle w:val="En-tte"/>
    </w:pPr>
  </w:p>
  <w:p w14:paraId="76479F6F" w14:textId="77777777" w:rsidR="00CA565A" w:rsidRPr="0043139E" w:rsidRDefault="00CA565A" w:rsidP="0043139E">
    <w:pPr>
      <w:pStyle w:val="En-tte"/>
    </w:pPr>
  </w:p>
  <w:p w14:paraId="34BC4F59" w14:textId="77777777" w:rsidR="00CA565A" w:rsidRPr="0043139E" w:rsidRDefault="00CA565A" w:rsidP="0043139E">
    <w:pPr>
      <w:pStyle w:val="En-tte"/>
    </w:pPr>
  </w:p>
  <w:p w14:paraId="373CE412" w14:textId="77777777" w:rsidR="0018540C" w:rsidRPr="0043139E" w:rsidRDefault="0018540C" w:rsidP="0043139E">
    <w:pPr>
      <w:pStyle w:val="En-tte"/>
    </w:pPr>
  </w:p>
  <w:p w14:paraId="36065F1B" w14:textId="154438DA" w:rsidR="0018540C" w:rsidRDefault="0018540C" w:rsidP="0043139E">
    <w:pPr>
      <w:pStyle w:val="En-tte"/>
    </w:pPr>
  </w:p>
  <w:p w14:paraId="7545C91A" w14:textId="77777777" w:rsidR="0043139E" w:rsidRPr="0043139E" w:rsidRDefault="0043139E" w:rsidP="0043139E">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0D944" w14:textId="77777777" w:rsidR="006A44DA" w:rsidRDefault="006A44DA">
    <w:pPr>
      <w:pStyle w:val="En-tte"/>
    </w:pPr>
  </w:p>
  <w:p w14:paraId="410BE8FC" w14:textId="77777777" w:rsidR="006A44DA" w:rsidRDefault="006A44DA">
    <w:pPr>
      <w:pStyle w:val="En-tte"/>
    </w:pPr>
  </w:p>
  <w:p w14:paraId="00F5D8E1" w14:textId="77777777" w:rsidR="006A44DA" w:rsidRDefault="006A44DA">
    <w:pPr>
      <w:pStyle w:val="En-tte"/>
    </w:pPr>
    <w:r>
      <w:rPr>
        <w:noProof/>
        <w:lang w:val="en-US"/>
      </w:rPr>
      <w:drawing>
        <wp:anchor distT="0" distB="0" distL="114300" distR="114300" simplePos="0" relativeHeight="251658242" behindDoc="0" locked="0" layoutInCell="1" allowOverlap="1" wp14:anchorId="4A201A98" wp14:editId="4CA91887">
          <wp:simplePos x="0" y="0"/>
          <wp:positionH relativeFrom="page">
            <wp:posOffset>366395</wp:posOffset>
          </wp:positionH>
          <wp:positionV relativeFrom="page">
            <wp:posOffset>372745</wp:posOffset>
          </wp:positionV>
          <wp:extent cx="2209800" cy="904875"/>
          <wp:effectExtent l="0" t="0" r="0" b="9525"/>
          <wp:wrapNone/>
          <wp:docPr id="12" name="Picture 1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p>
  <w:p w14:paraId="728DCE3B" w14:textId="77777777" w:rsidR="00787413" w:rsidRDefault="00787413"/>
  <w:p w14:paraId="452DAADD" w14:textId="77777777" w:rsidR="00787413" w:rsidRDefault="00787413"/>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34B74" w14:textId="7D6DC2CF" w:rsidR="00AD0B10" w:rsidRDefault="00AD0B10" w:rsidP="00AD0B10">
    <w:pPr>
      <w:pStyle w:val="En-tte"/>
    </w:pPr>
  </w:p>
  <w:p w14:paraId="76D78551" w14:textId="45227A06" w:rsidR="00AD0B10" w:rsidRDefault="00AD0B10" w:rsidP="00AD0B10">
    <w:pPr>
      <w:pStyle w:val="En-tte"/>
    </w:pPr>
  </w:p>
  <w:p w14:paraId="56B00CEC" w14:textId="77777777" w:rsidR="00AD0B10" w:rsidRPr="0043139E" w:rsidRDefault="00AD0B10" w:rsidP="00AD0B10">
    <w:pPr>
      <w:pStyle w:val="En-tte"/>
    </w:pPr>
  </w:p>
  <w:p w14:paraId="68227DE6" w14:textId="77777777" w:rsidR="00AD0B10" w:rsidRPr="0043139E" w:rsidRDefault="00AD0B10" w:rsidP="00AD0B10">
    <w:pPr>
      <w:pStyle w:val="En-tte"/>
    </w:pPr>
  </w:p>
  <w:p w14:paraId="0E44DBD1" w14:textId="77777777" w:rsidR="00AD0B10" w:rsidRPr="0043139E" w:rsidRDefault="00AD0B10" w:rsidP="00AD0B10">
    <w:pPr>
      <w:pStyle w:val="En-tte"/>
      <w:rPr>
        <w:rStyle w:val="ESMARegularuse"/>
        <w:bCs w:val="0"/>
        <w:caps w:val="0"/>
        <w:color w:val="001B4F" w:themeColor="text1" w:themeShade="80"/>
        <w:sz w:val="16"/>
      </w:rPr>
    </w:pPr>
    <w:r w:rsidRPr="0043139E">
      <w:rPr>
        <w:rStyle w:val="ESMARegularuse"/>
        <w:bCs w:val="0"/>
        <w:caps w:val="0"/>
        <w:noProof/>
        <w:color w:val="001B4F" w:themeColor="text1" w:themeShade="80"/>
        <w:sz w:val="16"/>
      </w:rPr>
      <w:drawing>
        <wp:anchor distT="0" distB="0" distL="114300" distR="114300" simplePos="0" relativeHeight="251658243" behindDoc="0" locked="0" layoutInCell="1" allowOverlap="1" wp14:anchorId="5D5432C8" wp14:editId="022CF7DB">
          <wp:simplePos x="0" y="0"/>
          <wp:positionH relativeFrom="page">
            <wp:posOffset>892810</wp:posOffset>
          </wp:positionH>
          <wp:positionV relativeFrom="page">
            <wp:posOffset>547370</wp:posOffset>
          </wp:positionV>
          <wp:extent cx="1807200" cy="475200"/>
          <wp:effectExtent l="0" t="0" r="0" b="0"/>
          <wp:wrapNone/>
          <wp:docPr id="13" name="Picture 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p w14:paraId="02B18CB0" w14:textId="77777777" w:rsidR="00AD0B10" w:rsidRPr="0043139E" w:rsidRDefault="00AD0B10" w:rsidP="00AD0B10">
    <w:pPr>
      <w:pStyle w:val="En-tte"/>
    </w:pPr>
  </w:p>
  <w:p w14:paraId="706EF268" w14:textId="77777777" w:rsidR="00AD0B10" w:rsidRPr="0043139E" w:rsidRDefault="00AD0B10" w:rsidP="00AD0B10">
    <w:pPr>
      <w:pStyle w:val="En-tte"/>
    </w:pPr>
  </w:p>
  <w:p w14:paraId="6B568202" w14:textId="77777777" w:rsidR="00AD0B10" w:rsidRPr="0043139E" w:rsidRDefault="00AD0B10" w:rsidP="00AD0B10">
    <w:pPr>
      <w:pStyle w:val="En-tte"/>
    </w:pPr>
  </w:p>
  <w:p w14:paraId="70C66BCD" w14:textId="77777777" w:rsidR="00AD0B10" w:rsidRPr="0043139E" w:rsidRDefault="00AD0B10" w:rsidP="00AD0B10">
    <w:pPr>
      <w:pStyle w:val="En-tte"/>
    </w:pPr>
  </w:p>
  <w:p w14:paraId="07229907" w14:textId="77777777" w:rsidR="00AD0B10" w:rsidRPr="0043139E" w:rsidRDefault="00AD0B10" w:rsidP="00AD0B10">
    <w:pPr>
      <w:pStyle w:val="En-tte"/>
    </w:pPr>
  </w:p>
  <w:p w14:paraId="55555744" w14:textId="77777777" w:rsidR="00AD0B10" w:rsidRPr="0043139E" w:rsidRDefault="00AD0B10" w:rsidP="00AD0B10">
    <w:pPr>
      <w:pStyle w:val="En-tte"/>
    </w:pPr>
  </w:p>
  <w:p w14:paraId="4601AE9C" w14:textId="77777777" w:rsidR="00AD0B10" w:rsidRDefault="00AD0B10" w:rsidP="00AD0B10">
    <w:pPr>
      <w:pStyle w:val="En-tte"/>
    </w:pPr>
  </w:p>
  <w:p w14:paraId="49946785" w14:textId="77777777" w:rsidR="00AD0B10" w:rsidRPr="0043139E" w:rsidRDefault="00AD0B10" w:rsidP="00AD0B10">
    <w:pPr>
      <w:pStyle w:val="En-tte"/>
    </w:pPr>
  </w:p>
  <w:p w14:paraId="72BAD19F" w14:textId="77777777" w:rsidR="008858FE" w:rsidRPr="00AD0B10" w:rsidRDefault="008858FE" w:rsidP="00AD0B1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singleLevel"/>
    <w:tmpl w:val="F8A0A898"/>
    <w:lvl w:ilvl="0">
      <w:start w:val="1"/>
      <w:numFmt w:val="decimal"/>
      <w:pStyle w:val="1AMAFI"/>
      <w:lvlText w:val="%1."/>
      <w:lvlJc w:val="left"/>
      <w:pPr>
        <w:tabs>
          <w:tab w:val="num" w:pos="567"/>
        </w:tabs>
        <w:ind w:left="-284" w:firstLine="284"/>
      </w:pPr>
      <w:rPr>
        <w:rFonts w:ascii="Arial" w:hAnsi="Arial"/>
        <w:b/>
        <w:i w:val="0"/>
        <w:color w:val="003366"/>
        <w:sz w:val="20"/>
      </w:rPr>
    </w:lvl>
  </w:abstractNum>
  <w:abstractNum w:abstractNumId="1" w15:restartNumberingAfterBreak="0">
    <w:nsid w:val="05053E5F"/>
    <w:multiLevelType w:val="multilevel"/>
    <w:tmpl w:val="A6A24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31646B"/>
    <w:multiLevelType w:val="hybridMultilevel"/>
    <w:tmpl w:val="43965F28"/>
    <w:lvl w:ilvl="0" w:tplc="4B6A995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D7C741E"/>
    <w:multiLevelType w:val="hybridMultilevel"/>
    <w:tmpl w:val="4A224C42"/>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0275091"/>
    <w:multiLevelType w:val="hybridMultilevel"/>
    <w:tmpl w:val="8500D07C"/>
    <w:lvl w:ilvl="0" w:tplc="0164C9A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3001F3C"/>
    <w:multiLevelType w:val="hybridMultilevel"/>
    <w:tmpl w:val="4A224C42"/>
    <w:lvl w:ilvl="0" w:tplc="C84A6C9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D975DB"/>
    <w:multiLevelType w:val="hybridMultilevel"/>
    <w:tmpl w:val="6AE8D7C6"/>
    <w:lvl w:ilvl="0" w:tplc="4B6A9952">
      <w:numFmt w:val="bullet"/>
      <w:lvlText w:val="-"/>
      <w:lvlJc w:val="left"/>
      <w:pPr>
        <w:ind w:left="720" w:hanging="360"/>
      </w:pPr>
      <w:rPr>
        <w:rFonts w:ascii="Calibri" w:eastAsia="Calibr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F68112A"/>
    <w:multiLevelType w:val="hybridMultilevel"/>
    <w:tmpl w:val="57302744"/>
    <w:lvl w:ilvl="0" w:tplc="B224B6D2">
      <w:start w:val="1"/>
      <w:numFmt w:val="bullet"/>
      <w:lvlText w:val=""/>
      <w:lvlJc w:val="left"/>
      <w:pPr>
        <w:ind w:left="1065" w:hanging="705"/>
      </w:pPr>
      <w:rPr>
        <w:rFonts w:ascii="Symbol" w:hAnsi="Symbo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8806DE5"/>
    <w:multiLevelType w:val="multilevel"/>
    <w:tmpl w:val="5790C22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9E089E"/>
    <w:multiLevelType w:val="hybridMultilevel"/>
    <w:tmpl w:val="87960D64"/>
    <w:lvl w:ilvl="0" w:tplc="4F30587E">
      <w:start w:val="1"/>
      <w:numFmt w:val="lowerLetter"/>
      <w:pStyle w:val="Titre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36517925"/>
    <w:multiLevelType w:val="hybridMultilevel"/>
    <w:tmpl w:val="E3C81A9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A52232B"/>
    <w:multiLevelType w:val="hybridMultilevel"/>
    <w:tmpl w:val="E474F29A"/>
    <w:lvl w:ilvl="0" w:tplc="91A4A3F4">
      <w:start w:val="1"/>
      <w:numFmt w:val="decimal"/>
      <w:lvlText w:val="Q%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3EA61840"/>
    <w:multiLevelType w:val="hybridMultilevel"/>
    <w:tmpl w:val="6624CD50"/>
    <w:lvl w:ilvl="0" w:tplc="30EC5BE8">
      <w:start w:val="1"/>
      <w:numFmt w:val="bullet"/>
      <w:pStyle w:val="Paragraphedeliste"/>
      <w:lvlText w:val=""/>
      <w:lvlJc w:val="left"/>
      <w:pPr>
        <w:ind w:left="1070" w:hanging="360"/>
      </w:pPr>
      <w:rPr>
        <w:rFonts w:ascii="Symbol" w:hAnsi="Symbol" w:hint="default"/>
      </w:rPr>
    </w:lvl>
    <w:lvl w:ilvl="1" w:tplc="FFFFFFFF">
      <w:start w:val="1"/>
      <w:numFmt w:val="decimal"/>
      <w:lvlText w:val="%2."/>
      <w:lvlJc w:val="left"/>
      <w:pPr>
        <w:ind w:left="795" w:hanging="360"/>
      </w:pPr>
    </w:lvl>
    <w:lvl w:ilvl="2" w:tplc="FFFFFFFF">
      <w:start w:val="1"/>
      <w:numFmt w:val="bullet"/>
      <w:lvlText w:val=""/>
      <w:lvlJc w:val="left"/>
      <w:pPr>
        <w:ind w:left="1515" w:hanging="360"/>
      </w:pPr>
      <w:rPr>
        <w:rFonts w:ascii="Wingdings" w:hAnsi="Wingdings" w:hint="default"/>
      </w:rPr>
    </w:lvl>
    <w:lvl w:ilvl="3" w:tplc="FFFFFFFF" w:tentative="1">
      <w:start w:val="1"/>
      <w:numFmt w:val="bullet"/>
      <w:lvlText w:val=""/>
      <w:lvlJc w:val="left"/>
      <w:pPr>
        <w:ind w:left="2235" w:hanging="360"/>
      </w:pPr>
      <w:rPr>
        <w:rFonts w:ascii="Symbol" w:hAnsi="Symbol" w:hint="default"/>
      </w:rPr>
    </w:lvl>
    <w:lvl w:ilvl="4" w:tplc="FFFFFFFF" w:tentative="1">
      <w:start w:val="1"/>
      <w:numFmt w:val="bullet"/>
      <w:lvlText w:val="o"/>
      <w:lvlJc w:val="left"/>
      <w:pPr>
        <w:ind w:left="2955" w:hanging="360"/>
      </w:pPr>
      <w:rPr>
        <w:rFonts w:ascii="Courier New" w:hAnsi="Courier New" w:cs="Courier New" w:hint="default"/>
      </w:rPr>
    </w:lvl>
    <w:lvl w:ilvl="5" w:tplc="FFFFFFFF" w:tentative="1">
      <w:start w:val="1"/>
      <w:numFmt w:val="bullet"/>
      <w:lvlText w:val=""/>
      <w:lvlJc w:val="left"/>
      <w:pPr>
        <w:ind w:left="3675" w:hanging="360"/>
      </w:pPr>
      <w:rPr>
        <w:rFonts w:ascii="Wingdings" w:hAnsi="Wingdings" w:hint="default"/>
      </w:rPr>
    </w:lvl>
    <w:lvl w:ilvl="6" w:tplc="FFFFFFFF" w:tentative="1">
      <w:start w:val="1"/>
      <w:numFmt w:val="bullet"/>
      <w:lvlText w:val=""/>
      <w:lvlJc w:val="left"/>
      <w:pPr>
        <w:ind w:left="4395" w:hanging="360"/>
      </w:pPr>
      <w:rPr>
        <w:rFonts w:ascii="Symbol" w:hAnsi="Symbol" w:hint="default"/>
      </w:rPr>
    </w:lvl>
    <w:lvl w:ilvl="7" w:tplc="FFFFFFFF" w:tentative="1">
      <w:start w:val="1"/>
      <w:numFmt w:val="bullet"/>
      <w:lvlText w:val="o"/>
      <w:lvlJc w:val="left"/>
      <w:pPr>
        <w:ind w:left="5115" w:hanging="360"/>
      </w:pPr>
      <w:rPr>
        <w:rFonts w:ascii="Courier New" w:hAnsi="Courier New" w:cs="Courier New" w:hint="default"/>
      </w:rPr>
    </w:lvl>
    <w:lvl w:ilvl="8" w:tplc="FFFFFFFF" w:tentative="1">
      <w:start w:val="1"/>
      <w:numFmt w:val="bullet"/>
      <w:lvlText w:val=""/>
      <w:lvlJc w:val="left"/>
      <w:pPr>
        <w:ind w:left="5835" w:hanging="360"/>
      </w:pPr>
      <w:rPr>
        <w:rFonts w:ascii="Wingdings" w:hAnsi="Wingdings" w:hint="default"/>
      </w:rPr>
    </w:lvl>
  </w:abstractNum>
  <w:abstractNum w:abstractNumId="13" w15:restartNumberingAfterBreak="0">
    <w:nsid w:val="4F2B60E0"/>
    <w:multiLevelType w:val="hybridMultilevel"/>
    <w:tmpl w:val="93826B3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534F44E6"/>
    <w:multiLevelType w:val="multilevel"/>
    <w:tmpl w:val="647663A2"/>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5E176614"/>
    <w:multiLevelType w:val="hybridMultilevel"/>
    <w:tmpl w:val="888CEF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5FB1E4B"/>
    <w:multiLevelType w:val="hybridMultilevel"/>
    <w:tmpl w:val="AA76DFBC"/>
    <w:lvl w:ilvl="0" w:tplc="4B6A9952">
      <w:numFmt w:val="bullet"/>
      <w:lvlText w:val="-"/>
      <w:lvlJc w:val="left"/>
      <w:pPr>
        <w:ind w:left="720" w:hanging="360"/>
      </w:pPr>
      <w:rPr>
        <w:rFonts w:ascii="Calibri" w:eastAsia="Calibr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7672233"/>
    <w:multiLevelType w:val="hybridMultilevel"/>
    <w:tmpl w:val="9A6A3B8A"/>
    <w:lvl w:ilvl="0" w:tplc="4F3C28E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BAD1101"/>
    <w:multiLevelType w:val="multilevel"/>
    <w:tmpl w:val="647663A2"/>
    <w:lvl w:ilvl="0">
      <w:start w:val="1"/>
      <w:numFmt w:val="decimal"/>
      <w:pStyle w:val="Titre1"/>
      <w:lvlText w:val="%1"/>
      <w:lvlJc w:val="left"/>
      <w:pPr>
        <w:ind w:left="4686" w:hanging="432"/>
      </w:pPr>
    </w:lvl>
    <w:lvl w:ilvl="1">
      <w:start w:val="1"/>
      <w:numFmt w:val="decimal"/>
      <w:pStyle w:val="Titre2"/>
      <w:lvlText w:val="%1.%2"/>
      <w:lvlJc w:val="left"/>
      <w:pPr>
        <w:ind w:left="8230"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9" w15:restartNumberingAfterBreak="0">
    <w:nsid w:val="6D3F4D74"/>
    <w:multiLevelType w:val="hybridMultilevel"/>
    <w:tmpl w:val="630ACC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1421525">
    <w:abstractNumId w:val="18"/>
  </w:num>
  <w:num w:numId="2" w16cid:durableId="270287514">
    <w:abstractNumId w:val="9"/>
  </w:num>
  <w:num w:numId="3" w16cid:durableId="1675497260">
    <w:abstractNumId w:val="14"/>
  </w:num>
  <w:num w:numId="4" w16cid:durableId="1146706333">
    <w:abstractNumId w:val="8"/>
  </w:num>
  <w:num w:numId="5" w16cid:durableId="1502348752">
    <w:abstractNumId w:val="1"/>
  </w:num>
  <w:num w:numId="6" w16cid:durableId="1544101585">
    <w:abstractNumId w:val="10"/>
  </w:num>
  <w:num w:numId="7" w16cid:durableId="896626050">
    <w:abstractNumId w:val="19"/>
  </w:num>
  <w:num w:numId="8" w16cid:durableId="806780153">
    <w:abstractNumId w:val="5"/>
  </w:num>
  <w:num w:numId="9" w16cid:durableId="1677002603">
    <w:abstractNumId w:val="17"/>
  </w:num>
  <w:num w:numId="10" w16cid:durableId="22487393">
    <w:abstractNumId w:val="13"/>
  </w:num>
  <w:num w:numId="11" w16cid:durableId="270942799">
    <w:abstractNumId w:val="12"/>
  </w:num>
  <w:num w:numId="12" w16cid:durableId="10230698">
    <w:abstractNumId w:val="12"/>
    <w:lvlOverride w:ilvl="0">
      <w:startOverride w:val="1"/>
    </w:lvlOverride>
  </w:num>
  <w:num w:numId="13" w16cid:durableId="1914856611">
    <w:abstractNumId w:val="3"/>
  </w:num>
  <w:num w:numId="14" w16cid:durableId="2976140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1555029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79533346">
    <w:abstractNumId w:val="0"/>
  </w:num>
  <w:num w:numId="17" w16cid:durableId="1806778966">
    <w:abstractNumId w:val="15"/>
  </w:num>
  <w:num w:numId="18" w16cid:durableId="1492718141">
    <w:abstractNumId w:val="16"/>
  </w:num>
  <w:num w:numId="19" w16cid:durableId="282462444">
    <w:abstractNumId w:val="2"/>
  </w:num>
  <w:num w:numId="20" w16cid:durableId="716051421">
    <w:abstractNumId w:val="6"/>
  </w:num>
  <w:num w:numId="21" w16cid:durableId="175773884">
    <w:abstractNumId w:val="4"/>
  </w:num>
  <w:num w:numId="22" w16cid:durableId="594747775">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E5uyYP9Qt12JhtK4kcsncJVBSDNe0AQtl1obLTf8RRciZEevZlltaHqJyF9S/UQ8pp3cFBIW5yKtULaKwtL8EA==" w:salt="svTIoqUPkfkNdJVwAuj2SA=="/>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563C1F"/>
    <w:rsid w:val="00000106"/>
    <w:rsid w:val="000006B0"/>
    <w:rsid w:val="00000871"/>
    <w:rsid w:val="0000093E"/>
    <w:rsid w:val="00000B5A"/>
    <w:rsid w:val="000016E1"/>
    <w:rsid w:val="00001A56"/>
    <w:rsid w:val="00001FE4"/>
    <w:rsid w:val="00002320"/>
    <w:rsid w:val="000024D8"/>
    <w:rsid w:val="0000274F"/>
    <w:rsid w:val="00002779"/>
    <w:rsid w:val="00002825"/>
    <w:rsid w:val="00002ED5"/>
    <w:rsid w:val="00002EE6"/>
    <w:rsid w:val="00004AF7"/>
    <w:rsid w:val="00005477"/>
    <w:rsid w:val="000056A3"/>
    <w:rsid w:val="00005AB2"/>
    <w:rsid w:val="00005C61"/>
    <w:rsid w:val="00005F85"/>
    <w:rsid w:val="000064F2"/>
    <w:rsid w:val="00006545"/>
    <w:rsid w:val="00006613"/>
    <w:rsid w:val="00006815"/>
    <w:rsid w:val="00007464"/>
    <w:rsid w:val="00007779"/>
    <w:rsid w:val="000079F1"/>
    <w:rsid w:val="00007A47"/>
    <w:rsid w:val="00007A85"/>
    <w:rsid w:val="00007F5B"/>
    <w:rsid w:val="00010571"/>
    <w:rsid w:val="0001058E"/>
    <w:rsid w:val="00010A1D"/>
    <w:rsid w:val="00010FB2"/>
    <w:rsid w:val="000111A8"/>
    <w:rsid w:val="00011B38"/>
    <w:rsid w:val="000126F1"/>
    <w:rsid w:val="00012B39"/>
    <w:rsid w:val="00012D0A"/>
    <w:rsid w:val="00012D68"/>
    <w:rsid w:val="000138FA"/>
    <w:rsid w:val="00013DD9"/>
    <w:rsid w:val="00013F7F"/>
    <w:rsid w:val="0001403A"/>
    <w:rsid w:val="0001447C"/>
    <w:rsid w:val="000145FD"/>
    <w:rsid w:val="00014634"/>
    <w:rsid w:val="00014ED9"/>
    <w:rsid w:val="00015167"/>
    <w:rsid w:val="0001526F"/>
    <w:rsid w:val="000154A2"/>
    <w:rsid w:val="000157DC"/>
    <w:rsid w:val="0001595F"/>
    <w:rsid w:val="00015D05"/>
    <w:rsid w:val="000166FD"/>
    <w:rsid w:val="00016C55"/>
    <w:rsid w:val="0001714D"/>
    <w:rsid w:val="0001716D"/>
    <w:rsid w:val="000178F0"/>
    <w:rsid w:val="00020300"/>
    <w:rsid w:val="00020308"/>
    <w:rsid w:val="0002059D"/>
    <w:rsid w:val="00020AF3"/>
    <w:rsid w:val="00021363"/>
    <w:rsid w:val="000213BF"/>
    <w:rsid w:val="00021485"/>
    <w:rsid w:val="000216EE"/>
    <w:rsid w:val="00021B39"/>
    <w:rsid w:val="00021DEB"/>
    <w:rsid w:val="000222AE"/>
    <w:rsid w:val="0002246F"/>
    <w:rsid w:val="00022A26"/>
    <w:rsid w:val="00022CCD"/>
    <w:rsid w:val="00022EE9"/>
    <w:rsid w:val="000230FF"/>
    <w:rsid w:val="000233CE"/>
    <w:rsid w:val="0002341B"/>
    <w:rsid w:val="00023473"/>
    <w:rsid w:val="00023E8C"/>
    <w:rsid w:val="00024499"/>
    <w:rsid w:val="00024CAF"/>
    <w:rsid w:val="00025363"/>
    <w:rsid w:val="00025631"/>
    <w:rsid w:val="00025A7F"/>
    <w:rsid w:val="00025C8C"/>
    <w:rsid w:val="00026016"/>
    <w:rsid w:val="0002607B"/>
    <w:rsid w:val="000271F8"/>
    <w:rsid w:val="000275A0"/>
    <w:rsid w:val="000275BD"/>
    <w:rsid w:val="000279E9"/>
    <w:rsid w:val="00030900"/>
    <w:rsid w:val="00030B38"/>
    <w:rsid w:val="00030CFE"/>
    <w:rsid w:val="00030EF6"/>
    <w:rsid w:val="000312A6"/>
    <w:rsid w:val="00031738"/>
    <w:rsid w:val="00031FBC"/>
    <w:rsid w:val="00032C68"/>
    <w:rsid w:val="00033108"/>
    <w:rsid w:val="000332F2"/>
    <w:rsid w:val="00033318"/>
    <w:rsid w:val="000333F7"/>
    <w:rsid w:val="00033696"/>
    <w:rsid w:val="00033B3C"/>
    <w:rsid w:val="00033DE1"/>
    <w:rsid w:val="00034017"/>
    <w:rsid w:val="000340CE"/>
    <w:rsid w:val="000340EB"/>
    <w:rsid w:val="000341C3"/>
    <w:rsid w:val="00034277"/>
    <w:rsid w:val="00035C05"/>
    <w:rsid w:val="00035CE0"/>
    <w:rsid w:val="000372BF"/>
    <w:rsid w:val="00037FBD"/>
    <w:rsid w:val="0004027B"/>
    <w:rsid w:val="00040979"/>
    <w:rsid w:val="00040D1B"/>
    <w:rsid w:val="00040EED"/>
    <w:rsid w:val="00041079"/>
    <w:rsid w:val="000418EB"/>
    <w:rsid w:val="00041978"/>
    <w:rsid w:val="00041B30"/>
    <w:rsid w:val="00041C7C"/>
    <w:rsid w:val="00041DB8"/>
    <w:rsid w:val="00042241"/>
    <w:rsid w:val="000425D9"/>
    <w:rsid w:val="00042762"/>
    <w:rsid w:val="000427B1"/>
    <w:rsid w:val="00042BF9"/>
    <w:rsid w:val="00042E50"/>
    <w:rsid w:val="00043271"/>
    <w:rsid w:val="0004374E"/>
    <w:rsid w:val="000437B4"/>
    <w:rsid w:val="00043A53"/>
    <w:rsid w:val="00043E48"/>
    <w:rsid w:val="000442CD"/>
    <w:rsid w:val="00044364"/>
    <w:rsid w:val="00044845"/>
    <w:rsid w:val="000448B4"/>
    <w:rsid w:val="00044C5A"/>
    <w:rsid w:val="00045694"/>
    <w:rsid w:val="00045B6B"/>
    <w:rsid w:val="00045BA9"/>
    <w:rsid w:val="00045CED"/>
    <w:rsid w:val="000469D2"/>
    <w:rsid w:val="00047270"/>
    <w:rsid w:val="000504AC"/>
    <w:rsid w:val="000509A0"/>
    <w:rsid w:val="00050C75"/>
    <w:rsid w:val="0005116F"/>
    <w:rsid w:val="000518C1"/>
    <w:rsid w:val="00052218"/>
    <w:rsid w:val="00052934"/>
    <w:rsid w:val="00052CB6"/>
    <w:rsid w:val="000531B4"/>
    <w:rsid w:val="00053346"/>
    <w:rsid w:val="00053B49"/>
    <w:rsid w:val="0005431E"/>
    <w:rsid w:val="00054555"/>
    <w:rsid w:val="000546CD"/>
    <w:rsid w:val="000547CC"/>
    <w:rsid w:val="00054C9F"/>
    <w:rsid w:val="00054DE5"/>
    <w:rsid w:val="00055AC4"/>
    <w:rsid w:val="00055E25"/>
    <w:rsid w:val="0005603E"/>
    <w:rsid w:val="00056196"/>
    <w:rsid w:val="00056896"/>
    <w:rsid w:val="00056BF6"/>
    <w:rsid w:val="000605A6"/>
    <w:rsid w:val="0006071F"/>
    <w:rsid w:val="00060962"/>
    <w:rsid w:val="00060A0A"/>
    <w:rsid w:val="00060D38"/>
    <w:rsid w:val="0006131F"/>
    <w:rsid w:val="000613AD"/>
    <w:rsid w:val="000617DB"/>
    <w:rsid w:val="0006186E"/>
    <w:rsid w:val="00061BB8"/>
    <w:rsid w:val="00061F32"/>
    <w:rsid w:val="00062D49"/>
    <w:rsid w:val="0006339C"/>
    <w:rsid w:val="00063847"/>
    <w:rsid w:val="00063BAE"/>
    <w:rsid w:val="00063FB5"/>
    <w:rsid w:val="00064212"/>
    <w:rsid w:val="00064EF0"/>
    <w:rsid w:val="00065B40"/>
    <w:rsid w:val="000661C3"/>
    <w:rsid w:val="00066B8E"/>
    <w:rsid w:val="0006711D"/>
    <w:rsid w:val="0006773E"/>
    <w:rsid w:val="00067893"/>
    <w:rsid w:val="00067B6D"/>
    <w:rsid w:val="00067C84"/>
    <w:rsid w:val="000704EB"/>
    <w:rsid w:val="00070613"/>
    <w:rsid w:val="00072846"/>
    <w:rsid w:val="0007285E"/>
    <w:rsid w:val="00072E43"/>
    <w:rsid w:val="00073FFD"/>
    <w:rsid w:val="00074344"/>
    <w:rsid w:val="00074E30"/>
    <w:rsid w:val="00075014"/>
    <w:rsid w:val="000759A3"/>
    <w:rsid w:val="00075DA6"/>
    <w:rsid w:val="00076B7A"/>
    <w:rsid w:val="00076BC7"/>
    <w:rsid w:val="00076DE8"/>
    <w:rsid w:val="00077859"/>
    <w:rsid w:val="00077BA1"/>
    <w:rsid w:val="00077BDF"/>
    <w:rsid w:val="00077C57"/>
    <w:rsid w:val="000801E8"/>
    <w:rsid w:val="00080D13"/>
    <w:rsid w:val="00080DC3"/>
    <w:rsid w:val="00080FC3"/>
    <w:rsid w:val="000812C7"/>
    <w:rsid w:val="00081841"/>
    <w:rsid w:val="00081F58"/>
    <w:rsid w:val="0008237A"/>
    <w:rsid w:val="00082E89"/>
    <w:rsid w:val="000831F3"/>
    <w:rsid w:val="00083DAE"/>
    <w:rsid w:val="00084FC1"/>
    <w:rsid w:val="00085AA4"/>
    <w:rsid w:val="00085B24"/>
    <w:rsid w:val="00085EFA"/>
    <w:rsid w:val="000860D3"/>
    <w:rsid w:val="000866B2"/>
    <w:rsid w:val="00086783"/>
    <w:rsid w:val="00086BAC"/>
    <w:rsid w:val="000874BC"/>
    <w:rsid w:val="00087D2D"/>
    <w:rsid w:val="000900C6"/>
    <w:rsid w:val="00090912"/>
    <w:rsid w:val="00091203"/>
    <w:rsid w:val="00091B09"/>
    <w:rsid w:val="00091BB5"/>
    <w:rsid w:val="00092AA2"/>
    <w:rsid w:val="0009321F"/>
    <w:rsid w:val="000934DC"/>
    <w:rsid w:val="000934FD"/>
    <w:rsid w:val="0009362A"/>
    <w:rsid w:val="00093884"/>
    <w:rsid w:val="000942EA"/>
    <w:rsid w:val="0009498D"/>
    <w:rsid w:val="00094C24"/>
    <w:rsid w:val="00095712"/>
    <w:rsid w:val="0009597A"/>
    <w:rsid w:val="00095E39"/>
    <w:rsid w:val="00096AAC"/>
    <w:rsid w:val="00096B28"/>
    <w:rsid w:val="00096D55"/>
    <w:rsid w:val="00096D57"/>
    <w:rsid w:val="00097CBF"/>
    <w:rsid w:val="000A081E"/>
    <w:rsid w:val="000A0C5A"/>
    <w:rsid w:val="000A0FB7"/>
    <w:rsid w:val="000A10FD"/>
    <w:rsid w:val="000A17B4"/>
    <w:rsid w:val="000A1DBC"/>
    <w:rsid w:val="000A2058"/>
    <w:rsid w:val="000A2A7D"/>
    <w:rsid w:val="000A2CFA"/>
    <w:rsid w:val="000A2F1D"/>
    <w:rsid w:val="000A3326"/>
    <w:rsid w:val="000A35C8"/>
    <w:rsid w:val="000A3CDE"/>
    <w:rsid w:val="000A54CD"/>
    <w:rsid w:val="000A55CE"/>
    <w:rsid w:val="000A5820"/>
    <w:rsid w:val="000A6117"/>
    <w:rsid w:val="000A6616"/>
    <w:rsid w:val="000A6786"/>
    <w:rsid w:val="000A756F"/>
    <w:rsid w:val="000A7600"/>
    <w:rsid w:val="000A7CF6"/>
    <w:rsid w:val="000B056C"/>
    <w:rsid w:val="000B0864"/>
    <w:rsid w:val="000B0A19"/>
    <w:rsid w:val="000B0FA7"/>
    <w:rsid w:val="000B14CD"/>
    <w:rsid w:val="000B16DC"/>
    <w:rsid w:val="000B1961"/>
    <w:rsid w:val="000B1AC3"/>
    <w:rsid w:val="000B1DE9"/>
    <w:rsid w:val="000B253F"/>
    <w:rsid w:val="000B2818"/>
    <w:rsid w:val="000B2A66"/>
    <w:rsid w:val="000B2C5A"/>
    <w:rsid w:val="000B312D"/>
    <w:rsid w:val="000B3131"/>
    <w:rsid w:val="000B32A0"/>
    <w:rsid w:val="000B32E6"/>
    <w:rsid w:val="000B3465"/>
    <w:rsid w:val="000B3D11"/>
    <w:rsid w:val="000B4353"/>
    <w:rsid w:val="000B45DC"/>
    <w:rsid w:val="000B51F8"/>
    <w:rsid w:val="000B5D3D"/>
    <w:rsid w:val="000B5F77"/>
    <w:rsid w:val="000B60AB"/>
    <w:rsid w:val="000B6C50"/>
    <w:rsid w:val="000B7851"/>
    <w:rsid w:val="000B7C20"/>
    <w:rsid w:val="000C009C"/>
    <w:rsid w:val="000C0745"/>
    <w:rsid w:val="000C07C6"/>
    <w:rsid w:val="000C08C5"/>
    <w:rsid w:val="000C0AF3"/>
    <w:rsid w:val="000C0CE0"/>
    <w:rsid w:val="000C1066"/>
    <w:rsid w:val="000C11BC"/>
    <w:rsid w:val="000C1CB2"/>
    <w:rsid w:val="000C1E78"/>
    <w:rsid w:val="000C380D"/>
    <w:rsid w:val="000C3858"/>
    <w:rsid w:val="000C3FEB"/>
    <w:rsid w:val="000C40F1"/>
    <w:rsid w:val="000C4CAD"/>
    <w:rsid w:val="000C567A"/>
    <w:rsid w:val="000C5A4E"/>
    <w:rsid w:val="000C5C41"/>
    <w:rsid w:val="000C5FB4"/>
    <w:rsid w:val="000C6025"/>
    <w:rsid w:val="000C654E"/>
    <w:rsid w:val="000C660F"/>
    <w:rsid w:val="000C6631"/>
    <w:rsid w:val="000C7251"/>
    <w:rsid w:val="000C72DC"/>
    <w:rsid w:val="000C7AE6"/>
    <w:rsid w:val="000C7EDE"/>
    <w:rsid w:val="000D0040"/>
    <w:rsid w:val="000D0372"/>
    <w:rsid w:val="000D0C54"/>
    <w:rsid w:val="000D0C71"/>
    <w:rsid w:val="000D1038"/>
    <w:rsid w:val="000D13ED"/>
    <w:rsid w:val="000D16EB"/>
    <w:rsid w:val="000D1894"/>
    <w:rsid w:val="000D1A12"/>
    <w:rsid w:val="000D1C3A"/>
    <w:rsid w:val="000D1E53"/>
    <w:rsid w:val="000D1E81"/>
    <w:rsid w:val="000D2604"/>
    <w:rsid w:val="000D27F3"/>
    <w:rsid w:val="000D2C4F"/>
    <w:rsid w:val="000D2CBC"/>
    <w:rsid w:val="000D3569"/>
    <w:rsid w:val="000D3661"/>
    <w:rsid w:val="000D42F2"/>
    <w:rsid w:val="000D48AC"/>
    <w:rsid w:val="000D4B4E"/>
    <w:rsid w:val="000D4E31"/>
    <w:rsid w:val="000D4E48"/>
    <w:rsid w:val="000D5244"/>
    <w:rsid w:val="000D529F"/>
    <w:rsid w:val="000D5598"/>
    <w:rsid w:val="000D6245"/>
    <w:rsid w:val="000D78CF"/>
    <w:rsid w:val="000E02A3"/>
    <w:rsid w:val="000E03E9"/>
    <w:rsid w:val="000E07ED"/>
    <w:rsid w:val="000E0ECD"/>
    <w:rsid w:val="000E10A4"/>
    <w:rsid w:val="000E19CE"/>
    <w:rsid w:val="000E1A33"/>
    <w:rsid w:val="000E23D5"/>
    <w:rsid w:val="000E330E"/>
    <w:rsid w:val="000E384D"/>
    <w:rsid w:val="000E4100"/>
    <w:rsid w:val="000E4207"/>
    <w:rsid w:val="000E42A2"/>
    <w:rsid w:val="000E4875"/>
    <w:rsid w:val="000E492C"/>
    <w:rsid w:val="000E49FC"/>
    <w:rsid w:val="000E4A13"/>
    <w:rsid w:val="000E4B31"/>
    <w:rsid w:val="000E4B48"/>
    <w:rsid w:val="000E5313"/>
    <w:rsid w:val="000E539E"/>
    <w:rsid w:val="000E5B21"/>
    <w:rsid w:val="000E6341"/>
    <w:rsid w:val="000E686A"/>
    <w:rsid w:val="000E6879"/>
    <w:rsid w:val="000E70F7"/>
    <w:rsid w:val="000E75F0"/>
    <w:rsid w:val="000E77EF"/>
    <w:rsid w:val="000E7879"/>
    <w:rsid w:val="000F042B"/>
    <w:rsid w:val="000F1AC6"/>
    <w:rsid w:val="000F1AF5"/>
    <w:rsid w:val="000F3148"/>
    <w:rsid w:val="000F3473"/>
    <w:rsid w:val="000F4BF0"/>
    <w:rsid w:val="000F4C18"/>
    <w:rsid w:val="000F52DD"/>
    <w:rsid w:val="000F541A"/>
    <w:rsid w:val="000F57B6"/>
    <w:rsid w:val="000F5B7D"/>
    <w:rsid w:val="000F66F0"/>
    <w:rsid w:val="000F683D"/>
    <w:rsid w:val="000F690E"/>
    <w:rsid w:val="000F6FF0"/>
    <w:rsid w:val="000F71FE"/>
    <w:rsid w:val="000F7766"/>
    <w:rsid w:val="000F7954"/>
    <w:rsid w:val="000F7EAE"/>
    <w:rsid w:val="00100177"/>
    <w:rsid w:val="001004FA"/>
    <w:rsid w:val="00100A48"/>
    <w:rsid w:val="00100D19"/>
    <w:rsid w:val="00100EAE"/>
    <w:rsid w:val="00101225"/>
    <w:rsid w:val="0010144C"/>
    <w:rsid w:val="0010181A"/>
    <w:rsid w:val="00101986"/>
    <w:rsid w:val="00101B11"/>
    <w:rsid w:val="00101DAD"/>
    <w:rsid w:val="00102675"/>
    <w:rsid w:val="0010390A"/>
    <w:rsid w:val="001040CF"/>
    <w:rsid w:val="00104265"/>
    <w:rsid w:val="0010473F"/>
    <w:rsid w:val="00104DFF"/>
    <w:rsid w:val="00104FD6"/>
    <w:rsid w:val="00105115"/>
    <w:rsid w:val="0010560D"/>
    <w:rsid w:val="001058E6"/>
    <w:rsid w:val="00105B37"/>
    <w:rsid w:val="00106494"/>
    <w:rsid w:val="00106799"/>
    <w:rsid w:val="001067FA"/>
    <w:rsid w:val="001069C1"/>
    <w:rsid w:val="00106F04"/>
    <w:rsid w:val="0010780B"/>
    <w:rsid w:val="0010785F"/>
    <w:rsid w:val="00107DE3"/>
    <w:rsid w:val="00107E69"/>
    <w:rsid w:val="00107EA7"/>
    <w:rsid w:val="00110454"/>
    <w:rsid w:val="00110B88"/>
    <w:rsid w:val="00110E98"/>
    <w:rsid w:val="00111C8F"/>
    <w:rsid w:val="00112066"/>
    <w:rsid w:val="001120F2"/>
    <w:rsid w:val="001122D0"/>
    <w:rsid w:val="00112591"/>
    <w:rsid w:val="00112637"/>
    <w:rsid w:val="001128B5"/>
    <w:rsid w:val="00113090"/>
    <w:rsid w:val="00113750"/>
    <w:rsid w:val="001139A8"/>
    <w:rsid w:val="001139E4"/>
    <w:rsid w:val="0011403D"/>
    <w:rsid w:val="001141FB"/>
    <w:rsid w:val="001143E4"/>
    <w:rsid w:val="00114B49"/>
    <w:rsid w:val="00114ED5"/>
    <w:rsid w:val="00115648"/>
    <w:rsid w:val="00115EA1"/>
    <w:rsid w:val="0011604D"/>
    <w:rsid w:val="00116558"/>
    <w:rsid w:val="00116FEC"/>
    <w:rsid w:val="00117269"/>
    <w:rsid w:val="001174A8"/>
    <w:rsid w:val="00117CA3"/>
    <w:rsid w:val="00117E46"/>
    <w:rsid w:val="00117FB3"/>
    <w:rsid w:val="00120222"/>
    <w:rsid w:val="001204FC"/>
    <w:rsid w:val="00120548"/>
    <w:rsid w:val="00120B7D"/>
    <w:rsid w:val="00121319"/>
    <w:rsid w:val="00121770"/>
    <w:rsid w:val="00121A91"/>
    <w:rsid w:val="00121B3A"/>
    <w:rsid w:val="00122450"/>
    <w:rsid w:val="00122550"/>
    <w:rsid w:val="001227A0"/>
    <w:rsid w:val="001231AA"/>
    <w:rsid w:val="00123483"/>
    <w:rsid w:val="00124C76"/>
    <w:rsid w:val="00124E47"/>
    <w:rsid w:val="00124F90"/>
    <w:rsid w:val="0012509F"/>
    <w:rsid w:val="00125101"/>
    <w:rsid w:val="001256CF"/>
    <w:rsid w:val="001256D3"/>
    <w:rsid w:val="00125CC2"/>
    <w:rsid w:val="001278A2"/>
    <w:rsid w:val="00130D88"/>
    <w:rsid w:val="00130EF9"/>
    <w:rsid w:val="0013112A"/>
    <w:rsid w:val="0013112E"/>
    <w:rsid w:val="00131979"/>
    <w:rsid w:val="001324D7"/>
    <w:rsid w:val="001327B9"/>
    <w:rsid w:val="001329DF"/>
    <w:rsid w:val="0013329C"/>
    <w:rsid w:val="001333FD"/>
    <w:rsid w:val="0013408E"/>
    <w:rsid w:val="001340CE"/>
    <w:rsid w:val="00134578"/>
    <w:rsid w:val="0013511C"/>
    <w:rsid w:val="001353F4"/>
    <w:rsid w:val="00135DB5"/>
    <w:rsid w:val="00135E08"/>
    <w:rsid w:val="0013656A"/>
    <w:rsid w:val="00136B4D"/>
    <w:rsid w:val="00137264"/>
    <w:rsid w:val="00137E61"/>
    <w:rsid w:val="00140BD4"/>
    <w:rsid w:val="0014136E"/>
    <w:rsid w:val="00142E4A"/>
    <w:rsid w:val="00142FBA"/>
    <w:rsid w:val="00143112"/>
    <w:rsid w:val="00143116"/>
    <w:rsid w:val="00143685"/>
    <w:rsid w:val="00143DD3"/>
    <w:rsid w:val="0014423D"/>
    <w:rsid w:val="00144920"/>
    <w:rsid w:val="00144AAD"/>
    <w:rsid w:val="00146012"/>
    <w:rsid w:val="0014628C"/>
    <w:rsid w:val="001462D5"/>
    <w:rsid w:val="00146698"/>
    <w:rsid w:val="00146A33"/>
    <w:rsid w:val="00146B8D"/>
    <w:rsid w:val="00146C60"/>
    <w:rsid w:val="00146D7A"/>
    <w:rsid w:val="00146E77"/>
    <w:rsid w:val="00146F68"/>
    <w:rsid w:val="001471A9"/>
    <w:rsid w:val="0014759E"/>
    <w:rsid w:val="0014796F"/>
    <w:rsid w:val="00147E4E"/>
    <w:rsid w:val="001504A4"/>
    <w:rsid w:val="001509B2"/>
    <w:rsid w:val="001519C2"/>
    <w:rsid w:val="00151A73"/>
    <w:rsid w:val="00151CE1"/>
    <w:rsid w:val="00151FBE"/>
    <w:rsid w:val="0015215A"/>
    <w:rsid w:val="00152DA0"/>
    <w:rsid w:val="00152DE0"/>
    <w:rsid w:val="0015349D"/>
    <w:rsid w:val="00153A29"/>
    <w:rsid w:val="00153E86"/>
    <w:rsid w:val="00155685"/>
    <w:rsid w:val="00155EE0"/>
    <w:rsid w:val="00156067"/>
    <w:rsid w:val="00156071"/>
    <w:rsid w:val="001561CF"/>
    <w:rsid w:val="001562B9"/>
    <w:rsid w:val="00156538"/>
    <w:rsid w:val="0015657B"/>
    <w:rsid w:val="00157562"/>
    <w:rsid w:val="00157895"/>
    <w:rsid w:val="00157B19"/>
    <w:rsid w:val="00157E2B"/>
    <w:rsid w:val="001612BB"/>
    <w:rsid w:val="00162033"/>
    <w:rsid w:val="00162660"/>
    <w:rsid w:val="00162BE2"/>
    <w:rsid w:val="00162E45"/>
    <w:rsid w:val="0016313B"/>
    <w:rsid w:val="0016369E"/>
    <w:rsid w:val="0016408C"/>
    <w:rsid w:val="00164153"/>
    <w:rsid w:val="001646B2"/>
    <w:rsid w:val="00165987"/>
    <w:rsid w:val="00165B05"/>
    <w:rsid w:val="00165F27"/>
    <w:rsid w:val="00166381"/>
    <w:rsid w:val="00166568"/>
    <w:rsid w:val="00166ED0"/>
    <w:rsid w:val="001675D5"/>
    <w:rsid w:val="001678F4"/>
    <w:rsid w:val="001706ED"/>
    <w:rsid w:val="00170D35"/>
    <w:rsid w:val="00170D8A"/>
    <w:rsid w:val="00171149"/>
    <w:rsid w:val="001715FF"/>
    <w:rsid w:val="00172046"/>
    <w:rsid w:val="0017230D"/>
    <w:rsid w:val="00172469"/>
    <w:rsid w:val="001727C0"/>
    <w:rsid w:val="00172CDC"/>
    <w:rsid w:val="00172FA3"/>
    <w:rsid w:val="001730A2"/>
    <w:rsid w:val="0017314B"/>
    <w:rsid w:val="001734BF"/>
    <w:rsid w:val="001734FE"/>
    <w:rsid w:val="001737CA"/>
    <w:rsid w:val="001737F0"/>
    <w:rsid w:val="00173D05"/>
    <w:rsid w:val="00174AC5"/>
    <w:rsid w:val="00174B11"/>
    <w:rsid w:val="001752CF"/>
    <w:rsid w:val="001759B1"/>
    <w:rsid w:val="00175AF5"/>
    <w:rsid w:val="00175DD2"/>
    <w:rsid w:val="001768AB"/>
    <w:rsid w:val="00176E22"/>
    <w:rsid w:val="00177379"/>
    <w:rsid w:val="00177B79"/>
    <w:rsid w:val="00177F8C"/>
    <w:rsid w:val="00180136"/>
    <w:rsid w:val="00180912"/>
    <w:rsid w:val="00180E67"/>
    <w:rsid w:val="001814B4"/>
    <w:rsid w:val="001817EC"/>
    <w:rsid w:val="001818CC"/>
    <w:rsid w:val="00182160"/>
    <w:rsid w:val="001826FD"/>
    <w:rsid w:val="00182A76"/>
    <w:rsid w:val="00183414"/>
    <w:rsid w:val="001839B2"/>
    <w:rsid w:val="00183AE7"/>
    <w:rsid w:val="00183C99"/>
    <w:rsid w:val="00183CE7"/>
    <w:rsid w:val="00184017"/>
    <w:rsid w:val="00184589"/>
    <w:rsid w:val="0018540C"/>
    <w:rsid w:val="00185A90"/>
    <w:rsid w:val="00185C4C"/>
    <w:rsid w:val="001865B6"/>
    <w:rsid w:val="001865EF"/>
    <w:rsid w:val="00186932"/>
    <w:rsid w:val="0018704D"/>
    <w:rsid w:val="001872C8"/>
    <w:rsid w:val="001879C7"/>
    <w:rsid w:val="0019085F"/>
    <w:rsid w:val="00190FCF"/>
    <w:rsid w:val="00191A56"/>
    <w:rsid w:val="001920DF"/>
    <w:rsid w:val="00192249"/>
    <w:rsid w:val="001924C0"/>
    <w:rsid w:val="00192BBA"/>
    <w:rsid w:val="00192FDE"/>
    <w:rsid w:val="00193114"/>
    <w:rsid w:val="00194440"/>
    <w:rsid w:val="001947EE"/>
    <w:rsid w:val="0019488B"/>
    <w:rsid w:val="00194A1B"/>
    <w:rsid w:val="0019537A"/>
    <w:rsid w:val="001955BB"/>
    <w:rsid w:val="0019689D"/>
    <w:rsid w:val="00196F6C"/>
    <w:rsid w:val="00197828"/>
    <w:rsid w:val="00197FF5"/>
    <w:rsid w:val="001A0632"/>
    <w:rsid w:val="001A069D"/>
    <w:rsid w:val="001A0C53"/>
    <w:rsid w:val="001A0C90"/>
    <w:rsid w:val="001A0E8D"/>
    <w:rsid w:val="001A16BF"/>
    <w:rsid w:val="001A19EF"/>
    <w:rsid w:val="001A1D74"/>
    <w:rsid w:val="001A217C"/>
    <w:rsid w:val="001A27A0"/>
    <w:rsid w:val="001A2869"/>
    <w:rsid w:val="001A2AC4"/>
    <w:rsid w:val="001A33A7"/>
    <w:rsid w:val="001A4A92"/>
    <w:rsid w:val="001A4D4B"/>
    <w:rsid w:val="001A5526"/>
    <w:rsid w:val="001A555F"/>
    <w:rsid w:val="001A558B"/>
    <w:rsid w:val="001A5A8F"/>
    <w:rsid w:val="001A5B61"/>
    <w:rsid w:val="001A5CA8"/>
    <w:rsid w:val="001A683E"/>
    <w:rsid w:val="001A6912"/>
    <w:rsid w:val="001A69F5"/>
    <w:rsid w:val="001A7004"/>
    <w:rsid w:val="001A747B"/>
    <w:rsid w:val="001B01C1"/>
    <w:rsid w:val="001B0951"/>
    <w:rsid w:val="001B0AE5"/>
    <w:rsid w:val="001B0EFC"/>
    <w:rsid w:val="001B0FDF"/>
    <w:rsid w:val="001B0FE0"/>
    <w:rsid w:val="001B172E"/>
    <w:rsid w:val="001B187F"/>
    <w:rsid w:val="001B1DD9"/>
    <w:rsid w:val="001B1DEB"/>
    <w:rsid w:val="001B2151"/>
    <w:rsid w:val="001B22E3"/>
    <w:rsid w:val="001B25A1"/>
    <w:rsid w:val="001B31B1"/>
    <w:rsid w:val="001B31BE"/>
    <w:rsid w:val="001B32D3"/>
    <w:rsid w:val="001B3347"/>
    <w:rsid w:val="001B39F8"/>
    <w:rsid w:val="001B3AF8"/>
    <w:rsid w:val="001B4086"/>
    <w:rsid w:val="001B4996"/>
    <w:rsid w:val="001B4AE1"/>
    <w:rsid w:val="001B5730"/>
    <w:rsid w:val="001B57ED"/>
    <w:rsid w:val="001B5DCD"/>
    <w:rsid w:val="001B6AE1"/>
    <w:rsid w:val="001B7063"/>
    <w:rsid w:val="001B73E7"/>
    <w:rsid w:val="001B767E"/>
    <w:rsid w:val="001B7F20"/>
    <w:rsid w:val="001C0461"/>
    <w:rsid w:val="001C088C"/>
    <w:rsid w:val="001C124A"/>
    <w:rsid w:val="001C13FA"/>
    <w:rsid w:val="001C1457"/>
    <w:rsid w:val="001C163F"/>
    <w:rsid w:val="001C2017"/>
    <w:rsid w:val="001C2134"/>
    <w:rsid w:val="001C2186"/>
    <w:rsid w:val="001C2AC2"/>
    <w:rsid w:val="001C34BB"/>
    <w:rsid w:val="001C389D"/>
    <w:rsid w:val="001C3B72"/>
    <w:rsid w:val="001C3B81"/>
    <w:rsid w:val="001C41D7"/>
    <w:rsid w:val="001C4F22"/>
    <w:rsid w:val="001C5579"/>
    <w:rsid w:val="001C65B7"/>
    <w:rsid w:val="001C660F"/>
    <w:rsid w:val="001C66BA"/>
    <w:rsid w:val="001C69A8"/>
    <w:rsid w:val="001C6D50"/>
    <w:rsid w:val="001C7507"/>
    <w:rsid w:val="001C7877"/>
    <w:rsid w:val="001C78F4"/>
    <w:rsid w:val="001C7D48"/>
    <w:rsid w:val="001D00BD"/>
    <w:rsid w:val="001D07B9"/>
    <w:rsid w:val="001D090B"/>
    <w:rsid w:val="001D0F87"/>
    <w:rsid w:val="001D1701"/>
    <w:rsid w:val="001D1AA0"/>
    <w:rsid w:val="001D1B5D"/>
    <w:rsid w:val="001D21CE"/>
    <w:rsid w:val="001D261E"/>
    <w:rsid w:val="001D2AB5"/>
    <w:rsid w:val="001D380E"/>
    <w:rsid w:val="001D3811"/>
    <w:rsid w:val="001D3B3F"/>
    <w:rsid w:val="001D4D39"/>
    <w:rsid w:val="001D5740"/>
    <w:rsid w:val="001D5A1D"/>
    <w:rsid w:val="001D5C07"/>
    <w:rsid w:val="001D5CAF"/>
    <w:rsid w:val="001D6503"/>
    <w:rsid w:val="001D66F1"/>
    <w:rsid w:val="001D7080"/>
    <w:rsid w:val="001D7492"/>
    <w:rsid w:val="001D7C85"/>
    <w:rsid w:val="001E0231"/>
    <w:rsid w:val="001E05CE"/>
    <w:rsid w:val="001E1281"/>
    <w:rsid w:val="001E1282"/>
    <w:rsid w:val="001E1C23"/>
    <w:rsid w:val="001E22D5"/>
    <w:rsid w:val="001E2A4A"/>
    <w:rsid w:val="001E3356"/>
    <w:rsid w:val="001E36EC"/>
    <w:rsid w:val="001E49FD"/>
    <w:rsid w:val="001E4E68"/>
    <w:rsid w:val="001E5253"/>
    <w:rsid w:val="001E599B"/>
    <w:rsid w:val="001E5BDC"/>
    <w:rsid w:val="001E63FF"/>
    <w:rsid w:val="001E66EC"/>
    <w:rsid w:val="001E7D54"/>
    <w:rsid w:val="001E7E49"/>
    <w:rsid w:val="001F0400"/>
    <w:rsid w:val="001F0E16"/>
    <w:rsid w:val="001F1B5A"/>
    <w:rsid w:val="001F1EC1"/>
    <w:rsid w:val="001F251D"/>
    <w:rsid w:val="001F287C"/>
    <w:rsid w:val="001F288D"/>
    <w:rsid w:val="001F33DE"/>
    <w:rsid w:val="001F352E"/>
    <w:rsid w:val="001F3660"/>
    <w:rsid w:val="001F419C"/>
    <w:rsid w:val="001F427C"/>
    <w:rsid w:val="001F452C"/>
    <w:rsid w:val="001F4611"/>
    <w:rsid w:val="001F4ECD"/>
    <w:rsid w:val="001F52FD"/>
    <w:rsid w:val="001F59C8"/>
    <w:rsid w:val="001F5F4E"/>
    <w:rsid w:val="001F6811"/>
    <w:rsid w:val="001F6936"/>
    <w:rsid w:val="001F6DD6"/>
    <w:rsid w:val="001F711E"/>
    <w:rsid w:val="001F7C99"/>
    <w:rsid w:val="001F7D89"/>
    <w:rsid w:val="001F7E7D"/>
    <w:rsid w:val="002004EC"/>
    <w:rsid w:val="00200EF9"/>
    <w:rsid w:val="002012B0"/>
    <w:rsid w:val="00201468"/>
    <w:rsid w:val="002017BA"/>
    <w:rsid w:val="0020313D"/>
    <w:rsid w:val="002031EA"/>
    <w:rsid w:val="00204C7D"/>
    <w:rsid w:val="00205C40"/>
    <w:rsid w:val="00206205"/>
    <w:rsid w:val="0020622B"/>
    <w:rsid w:val="00206A7B"/>
    <w:rsid w:val="00207A39"/>
    <w:rsid w:val="00207CA6"/>
    <w:rsid w:val="002101FB"/>
    <w:rsid w:val="002104E5"/>
    <w:rsid w:val="0021101C"/>
    <w:rsid w:val="00211384"/>
    <w:rsid w:val="00211CF5"/>
    <w:rsid w:val="00212030"/>
    <w:rsid w:val="00213569"/>
    <w:rsid w:val="002138C3"/>
    <w:rsid w:val="00213CDC"/>
    <w:rsid w:val="002142BB"/>
    <w:rsid w:val="002146B3"/>
    <w:rsid w:val="002152F9"/>
    <w:rsid w:val="00215527"/>
    <w:rsid w:val="00215BE1"/>
    <w:rsid w:val="00216141"/>
    <w:rsid w:val="0021622E"/>
    <w:rsid w:val="00217155"/>
    <w:rsid w:val="00217772"/>
    <w:rsid w:val="00217848"/>
    <w:rsid w:val="002209C3"/>
    <w:rsid w:val="00220A3B"/>
    <w:rsid w:val="00220D26"/>
    <w:rsid w:val="00221728"/>
    <w:rsid w:val="0022181F"/>
    <w:rsid w:val="002218C3"/>
    <w:rsid w:val="00221B56"/>
    <w:rsid w:val="0022214D"/>
    <w:rsid w:val="002227CF"/>
    <w:rsid w:val="002236FA"/>
    <w:rsid w:val="00224440"/>
    <w:rsid w:val="00224667"/>
    <w:rsid w:val="002247AF"/>
    <w:rsid w:val="0022488F"/>
    <w:rsid w:val="00224ABF"/>
    <w:rsid w:val="002255A5"/>
    <w:rsid w:val="00227538"/>
    <w:rsid w:val="00227964"/>
    <w:rsid w:val="00227A16"/>
    <w:rsid w:val="00227A98"/>
    <w:rsid w:val="00227E47"/>
    <w:rsid w:val="00227F6F"/>
    <w:rsid w:val="00227FD5"/>
    <w:rsid w:val="0023008B"/>
    <w:rsid w:val="00230BBE"/>
    <w:rsid w:val="00230FA9"/>
    <w:rsid w:val="00231643"/>
    <w:rsid w:val="00231659"/>
    <w:rsid w:val="00231966"/>
    <w:rsid w:val="00231CCD"/>
    <w:rsid w:val="00231FF3"/>
    <w:rsid w:val="00232394"/>
    <w:rsid w:val="0023249B"/>
    <w:rsid w:val="002328C6"/>
    <w:rsid w:val="00232A37"/>
    <w:rsid w:val="00233015"/>
    <w:rsid w:val="0023345E"/>
    <w:rsid w:val="002336F6"/>
    <w:rsid w:val="00233DDB"/>
    <w:rsid w:val="00234013"/>
    <w:rsid w:val="002346D7"/>
    <w:rsid w:val="0023471B"/>
    <w:rsid w:val="00234DF3"/>
    <w:rsid w:val="00235224"/>
    <w:rsid w:val="002353C3"/>
    <w:rsid w:val="00236144"/>
    <w:rsid w:val="0023670D"/>
    <w:rsid w:val="002369AA"/>
    <w:rsid w:val="00236FCF"/>
    <w:rsid w:val="002374D3"/>
    <w:rsid w:val="00237B4D"/>
    <w:rsid w:val="00240412"/>
    <w:rsid w:val="0024051F"/>
    <w:rsid w:val="0024077E"/>
    <w:rsid w:val="00240AE3"/>
    <w:rsid w:val="00240ECE"/>
    <w:rsid w:val="002411E1"/>
    <w:rsid w:val="002415E7"/>
    <w:rsid w:val="00241D72"/>
    <w:rsid w:val="0024265E"/>
    <w:rsid w:val="00242C10"/>
    <w:rsid w:val="00242E6E"/>
    <w:rsid w:val="0024346C"/>
    <w:rsid w:val="00244191"/>
    <w:rsid w:val="0024426C"/>
    <w:rsid w:val="00244561"/>
    <w:rsid w:val="00244813"/>
    <w:rsid w:val="00244A2C"/>
    <w:rsid w:val="00244ADE"/>
    <w:rsid w:val="00244D05"/>
    <w:rsid w:val="00244D77"/>
    <w:rsid w:val="00244FE9"/>
    <w:rsid w:val="00245056"/>
    <w:rsid w:val="002450DE"/>
    <w:rsid w:val="00245199"/>
    <w:rsid w:val="002456DA"/>
    <w:rsid w:val="00245B89"/>
    <w:rsid w:val="00246005"/>
    <w:rsid w:val="00246587"/>
    <w:rsid w:val="0024683D"/>
    <w:rsid w:val="00246ABA"/>
    <w:rsid w:val="00246B53"/>
    <w:rsid w:val="00246DA6"/>
    <w:rsid w:val="002475F6"/>
    <w:rsid w:val="00251067"/>
    <w:rsid w:val="00251A27"/>
    <w:rsid w:val="00251F26"/>
    <w:rsid w:val="00252076"/>
    <w:rsid w:val="00252A09"/>
    <w:rsid w:val="002533FC"/>
    <w:rsid w:val="00253719"/>
    <w:rsid w:val="002537CE"/>
    <w:rsid w:val="00253AF4"/>
    <w:rsid w:val="00253BF8"/>
    <w:rsid w:val="00253F4A"/>
    <w:rsid w:val="0025474C"/>
    <w:rsid w:val="0025491B"/>
    <w:rsid w:val="002549E6"/>
    <w:rsid w:val="002553BA"/>
    <w:rsid w:val="00255849"/>
    <w:rsid w:val="00255B29"/>
    <w:rsid w:val="00256077"/>
    <w:rsid w:val="00256437"/>
    <w:rsid w:val="00256780"/>
    <w:rsid w:val="0025725E"/>
    <w:rsid w:val="002574D1"/>
    <w:rsid w:val="00257FBF"/>
    <w:rsid w:val="002614EA"/>
    <w:rsid w:val="00261D1C"/>
    <w:rsid w:val="00261ED0"/>
    <w:rsid w:val="002621C0"/>
    <w:rsid w:val="0026242D"/>
    <w:rsid w:val="0026299A"/>
    <w:rsid w:val="00262C4D"/>
    <w:rsid w:val="0026331D"/>
    <w:rsid w:val="00263A72"/>
    <w:rsid w:val="00263AFF"/>
    <w:rsid w:val="0026408E"/>
    <w:rsid w:val="0026480C"/>
    <w:rsid w:val="00264D17"/>
    <w:rsid w:val="002653AF"/>
    <w:rsid w:val="00265A85"/>
    <w:rsid w:val="00266352"/>
    <w:rsid w:val="0026653F"/>
    <w:rsid w:val="0026725A"/>
    <w:rsid w:val="00267D21"/>
    <w:rsid w:val="00270200"/>
    <w:rsid w:val="00270564"/>
    <w:rsid w:val="002708B8"/>
    <w:rsid w:val="00270D4E"/>
    <w:rsid w:val="002711D5"/>
    <w:rsid w:val="002714FA"/>
    <w:rsid w:val="00273699"/>
    <w:rsid w:val="00273B76"/>
    <w:rsid w:val="00274544"/>
    <w:rsid w:val="002747FC"/>
    <w:rsid w:val="00274AAF"/>
    <w:rsid w:val="00274D2F"/>
    <w:rsid w:val="00275171"/>
    <w:rsid w:val="00275188"/>
    <w:rsid w:val="0027567D"/>
    <w:rsid w:val="00275EB0"/>
    <w:rsid w:val="002765D1"/>
    <w:rsid w:val="002768E1"/>
    <w:rsid w:val="00276E2F"/>
    <w:rsid w:val="00277553"/>
    <w:rsid w:val="002775CC"/>
    <w:rsid w:val="00277D49"/>
    <w:rsid w:val="00280417"/>
    <w:rsid w:val="0028060C"/>
    <w:rsid w:val="00280F3B"/>
    <w:rsid w:val="00281840"/>
    <w:rsid w:val="00281851"/>
    <w:rsid w:val="00281870"/>
    <w:rsid w:val="00281C2C"/>
    <w:rsid w:val="0028218D"/>
    <w:rsid w:val="00282901"/>
    <w:rsid w:val="002838EF"/>
    <w:rsid w:val="00283FA7"/>
    <w:rsid w:val="00284DE2"/>
    <w:rsid w:val="00285354"/>
    <w:rsid w:val="002853B1"/>
    <w:rsid w:val="002857DE"/>
    <w:rsid w:val="00285A45"/>
    <w:rsid w:val="00285CFF"/>
    <w:rsid w:val="00285D15"/>
    <w:rsid w:val="00286CCF"/>
    <w:rsid w:val="00287171"/>
    <w:rsid w:val="00287D88"/>
    <w:rsid w:val="002907B1"/>
    <w:rsid w:val="00290FF8"/>
    <w:rsid w:val="0029142B"/>
    <w:rsid w:val="00291FBD"/>
    <w:rsid w:val="0029217E"/>
    <w:rsid w:val="00292755"/>
    <w:rsid w:val="00292807"/>
    <w:rsid w:val="00292F46"/>
    <w:rsid w:val="00292F7D"/>
    <w:rsid w:val="00293A5F"/>
    <w:rsid w:val="00293AC5"/>
    <w:rsid w:val="00294074"/>
    <w:rsid w:val="002943B4"/>
    <w:rsid w:val="0029486D"/>
    <w:rsid w:val="00294983"/>
    <w:rsid w:val="002957E3"/>
    <w:rsid w:val="0029592F"/>
    <w:rsid w:val="00295977"/>
    <w:rsid w:val="00295D12"/>
    <w:rsid w:val="00295DCA"/>
    <w:rsid w:val="00295E4D"/>
    <w:rsid w:val="00295F04"/>
    <w:rsid w:val="00296067"/>
    <w:rsid w:val="00296589"/>
    <w:rsid w:val="00296BF7"/>
    <w:rsid w:val="002970EA"/>
    <w:rsid w:val="0029727F"/>
    <w:rsid w:val="002974A6"/>
    <w:rsid w:val="00297941"/>
    <w:rsid w:val="00297C80"/>
    <w:rsid w:val="002A0186"/>
    <w:rsid w:val="002A051B"/>
    <w:rsid w:val="002A0658"/>
    <w:rsid w:val="002A0C3C"/>
    <w:rsid w:val="002A0E37"/>
    <w:rsid w:val="002A13F1"/>
    <w:rsid w:val="002A1657"/>
    <w:rsid w:val="002A1964"/>
    <w:rsid w:val="002A2D48"/>
    <w:rsid w:val="002A2D63"/>
    <w:rsid w:val="002A3076"/>
    <w:rsid w:val="002A32CD"/>
    <w:rsid w:val="002A4C6E"/>
    <w:rsid w:val="002A4F46"/>
    <w:rsid w:val="002A54D9"/>
    <w:rsid w:val="002A55C5"/>
    <w:rsid w:val="002A5751"/>
    <w:rsid w:val="002A5753"/>
    <w:rsid w:val="002A6E54"/>
    <w:rsid w:val="002A742E"/>
    <w:rsid w:val="002A7B5A"/>
    <w:rsid w:val="002A7F2B"/>
    <w:rsid w:val="002B003D"/>
    <w:rsid w:val="002B036C"/>
    <w:rsid w:val="002B04BE"/>
    <w:rsid w:val="002B06CD"/>
    <w:rsid w:val="002B159F"/>
    <w:rsid w:val="002B1BEA"/>
    <w:rsid w:val="002B1E5E"/>
    <w:rsid w:val="002B1FBE"/>
    <w:rsid w:val="002B20CA"/>
    <w:rsid w:val="002B2422"/>
    <w:rsid w:val="002B2467"/>
    <w:rsid w:val="002B2D98"/>
    <w:rsid w:val="002B30BB"/>
    <w:rsid w:val="002B342E"/>
    <w:rsid w:val="002B358A"/>
    <w:rsid w:val="002B35CC"/>
    <w:rsid w:val="002B4AD7"/>
    <w:rsid w:val="002B59F0"/>
    <w:rsid w:val="002B5B01"/>
    <w:rsid w:val="002B638B"/>
    <w:rsid w:val="002B6654"/>
    <w:rsid w:val="002B698F"/>
    <w:rsid w:val="002B73FB"/>
    <w:rsid w:val="002B7497"/>
    <w:rsid w:val="002B76FE"/>
    <w:rsid w:val="002B7955"/>
    <w:rsid w:val="002B7F6D"/>
    <w:rsid w:val="002C06CE"/>
    <w:rsid w:val="002C1530"/>
    <w:rsid w:val="002C2175"/>
    <w:rsid w:val="002C2940"/>
    <w:rsid w:val="002C2E9E"/>
    <w:rsid w:val="002C2FA5"/>
    <w:rsid w:val="002C3068"/>
    <w:rsid w:val="002C3305"/>
    <w:rsid w:val="002C3AA7"/>
    <w:rsid w:val="002C40BE"/>
    <w:rsid w:val="002C423B"/>
    <w:rsid w:val="002C4317"/>
    <w:rsid w:val="002C4999"/>
    <w:rsid w:val="002C4A15"/>
    <w:rsid w:val="002C4FC0"/>
    <w:rsid w:val="002C51C7"/>
    <w:rsid w:val="002C5437"/>
    <w:rsid w:val="002C54A8"/>
    <w:rsid w:val="002C551A"/>
    <w:rsid w:val="002C566E"/>
    <w:rsid w:val="002C569F"/>
    <w:rsid w:val="002C56E1"/>
    <w:rsid w:val="002C591C"/>
    <w:rsid w:val="002C5DC6"/>
    <w:rsid w:val="002C615B"/>
    <w:rsid w:val="002C687A"/>
    <w:rsid w:val="002C6F5E"/>
    <w:rsid w:val="002C713B"/>
    <w:rsid w:val="002C736F"/>
    <w:rsid w:val="002C7374"/>
    <w:rsid w:val="002C7E46"/>
    <w:rsid w:val="002D030A"/>
    <w:rsid w:val="002D0D64"/>
    <w:rsid w:val="002D0E50"/>
    <w:rsid w:val="002D0EAC"/>
    <w:rsid w:val="002D1122"/>
    <w:rsid w:val="002D1694"/>
    <w:rsid w:val="002D21B1"/>
    <w:rsid w:val="002D3317"/>
    <w:rsid w:val="002D3559"/>
    <w:rsid w:val="002D37EE"/>
    <w:rsid w:val="002D3881"/>
    <w:rsid w:val="002D3ADD"/>
    <w:rsid w:val="002D3D91"/>
    <w:rsid w:val="002D425B"/>
    <w:rsid w:val="002D557C"/>
    <w:rsid w:val="002D5768"/>
    <w:rsid w:val="002D6291"/>
    <w:rsid w:val="002D7205"/>
    <w:rsid w:val="002D750A"/>
    <w:rsid w:val="002D772D"/>
    <w:rsid w:val="002E0065"/>
    <w:rsid w:val="002E04A9"/>
    <w:rsid w:val="002E12EF"/>
    <w:rsid w:val="002E1BB9"/>
    <w:rsid w:val="002E1C11"/>
    <w:rsid w:val="002E1DF2"/>
    <w:rsid w:val="002E257D"/>
    <w:rsid w:val="002E28DB"/>
    <w:rsid w:val="002E359D"/>
    <w:rsid w:val="002E35C7"/>
    <w:rsid w:val="002E3EAA"/>
    <w:rsid w:val="002E401D"/>
    <w:rsid w:val="002E4311"/>
    <w:rsid w:val="002E43B9"/>
    <w:rsid w:val="002E576A"/>
    <w:rsid w:val="002E5B28"/>
    <w:rsid w:val="002E606F"/>
    <w:rsid w:val="002E62B3"/>
    <w:rsid w:val="002E6311"/>
    <w:rsid w:val="002E649A"/>
    <w:rsid w:val="002E6556"/>
    <w:rsid w:val="002E65F2"/>
    <w:rsid w:val="002E6F9C"/>
    <w:rsid w:val="002E7268"/>
    <w:rsid w:val="002E7B59"/>
    <w:rsid w:val="002E7D02"/>
    <w:rsid w:val="002F01DC"/>
    <w:rsid w:val="002F065D"/>
    <w:rsid w:val="002F07C6"/>
    <w:rsid w:val="002F0A8F"/>
    <w:rsid w:val="002F0F94"/>
    <w:rsid w:val="002F12CD"/>
    <w:rsid w:val="002F1B0E"/>
    <w:rsid w:val="002F1E0B"/>
    <w:rsid w:val="002F289C"/>
    <w:rsid w:val="002F3073"/>
    <w:rsid w:val="002F347A"/>
    <w:rsid w:val="002F37C2"/>
    <w:rsid w:val="002F3F3B"/>
    <w:rsid w:val="002F4938"/>
    <w:rsid w:val="002F4A56"/>
    <w:rsid w:val="002F4D0C"/>
    <w:rsid w:val="002F557B"/>
    <w:rsid w:val="002F57EB"/>
    <w:rsid w:val="002F5A3C"/>
    <w:rsid w:val="002F66CA"/>
    <w:rsid w:val="002F773E"/>
    <w:rsid w:val="002F7B7C"/>
    <w:rsid w:val="003003F3"/>
    <w:rsid w:val="003003F9"/>
    <w:rsid w:val="00300709"/>
    <w:rsid w:val="003009AC"/>
    <w:rsid w:val="00300D81"/>
    <w:rsid w:val="003011D4"/>
    <w:rsid w:val="003015DF"/>
    <w:rsid w:val="00301891"/>
    <w:rsid w:val="003018E8"/>
    <w:rsid w:val="0030209B"/>
    <w:rsid w:val="003020F7"/>
    <w:rsid w:val="00302488"/>
    <w:rsid w:val="00302A09"/>
    <w:rsid w:val="00302A76"/>
    <w:rsid w:val="00302F37"/>
    <w:rsid w:val="0030327A"/>
    <w:rsid w:val="003032AB"/>
    <w:rsid w:val="003036D7"/>
    <w:rsid w:val="00303B4E"/>
    <w:rsid w:val="00304BDC"/>
    <w:rsid w:val="00304CD4"/>
    <w:rsid w:val="00304ED0"/>
    <w:rsid w:val="00305609"/>
    <w:rsid w:val="0030562A"/>
    <w:rsid w:val="003057A5"/>
    <w:rsid w:val="00305D1F"/>
    <w:rsid w:val="00305E9C"/>
    <w:rsid w:val="00306780"/>
    <w:rsid w:val="00306B81"/>
    <w:rsid w:val="0030704A"/>
    <w:rsid w:val="003070F2"/>
    <w:rsid w:val="00310314"/>
    <w:rsid w:val="0031033C"/>
    <w:rsid w:val="00310BDC"/>
    <w:rsid w:val="00310CAF"/>
    <w:rsid w:val="003110E3"/>
    <w:rsid w:val="003110EF"/>
    <w:rsid w:val="00311358"/>
    <w:rsid w:val="003120D5"/>
    <w:rsid w:val="003124F5"/>
    <w:rsid w:val="0031252F"/>
    <w:rsid w:val="00312D33"/>
    <w:rsid w:val="0031315D"/>
    <w:rsid w:val="003134B2"/>
    <w:rsid w:val="0031396B"/>
    <w:rsid w:val="003139A6"/>
    <w:rsid w:val="00313C60"/>
    <w:rsid w:val="00313F4E"/>
    <w:rsid w:val="00314117"/>
    <w:rsid w:val="0031452B"/>
    <w:rsid w:val="0031472B"/>
    <w:rsid w:val="003154E2"/>
    <w:rsid w:val="003155BD"/>
    <w:rsid w:val="0031613D"/>
    <w:rsid w:val="003161E9"/>
    <w:rsid w:val="00316BB2"/>
    <w:rsid w:val="00316DD2"/>
    <w:rsid w:val="00317540"/>
    <w:rsid w:val="003176ED"/>
    <w:rsid w:val="00317AC2"/>
    <w:rsid w:val="00317BBF"/>
    <w:rsid w:val="00317DF8"/>
    <w:rsid w:val="00317EDF"/>
    <w:rsid w:val="003201FA"/>
    <w:rsid w:val="003206AF"/>
    <w:rsid w:val="00320ED3"/>
    <w:rsid w:val="00321065"/>
    <w:rsid w:val="00321275"/>
    <w:rsid w:val="0032165E"/>
    <w:rsid w:val="003217BE"/>
    <w:rsid w:val="0032196C"/>
    <w:rsid w:val="00322069"/>
    <w:rsid w:val="00322AA8"/>
    <w:rsid w:val="0032494A"/>
    <w:rsid w:val="00324A37"/>
    <w:rsid w:val="00324E8F"/>
    <w:rsid w:val="0032537E"/>
    <w:rsid w:val="00325417"/>
    <w:rsid w:val="00325432"/>
    <w:rsid w:val="00325CD5"/>
    <w:rsid w:val="00326389"/>
    <w:rsid w:val="0032640E"/>
    <w:rsid w:val="0032655B"/>
    <w:rsid w:val="003268D2"/>
    <w:rsid w:val="003269D5"/>
    <w:rsid w:val="00327012"/>
    <w:rsid w:val="003277C4"/>
    <w:rsid w:val="003279E7"/>
    <w:rsid w:val="00330363"/>
    <w:rsid w:val="00330680"/>
    <w:rsid w:val="0033089F"/>
    <w:rsid w:val="00330AD8"/>
    <w:rsid w:val="003312B8"/>
    <w:rsid w:val="003315F5"/>
    <w:rsid w:val="00331811"/>
    <w:rsid w:val="00331C47"/>
    <w:rsid w:val="003321D7"/>
    <w:rsid w:val="0033324D"/>
    <w:rsid w:val="00333CD5"/>
    <w:rsid w:val="00333D66"/>
    <w:rsid w:val="00333EF4"/>
    <w:rsid w:val="003345D4"/>
    <w:rsid w:val="00334B67"/>
    <w:rsid w:val="00334F58"/>
    <w:rsid w:val="00334FEA"/>
    <w:rsid w:val="003350D6"/>
    <w:rsid w:val="003359FF"/>
    <w:rsid w:val="00335AED"/>
    <w:rsid w:val="00336D33"/>
    <w:rsid w:val="00336E3A"/>
    <w:rsid w:val="003370C9"/>
    <w:rsid w:val="00337129"/>
    <w:rsid w:val="00337317"/>
    <w:rsid w:val="00337A21"/>
    <w:rsid w:val="00337DA3"/>
    <w:rsid w:val="00340073"/>
    <w:rsid w:val="0034050B"/>
    <w:rsid w:val="00340B10"/>
    <w:rsid w:val="00341B6E"/>
    <w:rsid w:val="00342050"/>
    <w:rsid w:val="003420F9"/>
    <w:rsid w:val="003432FA"/>
    <w:rsid w:val="00343507"/>
    <w:rsid w:val="00343A52"/>
    <w:rsid w:val="00343BFD"/>
    <w:rsid w:val="00344957"/>
    <w:rsid w:val="00344BD6"/>
    <w:rsid w:val="00344D60"/>
    <w:rsid w:val="00344E59"/>
    <w:rsid w:val="003450C2"/>
    <w:rsid w:val="003454ED"/>
    <w:rsid w:val="00345847"/>
    <w:rsid w:val="00346600"/>
    <w:rsid w:val="0034676F"/>
    <w:rsid w:val="003469AF"/>
    <w:rsid w:val="00346AA2"/>
    <w:rsid w:val="00346AB8"/>
    <w:rsid w:val="00346CB2"/>
    <w:rsid w:val="00347121"/>
    <w:rsid w:val="00347367"/>
    <w:rsid w:val="00347403"/>
    <w:rsid w:val="00347534"/>
    <w:rsid w:val="00347D6A"/>
    <w:rsid w:val="00350CA1"/>
    <w:rsid w:val="00350D45"/>
    <w:rsid w:val="003510C9"/>
    <w:rsid w:val="00351757"/>
    <w:rsid w:val="003519DA"/>
    <w:rsid w:val="00351BE3"/>
    <w:rsid w:val="00352A2C"/>
    <w:rsid w:val="00352DA9"/>
    <w:rsid w:val="00353629"/>
    <w:rsid w:val="00353E8B"/>
    <w:rsid w:val="003540E9"/>
    <w:rsid w:val="00354133"/>
    <w:rsid w:val="00355569"/>
    <w:rsid w:val="0035556C"/>
    <w:rsid w:val="003564FA"/>
    <w:rsid w:val="00356903"/>
    <w:rsid w:val="00357571"/>
    <w:rsid w:val="00357712"/>
    <w:rsid w:val="00357AD6"/>
    <w:rsid w:val="00360D72"/>
    <w:rsid w:val="00360FBD"/>
    <w:rsid w:val="00361255"/>
    <w:rsid w:val="00361B6F"/>
    <w:rsid w:val="003621BC"/>
    <w:rsid w:val="0036298B"/>
    <w:rsid w:val="00362D2B"/>
    <w:rsid w:val="003634ED"/>
    <w:rsid w:val="00364460"/>
    <w:rsid w:val="00364C61"/>
    <w:rsid w:val="003656AB"/>
    <w:rsid w:val="00365943"/>
    <w:rsid w:val="00365F70"/>
    <w:rsid w:val="00365F8E"/>
    <w:rsid w:val="003665C3"/>
    <w:rsid w:val="0036689B"/>
    <w:rsid w:val="00366D42"/>
    <w:rsid w:val="00367160"/>
    <w:rsid w:val="0036753F"/>
    <w:rsid w:val="003676A0"/>
    <w:rsid w:val="003700CA"/>
    <w:rsid w:val="0037015B"/>
    <w:rsid w:val="0037020E"/>
    <w:rsid w:val="00370671"/>
    <w:rsid w:val="00370DC9"/>
    <w:rsid w:val="00371A95"/>
    <w:rsid w:val="00371C57"/>
    <w:rsid w:val="00371CBD"/>
    <w:rsid w:val="00372038"/>
    <w:rsid w:val="0037245E"/>
    <w:rsid w:val="00372594"/>
    <w:rsid w:val="00372E44"/>
    <w:rsid w:val="00372E8A"/>
    <w:rsid w:val="00373429"/>
    <w:rsid w:val="0037344E"/>
    <w:rsid w:val="00373811"/>
    <w:rsid w:val="00373928"/>
    <w:rsid w:val="00373D64"/>
    <w:rsid w:val="00374786"/>
    <w:rsid w:val="003748B4"/>
    <w:rsid w:val="00374A8F"/>
    <w:rsid w:val="003755B3"/>
    <w:rsid w:val="00375833"/>
    <w:rsid w:val="00375857"/>
    <w:rsid w:val="00375C6D"/>
    <w:rsid w:val="0037613E"/>
    <w:rsid w:val="00376F54"/>
    <w:rsid w:val="0037711B"/>
    <w:rsid w:val="00377883"/>
    <w:rsid w:val="00380102"/>
    <w:rsid w:val="003806F7"/>
    <w:rsid w:val="0038077B"/>
    <w:rsid w:val="00380FE4"/>
    <w:rsid w:val="003816C4"/>
    <w:rsid w:val="00381DAE"/>
    <w:rsid w:val="003821C1"/>
    <w:rsid w:val="003826C8"/>
    <w:rsid w:val="003829D6"/>
    <w:rsid w:val="00383097"/>
    <w:rsid w:val="003831E2"/>
    <w:rsid w:val="00383A09"/>
    <w:rsid w:val="00383B87"/>
    <w:rsid w:val="00384C43"/>
    <w:rsid w:val="00385BC6"/>
    <w:rsid w:val="00385F5C"/>
    <w:rsid w:val="00387A6C"/>
    <w:rsid w:val="00390E7C"/>
    <w:rsid w:val="00391E8C"/>
    <w:rsid w:val="003923A0"/>
    <w:rsid w:val="00392652"/>
    <w:rsid w:val="003929A1"/>
    <w:rsid w:val="00392A6B"/>
    <w:rsid w:val="00392DB6"/>
    <w:rsid w:val="00393554"/>
    <w:rsid w:val="0039365A"/>
    <w:rsid w:val="00393E2D"/>
    <w:rsid w:val="0039470E"/>
    <w:rsid w:val="00394E3A"/>
    <w:rsid w:val="00394F80"/>
    <w:rsid w:val="003950BB"/>
    <w:rsid w:val="00395540"/>
    <w:rsid w:val="00395C72"/>
    <w:rsid w:val="00396B14"/>
    <w:rsid w:val="00396BF9"/>
    <w:rsid w:val="00396D21"/>
    <w:rsid w:val="00396EDD"/>
    <w:rsid w:val="00396F7D"/>
    <w:rsid w:val="0039774D"/>
    <w:rsid w:val="00397879"/>
    <w:rsid w:val="00397C31"/>
    <w:rsid w:val="00397CDC"/>
    <w:rsid w:val="00397FE5"/>
    <w:rsid w:val="003A04E1"/>
    <w:rsid w:val="003A052A"/>
    <w:rsid w:val="003A067F"/>
    <w:rsid w:val="003A0E03"/>
    <w:rsid w:val="003A0F93"/>
    <w:rsid w:val="003A0FB5"/>
    <w:rsid w:val="003A1044"/>
    <w:rsid w:val="003A1153"/>
    <w:rsid w:val="003A15E8"/>
    <w:rsid w:val="003A1A3C"/>
    <w:rsid w:val="003A1B8D"/>
    <w:rsid w:val="003A1ED2"/>
    <w:rsid w:val="003A2DC9"/>
    <w:rsid w:val="003A2F5F"/>
    <w:rsid w:val="003A30AE"/>
    <w:rsid w:val="003A3270"/>
    <w:rsid w:val="003A44E9"/>
    <w:rsid w:val="003A5382"/>
    <w:rsid w:val="003A575A"/>
    <w:rsid w:val="003A5900"/>
    <w:rsid w:val="003A5C1D"/>
    <w:rsid w:val="003A5DB4"/>
    <w:rsid w:val="003A6085"/>
    <w:rsid w:val="003A6E3B"/>
    <w:rsid w:val="003A75C1"/>
    <w:rsid w:val="003A773D"/>
    <w:rsid w:val="003A78AC"/>
    <w:rsid w:val="003B0006"/>
    <w:rsid w:val="003B0FFF"/>
    <w:rsid w:val="003B1091"/>
    <w:rsid w:val="003B132F"/>
    <w:rsid w:val="003B1464"/>
    <w:rsid w:val="003B1BC3"/>
    <w:rsid w:val="003B1E51"/>
    <w:rsid w:val="003B22B2"/>
    <w:rsid w:val="003B23CC"/>
    <w:rsid w:val="003B2A8B"/>
    <w:rsid w:val="003B320B"/>
    <w:rsid w:val="003B34A1"/>
    <w:rsid w:val="003B363D"/>
    <w:rsid w:val="003B36C1"/>
    <w:rsid w:val="003B3A84"/>
    <w:rsid w:val="003B40A3"/>
    <w:rsid w:val="003B4656"/>
    <w:rsid w:val="003B56AF"/>
    <w:rsid w:val="003B6135"/>
    <w:rsid w:val="003B6E20"/>
    <w:rsid w:val="003B6F36"/>
    <w:rsid w:val="003B79FB"/>
    <w:rsid w:val="003B7D3F"/>
    <w:rsid w:val="003C059F"/>
    <w:rsid w:val="003C16C6"/>
    <w:rsid w:val="003C1710"/>
    <w:rsid w:val="003C1D0D"/>
    <w:rsid w:val="003C232C"/>
    <w:rsid w:val="003C2E99"/>
    <w:rsid w:val="003C3001"/>
    <w:rsid w:val="003C35E6"/>
    <w:rsid w:val="003C397B"/>
    <w:rsid w:val="003C43CD"/>
    <w:rsid w:val="003C484E"/>
    <w:rsid w:val="003C4EB5"/>
    <w:rsid w:val="003C5050"/>
    <w:rsid w:val="003C50CE"/>
    <w:rsid w:val="003C5288"/>
    <w:rsid w:val="003C537A"/>
    <w:rsid w:val="003C5D75"/>
    <w:rsid w:val="003C6BC5"/>
    <w:rsid w:val="003C7696"/>
    <w:rsid w:val="003D017C"/>
    <w:rsid w:val="003D02F0"/>
    <w:rsid w:val="003D0516"/>
    <w:rsid w:val="003D09B4"/>
    <w:rsid w:val="003D0D59"/>
    <w:rsid w:val="003D1AC5"/>
    <w:rsid w:val="003D1B59"/>
    <w:rsid w:val="003D1D3C"/>
    <w:rsid w:val="003D1D80"/>
    <w:rsid w:val="003D1EED"/>
    <w:rsid w:val="003D24BA"/>
    <w:rsid w:val="003D3B93"/>
    <w:rsid w:val="003D47C1"/>
    <w:rsid w:val="003D4B69"/>
    <w:rsid w:val="003D4F08"/>
    <w:rsid w:val="003D4FAB"/>
    <w:rsid w:val="003D4FAD"/>
    <w:rsid w:val="003D5A6F"/>
    <w:rsid w:val="003D5CB9"/>
    <w:rsid w:val="003D5DB1"/>
    <w:rsid w:val="003D6062"/>
    <w:rsid w:val="003D61FE"/>
    <w:rsid w:val="003D656E"/>
    <w:rsid w:val="003D666D"/>
    <w:rsid w:val="003D6902"/>
    <w:rsid w:val="003D7321"/>
    <w:rsid w:val="003E014B"/>
    <w:rsid w:val="003E038A"/>
    <w:rsid w:val="003E0405"/>
    <w:rsid w:val="003E0CF9"/>
    <w:rsid w:val="003E1371"/>
    <w:rsid w:val="003E196A"/>
    <w:rsid w:val="003E2368"/>
    <w:rsid w:val="003E24CC"/>
    <w:rsid w:val="003E2717"/>
    <w:rsid w:val="003E3AC0"/>
    <w:rsid w:val="003E3C5D"/>
    <w:rsid w:val="003E3D78"/>
    <w:rsid w:val="003E3DBA"/>
    <w:rsid w:val="003E4571"/>
    <w:rsid w:val="003E48D0"/>
    <w:rsid w:val="003E4CE0"/>
    <w:rsid w:val="003E555E"/>
    <w:rsid w:val="003E559B"/>
    <w:rsid w:val="003E5954"/>
    <w:rsid w:val="003E5B22"/>
    <w:rsid w:val="003E621E"/>
    <w:rsid w:val="003E649A"/>
    <w:rsid w:val="003E7169"/>
    <w:rsid w:val="003E73D5"/>
    <w:rsid w:val="003E7558"/>
    <w:rsid w:val="003E7AA0"/>
    <w:rsid w:val="003F0B44"/>
    <w:rsid w:val="003F0BBC"/>
    <w:rsid w:val="003F1204"/>
    <w:rsid w:val="003F1FB2"/>
    <w:rsid w:val="003F1FCF"/>
    <w:rsid w:val="003F25D3"/>
    <w:rsid w:val="003F2651"/>
    <w:rsid w:val="003F2C8D"/>
    <w:rsid w:val="003F33D3"/>
    <w:rsid w:val="003F39B1"/>
    <w:rsid w:val="003F3E4C"/>
    <w:rsid w:val="003F3F14"/>
    <w:rsid w:val="003F4824"/>
    <w:rsid w:val="003F4AFE"/>
    <w:rsid w:val="003F5A11"/>
    <w:rsid w:val="003F5B77"/>
    <w:rsid w:val="003F61D7"/>
    <w:rsid w:val="003F6288"/>
    <w:rsid w:val="003F6714"/>
    <w:rsid w:val="003F6AD4"/>
    <w:rsid w:val="003F7008"/>
    <w:rsid w:val="003F70E0"/>
    <w:rsid w:val="003F7508"/>
    <w:rsid w:val="003F7C9B"/>
    <w:rsid w:val="003F7F1F"/>
    <w:rsid w:val="004003A2"/>
    <w:rsid w:val="00401185"/>
    <w:rsid w:val="00401CF2"/>
    <w:rsid w:val="0040211B"/>
    <w:rsid w:val="0040236B"/>
    <w:rsid w:val="00402635"/>
    <w:rsid w:val="0040265D"/>
    <w:rsid w:val="00402A43"/>
    <w:rsid w:val="00402AD3"/>
    <w:rsid w:val="00402FF5"/>
    <w:rsid w:val="0040305B"/>
    <w:rsid w:val="00403C9F"/>
    <w:rsid w:val="004045CC"/>
    <w:rsid w:val="00404638"/>
    <w:rsid w:val="004048DD"/>
    <w:rsid w:val="00404A27"/>
    <w:rsid w:val="00405453"/>
    <w:rsid w:val="00405739"/>
    <w:rsid w:val="00406853"/>
    <w:rsid w:val="00406988"/>
    <w:rsid w:val="00406A35"/>
    <w:rsid w:val="00406C0C"/>
    <w:rsid w:val="004075C4"/>
    <w:rsid w:val="004102A7"/>
    <w:rsid w:val="00410993"/>
    <w:rsid w:val="0041139A"/>
    <w:rsid w:val="004115D4"/>
    <w:rsid w:val="004123D9"/>
    <w:rsid w:val="004128F8"/>
    <w:rsid w:val="00412957"/>
    <w:rsid w:val="00412C02"/>
    <w:rsid w:val="00412D6D"/>
    <w:rsid w:val="0041367F"/>
    <w:rsid w:val="0041372D"/>
    <w:rsid w:val="00413E2B"/>
    <w:rsid w:val="00414537"/>
    <w:rsid w:val="004149C3"/>
    <w:rsid w:val="00414AB2"/>
    <w:rsid w:val="00415010"/>
    <w:rsid w:val="004156B6"/>
    <w:rsid w:val="00415B87"/>
    <w:rsid w:val="00415BBD"/>
    <w:rsid w:val="00415C97"/>
    <w:rsid w:val="00416058"/>
    <w:rsid w:val="004166CF"/>
    <w:rsid w:val="00416841"/>
    <w:rsid w:val="00416B17"/>
    <w:rsid w:val="004171A6"/>
    <w:rsid w:val="00417427"/>
    <w:rsid w:val="00417571"/>
    <w:rsid w:val="004178E6"/>
    <w:rsid w:val="00417AFB"/>
    <w:rsid w:val="0042013D"/>
    <w:rsid w:val="00422198"/>
    <w:rsid w:val="00422251"/>
    <w:rsid w:val="004222BC"/>
    <w:rsid w:val="004224B0"/>
    <w:rsid w:val="004231D5"/>
    <w:rsid w:val="00423217"/>
    <w:rsid w:val="00423BA0"/>
    <w:rsid w:val="004240E1"/>
    <w:rsid w:val="00424573"/>
    <w:rsid w:val="00424840"/>
    <w:rsid w:val="004249C4"/>
    <w:rsid w:val="00424A2A"/>
    <w:rsid w:val="004257CF"/>
    <w:rsid w:val="00425FE5"/>
    <w:rsid w:val="0042606A"/>
    <w:rsid w:val="0042606D"/>
    <w:rsid w:val="004261AD"/>
    <w:rsid w:val="00426324"/>
    <w:rsid w:val="00426902"/>
    <w:rsid w:val="00426951"/>
    <w:rsid w:val="00426A34"/>
    <w:rsid w:val="00426ADC"/>
    <w:rsid w:val="00426C50"/>
    <w:rsid w:val="00426D5B"/>
    <w:rsid w:val="00427068"/>
    <w:rsid w:val="0042727B"/>
    <w:rsid w:val="00427866"/>
    <w:rsid w:val="00430270"/>
    <w:rsid w:val="004302ED"/>
    <w:rsid w:val="00430375"/>
    <w:rsid w:val="004305B7"/>
    <w:rsid w:val="00430B18"/>
    <w:rsid w:val="00430B37"/>
    <w:rsid w:val="004311C5"/>
    <w:rsid w:val="0043139E"/>
    <w:rsid w:val="004319ED"/>
    <w:rsid w:val="00431A08"/>
    <w:rsid w:val="0043235B"/>
    <w:rsid w:val="0043242D"/>
    <w:rsid w:val="004325FF"/>
    <w:rsid w:val="00432848"/>
    <w:rsid w:val="0043284D"/>
    <w:rsid w:val="00432AC4"/>
    <w:rsid w:val="00432FC9"/>
    <w:rsid w:val="0043354B"/>
    <w:rsid w:val="00433A3D"/>
    <w:rsid w:val="00433AD8"/>
    <w:rsid w:val="00433CA1"/>
    <w:rsid w:val="00434E72"/>
    <w:rsid w:val="00435473"/>
    <w:rsid w:val="0043576B"/>
    <w:rsid w:val="004357B4"/>
    <w:rsid w:val="004359C5"/>
    <w:rsid w:val="00435F98"/>
    <w:rsid w:val="00435FE9"/>
    <w:rsid w:val="00436206"/>
    <w:rsid w:val="0043757A"/>
    <w:rsid w:val="00437582"/>
    <w:rsid w:val="0043788A"/>
    <w:rsid w:val="00440342"/>
    <w:rsid w:val="004406BD"/>
    <w:rsid w:val="004408D1"/>
    <w:rsid w:val="00440D4E"/>
    <w:rsid w:val="004414EF"/>
    <w:rsid w:val="00441977"/>
    <w:rsid w:val="00441B89"/>
    <w:rsid w:val="004424E6"/>
    <w:rsid w:val="00442518"/>
    <w:rsid w:val="0044299D"/>
    <w:rsid w:val="00442FCD"/>
    <w:rsid w:val="00444272"/>
    <w:rsid w:val="00444295"/>
    <w:rsid w:val="00444714"/>
    <w:rsid w:val="00444F94"/>
    <w:rsid w:val="00445696"/>
    <w:rsid w:val="00445B7E"/>
    <w:rsid w:val="00445BC4"/>
    <w:rsid w:val="00445E7B"/>
    <w:rsid w:val="004468C4"/>
    <w:rsid w:val="00447737"/>
    <w:rsid w:val="00447D0D"/>
    <w:rsid w:val="00450412"/>
    <w:rsid w:val="004504AA"/>
    <w:rsid w:val="00450C2E"/>
    <w:rsid w:val="00450DA2"/>
    <w:rsid w:val="004510EA"/>
    <w:rsid w:val="004515DA"/>
    <w:rsid w:val="00451618"/>
    <w:rsid w:val="00451A0B"/>
    <w:rsid w:val="004537A0"/>
    <w:rsid w:val="00453CC2"/>
    <w:rsid w:val="00453DB6"/>
    <w:rsid w:val="00453F33"/>
    <w:rsid w:val="00453F82"/>
    <w:rsid w:val="00454257"/>
    <w:rsid w:val="00454259"/>
    <w:rsid w:val="004551C0"/>
    <w:rsid w:val="004553BE"/>
    <w:rsid w:val="00456142"/>
    <w:rsid w:val="00456B62"/>
    <w:rsid w:val="00456EC6"/>
    <w:rsid w:val="00456F0B"/>
    <w:rsid w:val="00456F7D"/>
    <w:rsid w:val="004573EF"/>
    <w:rsid w:val="004573F5"/>
    <w:rsid w:val="0045752E"/>
    <w:rsid w:val="00457C7B"/>
    <w:rsid w:val="0046083D"/>
    <w:rsid w:val="00461564"/>
    <w:rsid w:val="00461937"/>
    <w:rsid w:val="004620A0"/>
    <w:rsid w:val="004620D1"/>
    <w:rsid w:val="004624D5"/>
    <w:rsid w:val="0046275B"/>
    <w:rsid w:val="00463479"/>
    <w:rsid w:val="0046375A"/>
    <w:rsid w:val="004638D4"/>
    <w:rsid w:val="00463C52"/>
    <w:rsid w:val="00463D90"/>
    <w:rsid w:val="0046412D"/>
    <w:rsid w:val="00464135"/>
    <w:rsid w:val="004644C4"/>
    <w:rsid w:val="00464D47"/>
    <w:rsid w:val="0046503C"/>
    <w:rsid w:val="0046520D"/>
    <w:rsid w:val="004652F0"/>
    <w:rsid w:val="00465643"/>
    <w:rsid w:val="00465759"/>
    <w:rsid w:val="00465CFA"/>
    <w:rsid w:val="00465DA9"/>
    <w:rsid w:val="004667CC"/>
    <w:rsid w:val="004668D2"/>
    <w:rsid w:val="00466A61"/>
    <w:rsid w:val="00467114"/>
    <w:rsid w:val="00467529"/>
    <w:rsid w:val="0046754B"/>
    <w:rsid w:val="0047019B"/>
    <w:rsid w:val="004707A5"/>
    <w:rsid w:val="00470E87"/>
    <w:rsid w:val="00471DEF"/>
    <w:rsid w:val="00472065"/>
    <w:rsid w:val="004727AC"/>
    <w:rsid w:val="004730C6"/>
    <w:rsid w:val="004730DF"/>
    <w:rsid w:val="0047339D"/>
    <w:rsid w:val="0047366A"/>
    <w:rsid w:val="00473E7F"/>
    <w:rsid w:val="004740B2"/>
    <w:rsid w:val="0047469B"/>
    <w:rsid w:val="00474946"/>
    <w:rsid w:val="00475A18"/>
    <w:rsid w:val="00475A78"/>
    <w:rsid w:val="00475D25"/>
    <w:rsid w:val="00476825"/>
    <w:rsid w:val="00476AAD"/>
    <w:rsid w:val="00476F56"/>
    <w:rsid w:val="0047703A"/>
    <w:rsid w:val="00477200"/>
    <w:rsid w:val="004773DA"/>
    <w:rsid w:val="004776A6"/>
    <w:rsid w:val="00477FFD"/>
    <w:rsid w:val="0048000F"/>
    <w:rsid w:val="00480332"/>
    <w:rsid w:val="0048098A"/>
    <w:rsid w:val="00480D4E"/>
    <w:rsid w:val="004813F4"/>
    <w:rsid w:val="0048206D"/>
    <w:rsid w:val="00482387"/>
    <w:rsid w:val="00482A83"/>
    <w:rsid w:val="00483D55"/>
    <w:rsid w:val="00484023"/>
    <w:rsid w:val="0048418C"/>
    <w:rsid w:val="00484323"/>
    <w:rsid w:val="004844C5"/>
    <w:rsid w:val="00484B3B"/>
    <w:rsid w:val="00484C1E"/>
    <w:rsid w:val="00484DAA"/>
    <w:rsid w:val="00485A4C"/>
    <w:rsid w:val="00485DFE"/>
    <w:rsid w:val="00485E4F"/>
    <w:rsid w:val="00485F56"/>
    <w:rsid w:val="00485FC8"/>
    <w:rsid w:val="00486663"/>
    <w:rsid w:val="00486D9D"/>
    <w:rsid w:val="0048731C"/>
    <w:rsid w:val="00487747"/>
    <w:rsid w:val="00487E3F"/>
    <w:rsid w:val="00490282"/>
    <w:rsid w:val="0049046F"/>
    <w:rsid w:val="0049054B"/>
    <w:rsid w:val="004907D8"/>
    <w:rsid w:val="00491092"/>
    <w:rsid w:val="0049131A"/>
    <w:rsid w:val="004914E1"/>
    <w:rsid w:val="00491546"/>
    <w:rsid w:val="0049159C"/>
    <w:rsid w:val="004916FC"/>
    <w:rsid w:val="00491908"/>
    <w:rsid w:val="00492188"/>
    <w:rsid w:val="004937A7"/>
    <w:rsid w:val="00493FD1"/>
    <w:rsid w:val="004941A0"/>
    <w:rsid w:val="00494607"/>
    <w:rsid w:val="00494B27"/>
    <w:rsid w:val="00494E5B"/>
    <w:rsid w:val="00494EA1"/>
    <w:rsid w:val="0049515E"/>
    <w:rsid w:val="00495905"/>
    <w:rsid w:val="00496166"/>
    <w:rsid w:val="00496613"/>
    <w:rsid w:val="00496F0E"/>
    <w:rsid w:val="00497353"/>
    <w:rsid w:val="0049738C"/>
    <w:rsid w:val="00497406"/>
    <w:rsid w:val="004975ED"/>
    <w:rsid w:val="00497659"/>
    <w:rsid w:val="004A0308"/>
    <w:rsid w:val="004A0372"/>
    <w:rsid w:val="004A03BF"/>
    <w:rsid w:val="004A05B9"/>
    <w:rsid w:val="004A0A25"/>
    <w:rsid w:val="004A0C51"/>
    <w:rsid w:val="004A125F"/>
    <w:rsid w:val="004A166D"/>
    <w:rsid w:val="004A1B24"/>
    <w:rsid w:val="004A1EF4"/>
    <w:rsid w:val="004A20DC"/>
    <w:rsid w:val="004A2BD3"/>
    <w:rsid w:val="004A2F2B"/>
    <w:rsid w:val="004A2FA8"/>
    <w:rsid w:val="004A3946"/>
    <w:rsid w:val="004A4BA2"/>
    <w:rsid w:val="004A4EAC"/>
    <w:rsid w:val="004A50D2"/>
    <w:rsid w:val="004A55CE"/>
    <w:rsid w:val="004A5696"/>
    <w:rsid w:val="004A57CE"/>
    <w:rsid w:val="004A5B6B"/>
    <w:rsid w:val="004A60F1"/>
    <w:rsid w:val="004A678D"/>
    <w:rsid w:val="004A69B6"/>
    <w:rsid w:val="004A6BD1"/>
    <w:rsid w:val="004A704E"/>
    <w:rsid w:val="004A7555"/>
    <w:rsid w:val="004A7719"/>
    <w:rsid w:val="004A785C"/>
    <w:rsid w:val="004A7BAD"/>
    <w:rsid w:val="004B02C3"/>
    <w:rsid w:val="004B08D9"/>
    <w:rsid w:val="004B0B81"/>
    <w:rsid w:val="004B1226"/>
    <w:rsid w:val="004B17DD"/>
    <w:rsid w:val="004B19C6"/>
    <w:rsid w:val="004B1D1A"/>
    <w:rsid w:val="004B26FB"/>
    <w:rsid w:val="004B293F"/>
    <w:rsid w:val="004B2EDB"/>
    <w:rsid w:val="004B2F3B"/>
    <w:rsid w:val="004B31D2"/>
    <w:rsid w:val="004B3396"/>
    <w:rsid w:val="004B3765"/>
    <w:rsid w:val="004B3997"/>
    <w:rsid w:val="004B3A8D"/>
    <w:rsid w:val="004B3BD9"/>
    <w:rsid w:val="004B3BF7"/>
    <w:rsid w:val="004B4014"/>
    <w:rsid w:val="004B41CC"/>
    <w:rsid w:val="004B4727"/>
    <w:rsid w:val="004B4F92"/>
    <w:rsid w:val="004B51AD"/>
    <w:rsid w:val="004B53F3"/>
    <w:rsid w:val="004B56A6"/>
    <w:rsid w:val="004B56FD"/>
    <w:rsid w:val="004B6172"/>
    <w:rsid w:val="004B6452"/>
    <w:rsid w:val="004B6495"/>
    <w:rsid w:val="004B6FB7"/>
    <w:rsid w:val="004C0301"/>
    <w:rsid w:val="004C0360"/>
    <w:rsid w:val="004C10ED"/>
    <w:rsid w:val="004C1A38"/>
    <w:rsid w:val="004C1AAB"/>
    <w:rsid w:val="004C1FE3"/>
    <w:rsid w:val="004C2A13"/>
    <w:rsid w:val="004C35D0"/>
    <w:rsid w:val="004C3937"/>
    <w:rsid w:val="004C3FD2"/>
    <w:rsid w:val="004C47F3"/>
    <w:rsid w:val="004C4E07"/>
    <w:rsid w:val="004C4E65"/>
    <w:rsid w:val="004C5070"/>
    <w:rsid w:val="004C5846"/>
    <w:rsid w:val="004C5959"/>
    <w:rsid w:val="004C59B8"/>
    <w:rsid w:val="004C5B35"/>
    <w:rsid w:val="004C5DDC"/>
    <w:rsid w:val="004C5E29"/>
    <w:rsid w:val="004C6917"/>
    <w:rsid w:val="004C6B8C"/>
    <w:rsid w:val="004C76FF"/>
    <w:rsid w:val="004C7E96"/>
    <w:rsid w:val="004C7EE2"/>
    <w:rsid w:val="004D028A"/>
    <w:rsid w:val="004D031E"/>
    <w:rsid w:val="004D0744"/>
    <w:rsid w:val="004D1042"/>
    <w:rsid w:val="004D1073"/>
    <w:rsid w:val="004D1B9D"/>
    <w:rsid w:val="004D1C01"/>
    <w:rsid w:val="004D2C6E"/>
    <w:rsid w:val="004D2ED6"/>
    <w:rsid w:val="004D30FA"/>
    <w:rsid w:val="004D3758"/>
    <w:rsid w:val="004D40C7"/>
    <w:rsid w:val="004D4117"/>
    <w:rsid w:val="004D524A"/>
    <w:rsid w:val="004D5513"/>
    <w:rsid w:val="004D5B11"/>
    <w:rsid w:val="004D6BD8"/>
    <w:rsid w:val="004D6C91"/>
    <w:rsid w:val="004D7849"/>
    <w:rsid w:val="004D78E9"/>
    <w:rsid w:val="004D7AE0"/>
    <w:rsid w:val="004D7F13"/>
    <w:rsid w:val="004E0F87"/>
    <w:rsid w:val="004E1C3A"/>
    <w:rsid w:val="004E1EAD"/>
    <w:rsid w:val="004E1FBC"/>
    <w:rsid w:val="004E234D"/>
    <w:rsid w:val="004E2854"/>
    <w:rsid w:val="004E3BC7"/>
    <w:rsid w:val="004E4030"/>
    <w:rsid w:val="004E419E"/>
    <w:rsid w:val="004E4536"/>
    <w:rsid w:val="004E4987"/>
    <w:rsid w:val="004E4F87"/>
    <w:rsid w:val="004E51DE"/>
    <w:rsid w:val="004E54D8"/>
    <w:rsid w:val="004E5659"/>
    <w:rsid w:val="004E5D1C"/>
    <w:rsid w:val="004E5F2A"/>
    <w:rsid w:val="004E5FA3"/>
    <w:rsid w:val="004E5FF8"/>
    <w:rsid w:val="004E617E"/>
    <w:rsid w:val="004E61AC"/>
    <w:rsid w:val="004E723E"/>
    <w:rsid w:val="004E741E"/>
    <w:rsid w:val="004E7753"/>
    <w:rsid w:val="004E7F43"/>
    <w:rsid w:val="004F01A2"/>
    <w:rsid w:val="004F02D7"/>
    <w:rsid w:val="004F0326"/>
    <w:rsid w:val="004F0331"/>
    <w:rsid w:val="004F03A9"/>
    <w:rsid w:val="004F05EF"/>
    <w:rsid w:val="004F17A3"/>
    <w:rsid w:val="004F18EB"/>
    <w:rsid w:val="004F19E6"/>
    <w:rsid w:val="004F1A10"/>
    <w:rsid w:val="004F30AE"/>
    <w:rsid w:val="004F3BEE"/>
    <w:rsid w:val="004F4117"/>
    <w:rsid w:val="004F4161"/>
    <w:rsid w:val="004F4296"/>
    <w:rsid w:val="004F452E"/>
    <w:rsid w:val="004F5AC2"/>
    <w:rsid w:val="004F5C2F"/>
    <w:rsid w:val="004F5F52"/>
    <w:rsid w:val="004F641D"/>
    <w:rsid w:val="004F64A1"/>
    <w:rsid w:val="004F6BEB"/>
    <w:rsid w:val="004F6FEB"/>
    <w:rsid w:val="004F780C"/>
    <w:rsid w:val="004F782C"/>
    <w:rsid w:val="004F7B28"/>
    <w:rsid w:val="00500263"/>
    <w:rsid w:val="00500DA4"/>
    <w:rsid w:val="00500FBC"/>
    <w:rsid w:val="005012C6"/>
    <w:rsid w:val="005018D2"/>
    <w:rsid w:val="0050193D"/>
    <w:rsid w:val="005019DF"/>
    <w:rsid w:val="00501B6A"/>
    <w:rsid w:val="00501B7D"/>
    <w:rsid w:val="00501C1C"/>
    <w:rsid w:val="00501D79"/>
    <w:rsid w:val="00502C6B"/>
    <w:rsid w:val="00502CB4"/>
    <w:rsid w:val="0050313D"/>
    <w:rsid w:val="00503B2C"/>
    <w:rsid w:val="00503CE9"/>
    <w:rsid w:val="00503E92"/>
    <w:rsid w:val="00503FF0"/>
    <w:rsid w:val="00504354"/>
    <w:rsid w:val="005044DC"/>
    <w:rsid w:val="00504998"/>
    <w:rsid w:val="00504B68"/>
    <w:rsid w:val="005058EA"/>
    <w:rsid w:val="00505ECC"/>
    <w:rsid w:val="005060BC"/>
    <w:rsid w:val="00506270"/>
    <w:rsid w:val="0050691D"/>
    <w:rsid w:val="00506FD7"/>
    <w:rsid w:val="00507361"/>
    <w:rsid w:val="00507AF2"/>
    <w:rsid w:val="00507E34"/>
    <w:rsid w:val="00507E45"/>
    <w:rsid w:val="0051029F"/>
    <w:rsid w:val="00510657"/>
    <w:rsid w:val="00510A00"/>
    <w:rsid w:val="00511216"/>
    <w:rsid w:val="005117EE"/>
    <w:rsid w:val="00511F7B"/>
    <w:rsid w:val="00514106"/>
    <w:rsid w:val="00514822"/>
    <w:rsid w:val="00515098"/>
    <w:rsid w:val="00515530"/>
    <w:rsid w:val="00515ACC"/>
    <w:rsid w:val="005164B3"/>
    <w:rsid w:val="00516989"/>
    <w:rsid w:val="00516CBA"/>
    <w:rsid w:val="00516F67"/>
    <w:rsid w:val="005174F3"/>
    <w:rsid w:val="00517932"/>
    <w:rsid w:val="00517E1C"/>
    <w:rsid w:val="00520271"/>
    <w:rsid w:val="0052073A"/>
    <w:rsid w:val="00520976"/>
    <w:rsid w:val="00520CF7"/>
    <w:rsid w:val="00520F1A"/>
    <w:rsid w:val="005210B7"/>
    <w:rsid w:val="005211A8"/>
    <w:rsid w:val="005212F7"/>
    <w:rsid w:val="005212FC"/>
    <w:rsid w:val="0052136F"/>
    <w:rsid w:val="005223DF"/>
    <w:rsid w:val="005229DC"/>
    <w:rsid w:val="00522FCC"/>
    <w:rsid w:val="0052328E"/>
    <w:rsid w:val="005241B3"/>
    <w:rsid w:val="00524770"/>
    <w:rsid w:val="00524C3E"/>
    <w:rsid w:val="00524D37"/>
    <w:rsid w:val="00524E9C"/>
    <w:rsid w:val="005250DA"/>
    <w:rsid w:val="005251EB"/>
    <w:rsid w:val="00525584"/>
    <w:rsid w:val="005264C5"/>
    <w:rsid w:val="00526E5D"/>
    <w:rsid w:val="00526FDB"/>
    <w:rsid w:val="005279B7"/>
    <w:rsid w:val="00527C09"/>
    <w:rsid w:val="00527F8C"/>
    <w:rsid w:val="005300C2"/>
    <w:rsid w:val="0053097A"/>
    <w:rsid w:val="005311E2"/>
    <w:rsid w:val="0053134F"/>
    <w:rsid w:val="0053154F"/>
    <w:rsid w:val="005315AA"/>
    <w:rsid w:val="005315CC"/>
    <w:rsid w:val="00533046"/>
    <w:rsid w:val="0053314F"/>
    <w:rsid w:val="00533CE4"/>
    <w:rsid w:val="005342C3"/>
    <w:rsid w:val="00534300"/>
    <w:rsid w:val="00534A52"/>
    <w:rsid w:val="00534F14"/>
    <w:rsid w:val="00535DB3"/>
    <w:rsid w:val="00536390"/>
    <w:rsid w:val="00536714"/>
    <w:rsid w:val="00536DA6"/>
    <w:rsid w:val="005372CD"/>
    <w:rsid w:val="00537328"/>
    <w:rsid w:val="00540A41"/>
    <w:rsid w:val="00540F1E"/>
    <w:rsid w:val="005413DF"/>
    <w:rsid w:val="0054184A"/>
    <w:rsid w:val="00543344"/>
    <w:rsid w:val="005434A0"/>
    <w:rsid w:val="00543E6C"/>
    <w:rsid w:val="00544433"/>
    <w:rsid w:val="00544897"/>
    <w:rsid w:val="00544A94"/>
    <w:rsid w:val="00544CFC"/>
    <w:rsid w:val="00544D67"/>
    <w:rsid w:val="005452DD"/>
    <w:rsid w:val="00545831"/>
    <w:rsid w:val="005463F0"/>
    <w:rsid w:val="00546D89"/>
    <w:rsid w:val="00546D90"/>
    <w:rsid w:val="00546FB3"/>
    <w:rsid w:val="0054718C"/>
    <w:rsid w:val="005472E1"/>
    <w:rsid w:val="005476C0"/>
    <w:rsid w:val="00547C59"/>
    <w:rsid w:val="005506A1"/>
    <w:rsid w:val="005508DF"/>
    <w:rsid w:val="0055094E"/>
    <w:rsid w:val="00550B4C"/>
    <w:rsid w:val="00550C09"/>
    <w:rsid w:val="00550C8E"/>
    <w:rsid w:val="005515C6"/>
    <w:rsid w:val="005516F9"/>
    <w:rsid w:val="00551860"/>
    <w:rsid w:val="00552116"/>
    <w:rsid w:val="00552535"/>
    <w:rsid w:val="00552855"/>
    <w:rsid w:val="00552AAC"/>
    <w:rsid w:val="00552BD8"/>
    <w:rsid w:val="00552F3D"/>
    <w:rsid w:val="00553278"/>
    <w:rsid w:val="005532C4"/>
    <w:rsid w:val="005533B0"/>
    <w:rsid w:val="0055373D"/>
    <w:rsid w:val="00553D6F"/>
    <w:rsid w:val="00553F8A"/>
    <w:rsid w:val="00554037"/>
    <w:rsid w:val="005551C3"/>
    <w:rsid w:val="00555ED6"/>
    <w:rsid w:val="00555F0B"/>
    <w:rsid w:val="005566AB"/>
    <w:rsid w:val="00556B3C"/>
    <w:rsid w:val="00556CB0"/>
    <w:rsid w:val="00557275"/>
    <w:rsid w:val="005572DC"/>
    <w:rsid w:val="00557349"/>
    <w:rsid w:val="00557442"/>
    <w:rsid w:val="005579EE"/>
    <w:rsid w:val="00560149"/>
    <w:rsid w:val="00560364"/>
    <w:rsid w:val="00560E0B"/>
    <w:rsid w:val="00561168"/>
    <w:rsid w:val="005611C2"/>
    <w:rsid w:val="00561211"/>
    <w:rsid w:val="005613CF"/>
    <w:rsid w:val="00561A32"/>
    <w:rsid w:val="005621EC"/>
    <w:rsid w:val="0056227D"/>
    <w:rsid w:val="005625F4"/>
    <w:rsid w:val="005631E8"/>
    <w:rsid w:val="00563221"/>
    <w:rsid w:val="00563A92"/>
    <w:rsid w:val="00563C1F"/>
    <w:rsid w:val="00564110"/>
    <w:rsid w:val="005641A7"/>
    <w:rsid w:val="00564230"/>
    <w:rsid w:val="0056424C"/>
    <w:rsid w:val="005647ED"/>
    <w:rsid w:val="00564FB9"/>
    <w:rsid w:val="00564FE1"/>
    <w:rsid w:val="00565193"/>
    <w:rsid w:val="005653AB"/>
    <w:rsid w:val="005666CD"/>
    <w:rsid w:val="00566A02"/>
    <w:rsid w:val="00566C49"/>
    <w:rsid w:val="00566EC5"/>
    <w:rsid w:val="00567272"/>
    <w:rsid w:val="00570B0A"/>
    <w:rsid w:val="00570FC2"/>
    <w:rsid w:val="005715F2"/>
    <w:rsid w:val="00571F2D"/>
    <w:rsid w:val="00571F95"/>
    <w:rsid w:val="00572241"/>
    <w:rsid w:val="005722E9"/>
    <w:rsid w:val="0057279C"/>
    <w:rsid w:val="00572A06"/>
    <w:rsid w:val="00572C8A"/>
    <w:rsid w:val="0057314E"/>
    <w:rsid w:val="00573205"/>
    <w:rsid w:val="0057364B"/>
    <w:rsid w:val="005739FB"/>
    <w:rsid w:val="00573E7B"/>
    <w:rsid w:val="00574116"/>
    <w:rsid w:val="00574BFD"/>
    <w:rsid w:val="00574CE9"/>
    <w:rsid w:val="0057510C"/>
    <w:rsid w:val="00575AD3"/>
    <w:rsid w:val="00575CBB"/>
    <w:rsid w:val="00575EC8"/>
    <w:rsid w:val="00576B6D"/>
    <w:rsid w:val="00576EB3"/>
    <w:rsid w:val="00577404"/>
    <w:rsid w:val="00577923"/>
    <w:rsid w:val="00577CFF"/>
    <w:rsid w:val="00580E56"/>
    <w:rsid w:val="00580F63"/>
    <w:rsid w:val="0058140C"/>
    <w:rsid w:val="0058165F"/>
    <w:rsid w:val="00581931"/>
    <w:rsid w:val="00581B50"/>
    <w:rsid w:val="00582588"/>
    <w:rsid w:val="00582C01"/>
    <w:rsid w:val="00582D3C"/>
    <w:rsid w:val="005840C3"/>
    <w:rsid w:val="005840C6"/>
    <w:rsid w:val="00585110"/>
    <w:rsid w:val="0058592C"/>
    <w:rsid w:val="00586116"/>
    <w:rsid w:val="00586449"/>
    <w:rsid w:val="00586851"/>
    <w:rsid w:val="00586CD1"/>
    <w:rsid w:val="00586DB1"/>
    <w:rsid w:val="00587017"/>
    <w:rsid w:val="005870F7"/>
    <w:rsid w:val="005875CB"/>
    <w:rsid w:val="00587A9F"/>
    <w:rsid w:val="00587C4F"/>
    <w:rsid w:val="00587D65"/>
    <w:rsid w:val="00587D78"/>
    <w:rsid w:val="00587DC3"/>
    <w:rsid w:val="005903A2"/>
    <w:rsid w:val="005906A5"/>
    <w:rsid w:val="00590CB3"/>
    <w:rsid w:val="00590F50"/>
    <w:rsid w:val="00591402"/>
    <w:rsid w:val="0059173E"/>
    <w:rsid w:val="0059367B"/>
    <w:rsid w:val="00593DDB"/>
    <w:rsid w:val="005945B1"/>
    <w:rsid w:val="0059495F"/>
    <w:rsid w:val="005958A0"/>
    <w:rsid w:val="005958FC"/>
    <w:rsid w:val="00595E58"/>
    <w:rsid w:val="0059639F"/>
    <w:rsid w:val="0059670D"/>
    <w:rsid w:val="00596839"/>
    <w:rsid w:val="005970FD"/>
    <w:rsid w:val="005971EE"/>
    <w:rsid w:val="0059773F"/>
    <w:rsid w:val="00597DE6"/>
    <w:rsid w:val="005A0560"/>
    <w:rsid w:val="005A07B6"/>
    <w:rsid w:val="005A0950"/>
    <w:rsid w:val="005A0BD1"/>
    <w:rsid w:val="005A0D4A"/>
    <w:rsid w:val="005A18DF"/>
    <w:rsid w:val="005A20CE"/>
    <w:rsid w:val="005A20ED"/>
    <w:rsid w:val="005A23F8"/>
    <w:rsid w:val="005A2535"/>
    <w:rsid w:val="005A2AAB"/>
    <w:rsid w:val="005A2B38"/>
    <w:rsid w:val="005A2C9B"/>
    <w:rsid w:val="005A2EFA"/>
    <w:rsid w:val="005A3372"/>
    <w:rsid w:val="005A3640"/>
    <w:rsid w:val="005A4B5B"/>
    <w:rsid w:val="005A4CE2"/>
    <w:rsid w:val="005A5012"/>
    <w:rsid w:val="005A5116"/>
    <w:rsid w:val="005A554D"/>
    <w:rsid w:val="005A59EB"/>
    <w:rsid w:val="005A5D59"/>
    <w:rsid w:val="005A601B"/>
    <w:rsid w:val="005A6830"/>
    <w:rsid w:val="005A6CA3"/>
    <w:rsid w:val="005A6F5C"/>
    <w:rsid w:val="005A7EDB"/>
    <w:rsid w:val="005B0195"/>
    <w:rsid w:val="005B08A7"/>
    <w:rsid w:val="005B11CF"/>
    <w:rsid w:val="005B12C1"/>
    <w:rsid w:val="005B1BB5"/>
    <w:rsid w:val="005B1D17"/>
    <w:rsid w:val="005B1EFA"/>
    <w:rsid w:val="005B22E8"/>
    <w:rsid w:val="005B2828"/>
    <w:rsid w:val="005B2D1C"/>
    <w:rsid w:val="005B324C"/>
    <w:rsid w:val="005B3725"/>
    <w:rsid w:val="005B3BA8"/>
    <w:rsid w:val="005B3E6A"/>
    <w:rsid w:val="005B4260"/>
    <w:rsid w:val="005B470A"/>
    <w:rsid w:val="005B4D2B"/>
    <w:rsid w:val="005B52B4"/>
    <w:rsid w:val="005B534D"/>
    <w:rsid w:val="005B54F6"/>
    <w:rsid w:val="005B5505"/>
    <w:rsid w:val="005B59D9"/>
    <w:rsid w:val="005B5DC1"/>
    <w:rsid w:val="005B5F6B"/>
    <w:rsid w:val="005B6026"/>
    <w:rsid w:val="005B64AF"/>
    <w:rsid w:val="005B6597"/>
    <w:rsid w:val="005B6695"/>
    <w:rsid w:val="005B6B12"/>
    <w:rsid w:val="005B6BF6"/>
    <w:rsid w:val="005B76F0"/>
    <w:rsid w:val="005B7B88"/>
    <w:rsid w:val="005C0061"/>
    <w:rsid w:val="005C03CA"/>
    <w:rsid w:val="005C0DB8"/>
    <w:rsid w:val="005C0EF0"/>
    <w:rsid w:val="005C12B2"/>
    <w:rsid w:val="005C1E6C"/>
    <w:rsid w:val="005C217D"/>
    <w:rsid w:val="005C30F3"/>
    <w:rsid w:val="005C3690"/>
    <w:rsid w:val="005C36DC"/>
    <w:rsid w:val="005C3848"/>
    <w:rsid w:val="005C38AE"/>
    <w:rsid w:val="005C393F"/>
    <w:rsid w:val="005C4107"/>
    <w:rsid w:val="005C4703"/>
    <w:rsid w:val="005C493D"/>
    <w:rsid w:val="005C51C5"/>
    <w:rsid w:val="005C53F5"/>
    <w:rsid w:val="005C56A5"/>
    <w:rsid w:val="005C56B4"/>
    <w:rsid w:val="005C56F8"/>
    <w:rsid w:val="005C578B"/>
    <w:rsid w:val="005C58B7"/>
    <w:rsid w:val="005C69EB"/>
    <w:rsid w:val="005C74FA"/>
    <w:rsid w:val="005C77B6"/>
    <w:rsid w:val="005D00D3"/>
    <w:rsid w:val="005D031C"/>
    <w:rsid w:val="005D0A1B"/>
    <w:rsid w:val="005D1C27"/>
    <w:rsid w:val="005D2929"/>
    <w:rsid w:val="005D3263"/>
    <w:rsid w:val="005D34F5"/>
    <w:rsid w:val="005D3EA5"/>
    <w:rsid w:val="005D3EEC"/>
    <w:rsid w:val="005D413D"/>
    <w:rsid w:val="005D418E"/>
    <w:rsid w:val="005D4572"/>
    <w:rsid w:val="005D45AE"/>
    <w:rsid w:val="005D5323"/>
    <w:rsid w:val="005D556B"/>
    <w:rsid w:val="005D5AA2"/>
    <w:rsid w:val="005D5CB0"/>
    <w:rsid w:val="005D6306"/>
    <w:rsid w:val="005D6872"/>
    <w:rsid w:val="005D6CB3"/>
    <w:rsid w:val="005D6D5C"/>
    <w:rsid w:val="005D71F4"/>
    <w:rsid w:val="005D73CB"/>
    <w:rsid w:val="005D76A3"/>
    <w:rsid w:val="005E0161"/>
    <w:rsid w:val="005E0181"/>
    <w:rsid w:val="005E097C"/>
    <w:rsid w:val="005E169A"/>
    <w:rsid w:val="005E18BB"/>
    <w:rsid w:val="005E1D11"/>
    <w:rsid w:val="005E256B"/>
    <w:rsid w:val="005E2930"/>
    <w:rsid w:val="005E2DDB"/>
    <w:rsid w:val="005E2E82"/>
    <w:rsid w:val="005E33FB"/>
    <w:rsid w:val="005E3428"/>
    <w:rsid w:val="005E3E68"/>
    <w:rsid w:val="005E3ED1"/>
    <w:rsid w:val="005E3FD9"/>
    <w:rsid w:val="005E412D"/>
    <w:rsid w:val="005E4732"/>
    <w:rsid w:val="005E4D29"/>
    <w:rsid w:val="005E5E9E"/>
    <w:rsid w:val="005E6C4A"/>
    <w:rsid w:val="005E6DE4"/>
    <w:rsid w:val="005E7421"/>
    <w:rsid w:val="005E74F1"/>
    <w:rsid w:val="005E753A"/>
    <w:rsid w:val="005E7887"/>
    <w:rsid w:val="005F002F"/>
    <w:rsid w:val="005F00EA"/>
    <w:rsid w:val="005F0102"/>
    <w:rsid w:val="005F03A7"/>
    <w:rsid w:val="005F0867"/>
    <w:rsid w:val="005F091E"/>
    <w:rsid w:val="005F09F1"/>
    <w:rsid w:val="005F0F25"/>
    <w:rsid w:val="005F10B1"/>
    <w:rsid w:val="005F1194"/>
    <w:rsid w:val="005F15FE"/>
    <w:rsid w:val="005F1C84"/>
    <w:rsid w:val="005F244B"/>
    <w:rsid w:val="005F28E9"/>
    <w:rsid w:val="005F32BC"/>
    <w:rsid w:val="005F32FB"/>
    <w:rsid w:val="005F37AE"/>
    <w:rsid w:val="005F37FB"/>
    <w:rsid w:val="005F3BBA"/>
    <w:rsid w:val="005F4337"/>
    <w:rsid w:val="005F49ED"/>
    <w:rsid w:val="005F4CCD"/>
    <w:rsid w:val="005F4E6E"/>
    <w:rsid w:val="005F4E92"/>
    <w:rsid w:val="005F50D8"/>
    <w:rsid w:val="005F5760"/>
    <w:rsid w:val="005F58D7"/>
    <w:rsid w:val="005F59C5"/>
    <w:rsid w:val="005F59EC"/>
    <w:rsid w:val="005F5BEC"/>
    <w:rsid w:val="005F6233"/>
    <w:rsid w:val="005F6510"/>
    <w:rsid w:val="005F68E0"/>
    <w:rsid w:val="005F6AAE"/>
    <w:rsid w:val="005F7491"/>
    <w:rsid w:val="005F7800"/>
    <w:rsid w:val="006014B2"/>
    <w:rsid w:val="00601C34"/>
    <w:rsid w:val="006035B0"/>
    <w:rsid w:val="00604082"/>
    <w:rsid w:val="006042FF"/>
    <w:rsid w:val="006045A7"/>
    <w:rsid w:val="006045B5"/>
    <w:rsid w:val="00604890"/>
    <w:rsid w:val="006057B4"/>
    <w:rsid w:val="00605A19"/>
    <w:rsid w:val="00605D4D"/>
    <w:rsid w:val="006064CF"/>
    <w:rsid w:val="006067B5"/>
    <w:rsid w:val="00606BC7"/>
    <w:rsid w:val="00606C6D"/>
    <w:rsid w:val="00607B16"/>
    <w:rsid w:val="00607B3D"/>
    <w:rsid w:val="006101EB"/>
    <w:rsid w:val="00610410"/>
    <w:rsid w:val="00610796"/>
    <w:rsid w:val="00610943"/>
    <w:rsid w:val="00610A03"/>
    <w:rsid w:val="00610B07"/>
    <w:rsid w:val="00610E14"/>
    <w:rsid w:val="0061103E"/>
    <w:rsid w:val="0061114B"/>
    <w:rsid w:val="006111CC"/>
    <w:rsid w:val="006118FF"/>
    <w:rsid w:val="00611988"/>
    <w:rsid w:val="00611B42"/>
    <w:rsid w:val="00612216"/>
    <w:rsid w:val="0061233E"/>
    <w:rsid w:val="00612B0F"/>
    <w:rsid w:val="00612C4A"/>
    <w:rsid w:val="00612E1B"/>
    <w:rsid w:val="006132B3"/>
    <w:rsid w:val="006132F6"/>
    <w:rsid w:val="0061383F"/>
    <w:rsid w:val="00613915"/>
    <w:rsid w:val="00613997"/>
    <w:rsid w:val="00613BEA"/>
    <w:rsid w:val="00613F86"/>
    <w:rsid w:val="0061413F"/>
    <w:rsid w:val="00614230"/>
    <w:rsid w:val="006143EF"/>
    <w:rsid w:val="006145AA"/>
    <w:rsid w:val="00614678"/>
    <w:rsid w:val="00614C56"/>
    <w:rsid w:val="00614F67"/>
    <w:rsid w:val="0061557B"/>
    <w:rsid w:val="00615EC7"/>
    <w:rsid w:val="006168B5"/>
    <w:rsid w:val="00617CA1"/>
    <w:rsid w:val="00617D5D"/>
    <w:rsid w:val="0062012F"/>
    <w:rsid w:val="00620238"/>
    <w:rsid w:val="006203BE"/>
    <w:rsid w:val="0062182D"/>
    <w:rsid w:val="00621C85"/>
    <w:rsid w:val="00621DF5"/>
    <w:rsid w:val="00622240"/>
    <w:rsid w:val="006223C3"/>
    <w:rsid w:val="00622A73"/>
    <w:rsid w:val="00622F0B"/>
    <w:rsid w:val="00623868"/>
    <w:rsid w:val="00623A46"/>
    <w:rsid w:val="006245EB"/>
    <w:rsid w:val="00624A50"/>
    <w:rsid w:val="00624BB9"/>
    <w:rsid w:val="006250A4"/>
    <w:rsid w:val="00625B11"/>
    <w:rsid w:val="0062601B"/>
    <w:rsid w:val="0062631D"/>
    <w:rsid w:val="006263CE"/>
    <w:rsid w:val="00626CA4"/>
    <w:rsid w:val="00626D32"/>
    <w:rsid w:val="0062734D"/>
    <w:rsid w:val="00627D59"/>
    <w:rsid w:val="00630165"/>
    <w:rsid w:val="0063138F"/>
    <w:rsid w:val="006316DD"/>
    <w:rsid w:val="006318DC"/>
    <w:rsid w:val="006322E2"/>
    <w:rsid w:val="006334B4"/>
    <w:rsid w:val="006336E9"/>
    <w:rsid w:val="00633911"/>
    <w:rsid w:val="00633A87"/>
    <w:rsid w:val="00633B2B"/>
    <w:rsid w:val="00634A85"/>
    <w:rsid w:val="00634EC4"/>
    <w:rsid w:val="00635347"/>
    <w:rsid w:val="00635439"/>
    <w:rsid w:val="0063565E"/>
    <w:rsid w:val="00635A12"/>
    <w:rsid w:val="00635BCA"/>
    <w:rsid w:val="00635DDF"/>
    <w:rsid w:val="00636458"/>
    <w:rsid w:val="00636533"/>
    <w:rsid w:val="0063668A"/>
    <w:rsid w:val="006367CF"/>
    <w:rsid w:val="00636C24"/>
    <w:rsid w:val="00636E02"/>
    <w:rsid w:val="00637437"/>
    <w:rsid w:val="00637B29"/>
    <w:rsid w:val="00637FCB"/>
    <w:rsid w:val="00640894"/>
    <w:rsid w:val="00640AC0"/>
    <w:rsid w:val="006414DE"/>
    <w:rsid w:val="00641963"/>
    <w:rsid w:val="00641C86"/>
    <w:rsid w:val="00642297"/>
    <w:rsid w:val="00642300"/>
    <w:rsid w:val="006426B8"/>
    <w:rsid w:val="00642AE4"/>
    <w:rsid w:val="00642BFA"/>
    <w:rsid w:val="0064351D"/>
    <w:rsid w:val="006435BF"/>
    <w:rsid w:val="00643EB0"/>
    <w:rsid w:val="00643FC8"/>
    <w:rsid w:val="00644159"/>
    <w:rsid w:val="00644307"/>
    <w:rsid w:val="006448AE"/>
    <w:rsid w:val="00644A34"/>
    <w:rsid w:val="00645204"/>
    <w:rsid w:val="00645858"/>
    <w:rsid w:val="00645C94"/>
    <w:rsid w:val="00645CBC"/>
    <w:rsid w:val="00645CD1"/>
    <w:rsid w:val="00645E58"/>
    <w:rsid w:val="006462D0"/>
    <w:rsid w:val="00646C0F"/>
    <w:rsid w:val="00646CE6"/>
    <w:rsid w:val="00646D3F"/>
    <w:rsid w:val="00647198"/>
    <w:rsid w:val="00647237"/>
    <w:rsid w:val="006475F6"/>
    <w:rsid w:val="006479D7"/>
    <w:rsid w:val="00647DF9"/>
    <w:rsid w:val="00650396"/>
    <w:rsid w:val="0065109C"/>
    <w:rsid w:val="006511A3"/>
    <w:rsid w:val="0065126A"/>
    <w:rsid w:val="00651752"/>
    <w:rsid w:val="0065200A"/>
    <w:rsid w:val="006523C7"/>
    <w:rsid w:val="00652BA9"/>
    <w:rsid w:val="00652D41"/>
    <w:rsid w:val="00652E52"/>
    <w:rsid w:val="00652F59"/>
    <w:rsid w:val="0065332B"/>
    <w:rsid w:val="00653744"/>
    <w:rsid w:val="00653B14"/>
    <w:rsid w:val="0065434D"/>
    <w:rsid w:val="006545A3"/>
    <w:rsid w:val="00655D87"/>
    <w:rsid w:val="00656191"/>
    <w:rsid w:val="00656C7A"/>
    <w:rsid w:val="00656E93"/>
    <w:rsid w:val="00657BE7"/>
    <w:rsid w:val="00657C00"/>
    <w:rsid w:val="00657D50"/>
    <w:rsid w:val="00660052"/>
    <w:rsid w:val="00660190"/>
    <w:rsid w:val="006603D3"/>
    <w:rsid w:val="006604BE"/>
    <w:rsid w:val="006604CC"/>
    <w:rsid w:val="00660D82"/>
    <w:rsid w:val="006611BF"/>
    <w:rsid w:val="00661706"/>
    <w:rsid w:val="0066176B"/>
    <w:rsid w:val="0066185A"/>
    <w:rsid w:val="00661B12"/>
    <w:rsid w:val="006623DF"/>
    <w:rsid w:val="00662882"/>
    <w:rsid w:val="00663072"/>
    <w:rsid w:val="006630E0"/>
    <w:rsid w:val="006631EB"/>
    <w:rsid w:val="00663691"/>
    <w:rsid w:val="00663F4C"/>
    <w:rsid w:val="006644F7"/>
    <w:rsid w:val="00665825"/>
    <w:rsid w:val="00665A7C"/>
    <w:rsid w:val="00665CF5"/>
    <w:rsid w:val="00665DEC"/>
    <w:rsid w:val="006667A8"/>
    <w:rsid w:val="0066774F"/>
    <w:rsid w:val="00667827"/>
    <w:rsid w:val="006709B7"/>
    <w:rsid w:val="00671363"/>
    <w:rsid w:val="006719CC"/>
    <w:rsid w:val="00672010"/>
    <w:rsid w:val="0067221D"/>
    <w:rsid w:val="00672C04"/>
    <w:rsid w:val="00672D1B"/>
    <w:rsid w:val="006731AA"/>
    <w:rsid w:val="00673206"/>
    <w:rsid w:val="00673563"/>
    <w:rsid w:val="0067394F"/>
    <w:rsid w:val="00673AC8"/>
    <w:rsid w:val="00673C5E"/>
    <w:rsid w:val="00673FAB"/>
    <w:rsid w:val="00674523"/>
    <w:rsid w:val="00674C26"/>
    <w:rsid w:val="0067523C"/>
    <w:rsid w:val="00675955"/>
    <w:rsid w:val="00675F47"/>
    <w:rsid w:val="006760AD"/>
    <w:rsid w:val="00676140"/>
    <w:rsid w:val="006762F8"/>
    <w:rsid w:val="0067657D"/>
    <w:rsid w:val="00677501"/>
    <w:rsid w:val="006776FA"/>
    <w:rsid w:val="00677928"/>
    <w:rsid w:val="006779AB"/>
    <w:rsid w:val="00680018"/>
    <w:rsid w:val="006802BF"/>
    <w:rsid w:val="006803D8"/>
    <w:rsid w:val="006806F4"/>
    <w:rsid w:val="006808FD"/>
    <w:rsid w:val="00680A90"/>
    <w:rsid w:val="00680CBD"/>
    <w:rsid w:val="006810C4"/>
    <w:rsid w:val="006811EB"/>
    <w:rsid w:val="006816D8"/>
    <w:rsid w:val="00681C6E"/>
    <w:rsid w:val="00681EDB"/>
    <w:rsid w:val="00681F42"/>
    <w:rsid w:val="0068238A"/>
    <w:rsid w:val="006829D5"/>
    <w:rsid w:val="00682B21"/>
    <w:rsid w:val="00682B58"/>
    <w:rsid w:val="00682CB1"/>
    <w:rsid w:val="00683568"/>
    <w:rsid w:val="00683A01"/>
    <w:rsid w:val="00683FD8"/>
    <w:rsid w:val="00684AF0"/>
    <w:rsid w:val="00684B9D"/>
    <w:rsid w:val="00684D1A"/>
    <w:rsid w:val="00684EB0"/>
    <w:rsid w:val="00685485"/>
    <w:rsid w:val="00685812"/>
    <w:rsid w:val="00685A84"/>
    <w:rsid w:val="00685CFB"/>
    <w:rsid w:val="00686CB5"/>
    <w:rsid w:val="00687099"/>
    <w:rsid w:val="00687A6B"/>
    <w:rsid w:val="00687C1D"/>
    <w:rsid w:val="006902D1"/>
    <w:rsid w:val="0069049F"/>
    <w:rsid w:val="00690530"/>
    <w:rsid w:val="00690682"/>
    <w:rsid w:val="00690879"/>
    <w:rsid w:val="00690E34"/>
    <w:rsid w:val="00691A0D"/>
    <w:rsid w:val="00691B63"/>
    <w:rsid w:val="0069245B"/>
    <w:rsid w:val="006928CA"/>
    <w:rsid w:val="00692941"/>
    <w:rsid w:val="00692FB4"/>
    <w:rsid w:val="00693597"/>
    <w:rsid w:val="00693807"/>
    <w:rsid w:val="00694832"/>
    <w:rsid w:val="00694A04"/>
    <w:rsid w:val="006956FE"/>
    <w:rsid w:val="006958E3"/>
    <w:rsid w:val="00695A42"/>
    <w:rsid w:val="00695AC2"/>
    <w:rsid w:val="006960E9"/>
    <w:rsid w:val="00696B02"/>
    <w:rsid w:val="006A09FA"/>
    <w:rsid w:val="006A0E18"/>
    <w:rsid w:val="006A1288"/>
    <w:rsid w:val="006A1ABD"/>
    <w:rsid w:val="006A1E77"/>
    <w:rsid w:val="006A2C89"/>
    <w:rsid w:val="006A2DC8"/>
    <w:rsid w:val="006A30A8"/>
    <w:rsid w:val="006A44DA"/>
    <w:rsid w:val="006A498C"/>
    <w:rsid w:val="006A5314"/>
    <w:rsid w:val="006A61AC"/>
    <w:rsid w:val="006A6374"/>
    <w:rsid w:val="006A64F6"/>
    <w:rsid w:val="006A658C"/>
    <w:rsid w:val="006A66BF"/>
    <w:rsid w:val="006A6A45"/>
    <w:rsid w:val="006A7238"/>
    <w:rsid w:val="006A756A"/>
    <w:rsid w:val="006A797D"/>
    <w:rsid w:val="006A7A10"/>
    <w:rsid w:val="006A7E92"/>
    <w:rsid w:val="006B005C"/>
    <w:rsid w:val="006B09E2"/>
    <w:rsid w:val="006B0DA4"/>
    <w:rsid w:val="006B145F"/>
    <w:rsid w:val="006B14EC"/>
    <w:rsid w:val="006B1786"/>
    <w:rsid w:val="006B17F1"/>
    <w:rsid w:val="006B1B6B"/>
    <w:rsid w:val="006B2757"/>
    <w:rsid w:val="006B28B3"/>
    <w:rsid w:val="006B2B20"/>
    <w:rsid w:val="006B30A1"/>
    <w:rsid w:val="006B36B2"/>
    <w:rsid w:val="006B3D9E"/>
    <w:rsid w:val="006B4616"/>
    <w:rsid w:val="006B492E"/>
    <w:rsid w:val="006B4D0F"/>
    <w:rsid w:val="006B4FF4"/>
    <w:rsid w:val="006B5605"/>
    <w:rsid w:val="006B5E18"/>
    <w:rsid w:val="006B654F"/>
    <w:rsid w:val="006B677A"/>
    <w:rsid w:val="006B6CDB"/>
    <w:rsid w:val="006B7B72"/>
    <w:rsid w:val="006C0189"/>
    <w:rsid w:val="006C0925"/>
    <w:rsid w:val="006C0D19"/>
    <w:rsid w:val="006C0D3A"/>
    <w:rsid w:val="006C0F82"/>
    <w:rsid w:val="006C1248"/>
    <w:rsid w:val="006C1298"/>
    <w:rsid w:val="006C1485"/>
    <w:rsid w:val="006C1B4A"/>
    <w:rsid w:val="006C2B48"/>
    <w:rsid w:val="006C2D4D"/>
    <w:rsid w:val="006C2FCD"/>
    <w:rsid w:val="006C2FFC"/>
    <w:rsid w:val="006C3617"/>
    <w:rsid w:val="006C371A"/>
    <w:rsid w:val="006C4351"/>
    <w:rsid w:val="006C4ECA"/>
    <w:rsid w:val="006C531D"/>
    <w:rsid w:val="006C5A3D"/>
    <w:rsid w:val="006C5AC4"/>
    <w:rsid w:val="006C6198"/>
    <w:rsid w:val="006C6421"/>
    <w:rsid w:val="006C6639"/>
    <w:rsid w:val="006C6729"/>
    <w:rsid w:val="006C694A"/>
    <w:rsid w:val="006C6C5B"/>
    <w:rsid w:val="006C6E63"/>
    <w:rsid w:val="006C6E8F"/>
    <w:rsid w:val="006C6F0A"/>
    <w:rsid w:val="006C712E"/>
    <w:rsid w:val="006C7352"/>
    <w:rsid w:val="006D0135"/>
    <w:rsid w:val="006D0137"/>
    <w:rsid w:val="006D050C"/>
    <w:rsid w:val="006D0638"/>
    <w:rsid w:val="006D0D23"/>
    <w:rsid w:val="006D0D35"/>
    <w:rsid w:val="006D0D98"/>
    <w:rsid w:val="006D0DBF"/>
    <w:rsid w:val="006D1A8D"/>
    <w:rsid w:val="006D29E0"/>
    <w:rsid w:val="006D2C70"/>
    <w:rsid w:val="006D2FB8"/>
    <w:rsid w:val="006D344E"/>
    <w:rsid w:val="006D3658"/>
    <w:rsid w:val="006D376D"/>
    <w:rsid w:val="006D38B5"/>
    <w:rsid w:val="006D39AE"/>
    <w:rsid w:val="006D3BB5"/>
    <w:rsid w:val="006D3E66"/>
    <w:rsid w:val="006D436A"/>
    <w:rsid w:val="006D4692"/>
    <w:rsid w:val="006D4A95"/>
    <w:rsid w:val="006D4F43"/>
    <w:rsid w:val="006D54B3"/>
    <w:rsid w:val="006D59BF"/>
    <w:rsid w:val="006D5AB4"/>
    <w:rsid w:val="006D5AD3"/>
    <w:rsid w:val="006D5AE0"/>
    <w:rsid w:val="006D605D"/>
    <w:rsid w:val="006D6790"/>
    <w:rsid w:val="006D6803"/>
    <w:rsid w:val="006D6EA0"/>
    <w:rsid w:val="006D704B"/>
    <w:rsid w:val="006D74AF"/>
    <w:rsid w:val="006D781A"/>
    <w:rsid w:val="006D7E95"/>
    <w:rsid w:val="006E00C4"/>
    <w:rsid w:val="006E0396"/>
    <w:rsid w:val="006E0398"/>
    <w:rsid w:val="006E10E6"/>
    <w:rsid w:val="006E15FE"/>
    <w:rsid w:val="006E1637"/>
    <w:rsid w:val="006E1AAD"/>
    <w:rsid w:val="006E1ADD"/>
    <w:rsid w:val="006E2829"/>
    <w:rsid w:val="006E2999"/>
    <w:rsid w:val="006E3080"/>
    <w:rsid w:val="006E337F"/>
    <w:rsid w:val="006E3481"/>
    <w:rsid w:val="006E3968"/>
    <w:rsid w:val="006E39B5"/>
    <w:rsid w:val="006E4086"/>
    <w:rsid w:val="006E443B"/>
    <w:rsid w:val="006E48AA"/>
    <w:rsid w:val="006E492E"/>
    <w:rsid w:val="006E4A3E"/>
    <w:rsid w:val="006E4C43"/>
    <w:rsid w:val="006E4ED0"/>
    <w:rsid w:val="006E508A"/>
    <w:rsid w:val="006E54A6"/>
    <w:rsid w:val="006E55E7"/>
    <w:rsid w:val="006E56E1"/>
    <w:rsid w:val="006E5CFD"/>
    <w:rsid w:val="006E5FD9"/>
    <w:rsid w:val="006E6300"/>
    <w:rsid w:val="006E65C6"/>
    <w:rsid w:val="006E6651"/>
    <w:rsid w:val="006E66F1"/>
    <w:rsid w:val="006E6A98"/>
    <w:rsid w:val="006E6AF5"/>
    <w:rsid w:val="006E6F60"/>
    <w:rsid w:val="006E785C"/>
    <w:rsid w:val="006F01FB"/>
    <w:rsid w:val="006F025C"/>
    <w:rsid w:val="006F0524"/>
    <w:rsid w:val="006F11AA"/>
    <w:rsid w:val="006F1C24"/>
    <w:rsid w:val="006F2084"/>
    <w:rsid w:val="006F21F0"/>
    <w:rsid w:val="006F250E"/>
    <w:rsid w:val="006F2702"/>
    <w:rsid w:val="006F2951"/>
    <w:rsid w:val="006F2D7A"/>
    <w:rsid w:val="006F3AA1"/>
    <w:rsid w:val="006F3DC6"/>
    <w:rsid w:val="006F3F7F"/>
    <w:rsid w:val="006F3FFB"/>
    <w:rsid w:val="006F4185"/>
    <w:rsid w:val="006F45D5"/>
    <w:rsid w:val="006F49FD"/>
    <w:rsid w:val="006F4E2B"/>
    <w:rsid w:val="006F5364"/>
    <w:rsid w:val="006F53CE"/>
    <w:rsid w:val="006F53E8"/>
    <w:rsid w:val="006F5C47"/>
    <w:rsid w:val="006F5C8C"/>
    <w:rsid w:val="006F6226"/>
    <w:rsid w:val="006F62DC"/>
    <w:rsid w:val="006F6A04"/>
    <w:rsid w:val="006F6B49"/>
    <w:rsid w:val="006F7250"/>
    <w:rsid w:val="006F744F"/>
    <w:rsid w:val="007009D6"/>
    <w:rsid w:val="00700F4C"/>
    <w:rsid w:val="00700FC6"/>
    <w:rsid w:val="00701127"/>
    <w:rsid w:val="0070137A"/>
    <w:rsid w:val="0070175C"/>
    <w:rsid w:val="0070177E"/>
    <w:rsid w:val="0070204F"/>
    <w:rsid w:val="007023F5"/>
    <w:rsid w:val="00702CC5"/>
    <w:rsid w:val="00702EA4"/>
    <w:rsid w:val="00702FCA"/>
    <w:rsid w:val="00703376"/>
    <w:rsid w:val="0070376B"/>
    <w:rsid w:val="00703A00"/>
    <w:rsid w:val="00703F6E"/>
    <w:rsid w:val="00704103"/>
    <w:rsid w:val="007041BA"/>
    <w:rsid w:val="0070450A"/>
    <w:rsid w:val="00704F45"/>
    <w:rsid w:val="007051A2"/>
    <w:rsid w:val="00705A8E"/>
    <w:rsid w:val="00705AA6"/>
    <w:rsid w:val="00705BA0"/>
    <w:rsid w:val="00706072"/>
    <w:rsid w:val="007065CB"/>
    <w:rsid w:val="00706AB2"/>
    <w:rsid w:val="00707074"/>
    <w:rsid w:val="007076DA"/>
    <w:rsid w:val="00707C4A"/>
    <w:rsid w:val="00707CD5"/>
    <w:rsid w:val="007101F0"/>
    <w:rsid w:val="007106C0"/>
    <w:rsid w:val="00710E18"/>
    <w:rsid w:val="007118DF"/>
    <w:rsid w:val="00711E12"/>
    <w:rsid w:val="00712300"/>
    <w:rsid w:val="00713061"/>
    <w:rsid w:val="00713399"/>
    <w:rsid w:val="00713FB1"/>
    <w:rsid w:val="007140FD"/>
    <w:rsid w:val="007147A4"/>
    <w:rsid w:val="007151BF"/>
    <w:rsid w:val="00715FE1"/>
    <w:rsid w:val="007161B4"/>
    <w:rsid w:val="00716342"/>
    <w:rsid w:val="007164BF"/>
    <w:rsid w:val="007165A5"/>
    <w:rsid w:val="00716759"/>
    <w:rsid w:val="007167DE"/>
    <w:rsid w:val="00717B52"/>
    <w:rsid w:val="007203BF"/>
    <w:rsid w:val="0072056B"/>
    <w:rsid w:val="007205F7"/>
    <w:rsid w:val="00720850"/>
    <w:rsid w:val="00720A99"/>
    <w:rsid w:val="00720E44"/>
    <w:rsid w:val="00721031"/>
    <w:rsid w:val="00721178"/>
    <w:rsid w:val="00721767"/>
    <w:rsid w:val="00721CB3"/>
    <w:rsid w:val="007223F7"/>
    <w:rsid w:val="00722F17"/>
    <w:rsid w:val="007237AA"/>
    <w:rsid w:val="007238FB"/>
    <w:rsid w:val="00723A91"/>
    <w:rsid w:val="00723F73"/>
    <w:rsid w:val="00723FEC"/>
    <w:rsid w:val="00724A15"/>
    <w:rsid w:val="00724A82"/>
    <w:rsid w:val="00724BD9"/>
    <w:rsid w:val="0072592B"/>
    <w:rsid w:val="00725C1A"/>
    <w:rsid w:val="00725D74"/>
    <w:rsid w:val="00725D86"/>
    <w:rsid w:val="00725F59"/>
    <w:rsid w:val="007262D3"/>
    <w:rsid w:val="007266C8"/>
    <w:rsid w:val="00726919"/>
    <w:rsid w:val="00726CAE"/>
    <w:rsid w:val="00727212"/>
    <w:rsid w:val="007273D0"/>
    <w:rsid w:val="00727D5F"/>
    <w:rsid w:val="00730173"/>
    <w:rsid w:val="0073024F"/>
    <w:rsid w:val="00730E4F"/>
    <w:rsid w:val="0073163D"/>
    <w:rsid w:val="00731684"/>
    <w:rsid w:val="007318E3"/>
    <w:rsid w:val="00731D04"/>
    <w:rsid w:val="00732295"/>
    <w:rsid w:val="00732E6A"/>
    <w:rsid w:val="0073302D"/>
    <w:rsid w:val="007330FF"/>
    <w:rsid w:val="007333C0"/>
    <w:rsid w:val="007333E9"/>
    <w:rsid w:val="0073380E"/>
    <w:rsid w:val="00733A79"/>
    <w:rsid w:val="00733D35"/>
    <w:rsid w:val="00733F83"/>
    <w:rsid w:val="00734107"/>
    <w:rsid w:val="007341E4"/>
    <w:rsid w:val="00734573"/>
    <w:rsid w:val="00734F2C"/>
    <w:rsid w:val="00734F43"/>
    <w:rsid w:val="00735382"/>
    <w:rsid w:val="00735451"/>
    <w:rsid w:val="007354B6"/>
    <w:rsid w:val="00735657"/>
    <w:rsid w:val="00735C87"/>
    <w:rsid w:val="00740229"/>
    <w:rsid w:val="00740996"/>
    <w:rsid w:val="00740CE4"/>
    <w:rsid w:val="00740FDB"/>
    <w:rsid w:val="00741324"/>
    <w:rsid w:val="00741677"/>
    <w:rsid w:val="0074205D"/>
    <w:rsid w:val="00742608"/>
    <w:rsid w:val="00742962"/>
    <w:rsid w:val="00742C0F"/>
    <w:rsid w:val="00743006"/>
    <w:rsid w:val="00743477"/>
    <w:rsid w:val="0074379E"/>
    <w:rsid w:val="00743D74"/>
    <w:rsid w:val="007442A4"/>
    <w:rsid w:val="00744335"/>
    <w:rsid w:val="0074564F"/>
    <w:rsid w:val="007456A1"/>
    <w:rsid w:val="00745EA7"/>
    <w:rsid w:val="00746111"/>
    <w:rsid w:val="007463A8"/>
    <w:rsid w:val="007465BC"/>
    <w:rsid w:val="007467D7"/>
    <w:rsid w:val="00746A56"/>
    <w:rsid w:val="00747168"/>
    <w:rsid w:val="00747785"/>
    <w:rsid w:val="0075066B"/>
    <w:rsid w:val="00750BE1"/>
    <w:rsid w:val="0075129A"/>
    <w:rsid w:val="007520A8"/>
    <w:rsid w:val="00752244"/>
    <w:rsid w:val="007529E5"/>
    <w:rsid w:val="00752DE9"/>
    <w:rsid w:val="007531C1"/>
    <w:rsid w:val="00753542"/>
    <w:rsid w:val="00753870"/>
    <w:rsid w:val="007549AC"/>
    <w:rsid w:val="00754C78"/>
    <w:rsid w:val="00755C9A"/>
    <w:rsid w:val="00756B73"/>
    <w:rsid w:val="00756E8A"/>
    <w:rsid w:val="00757140"/>
    <w:rsid w:val="00757219"/>
    <w:rsid w:val="0075725E"/>
    <w:rsid w:val="0075730C"/>
    <w:rsid w:val="007574CF"/>
    <w:rsid w:val="0075786E"/>
    <w:rsid w:val="0076041E"/>
    <w:rsid w:val="00760C2F"/>
    <w:rsid w:val="0076123B"/>
    <w:rsid w:val="007613B2"/>
    <w:rsid w:val="00761A0F"/>
    <w:rsid w:val="00762863"/>
    <w:rsid w:val="0076289E"/>
    <w:rsid w:val="00762945"/>
    <w:rsid w:val="007632DC"/>
    <w:rsid w:val="00763983"/>
    <w:rsid w:val="007642D0"/>
    <w:rsid w:val="00764B06"/>
    <w:rsid w:val="00764B1E"/>
    <w:rsid w:val="00764CF3"/>
    <w:rsid w:val="00765302"/>
    <w:rsid w:val="0076571A"/>
    <w:rsid w:val="0076578A"/>
    <w:rsid w:val="00765AE2"/>
    <w:rsid w:val="00765B95"/>
    <w:rsid w:val="00766174"/>
    <w:rsid w:val="00766648"/>
    <w:rsid w:val="0076688F"/>
    <w:rsid w:val="00766BA8"/>
    <w:rsid w:val="00766D94"/>
    <w:rsid w:val="00766F29"/>
    <w:rsid w:val="00766F30"/>
    <w:rsid w:val="007670E1"/>
    <w:rsid w:val="00767323"/>
    <w:rsid w:val="007675BB"/>
    <w:rsid w:val="007700CE"/>
    <w:rsid w:val="00770750"/>
    <w:rsid w:val="00770CF0"/>
    <w:rsid w:val="00770EE1"/>
    <w:rsid w:val="007712EA"/>
    <w:rsid w:val="00771909"/>
    <w:rsid w:val="00771B32"/>
    <w:rsid w:val="00772158"/>
    <w:rsid w:val="0077218E"/>
    <w:rsid w:val="00772ACD"/>
    <w:rsid w:val="00772BA7"/>
    <w:rsid w:val="00772EDB"/>
    <w:rsid w:val="00773003"/>
    <w:rsid w:val="00773718"/>
    <w:rsid w:val="007739B5"/>
    <w:rsid w:val="00773B45"/>
    <w:rsid w:val="00773BAA"/>
    <w:rsid w:val="00773D9D"/>
    <w:rsid w:val="0077428B"/>
    <w:rsid w:val="007746D7"/>
    <w:rsid w:val="0077506E"/>
    <w:rsid w:val="007750F2"/>
    <w:rsid w:val="00775136"/>
    <w:rsid w:val="00775C32"/>
    <w:rsid w:val="0077682F"/>
    <w:rsid w:val="007768B8"/>
    <w:rsid w:val="00776DD7"/>
    <w:rsid w:val="007770FE"/>
    <w:rsid w:val="007771EE"/>
    <w:rsid w:val="00777300"/>
    <w:rsid w:val="00777399"/>
    <w:rsid w:val="007777CB"/>
    <w:rsid w:val="00777811"/>
    <w:rsid w:val="00777954"/>
    <w:rsid w:val="00777C9A"/>
    <w:rsid w:val="00777E56"/>
    <w:rsid w:val="00780887"/>
    <w:rsid w:val="00780B82"/>
    <w:rsid w:val="00780FEC"/>
    <w:rsid w:val="007812A6"/>
    <w:rsid w:val="007813F9"/>
    <w:rsid w:val="007815FA"/>
    <w:rsid w:val="007823A2"/>
    <w:rsid w:val="00782809"/>
    <w:rsid w:val="00782C97"/>
    <w:rsid w:val="00783055"/>
    <w:rsid w:val="00783135"/>
    <w:rsid w:val="00783154"/>
    <w:rsid w:val="00783C45"/>
    <w:rsid w:val="0078400A"/>
    <w:rsid w:val="00784292"/>
    <w:rsid w:val="00784297"/>
    <w:rsid w:val="00784313"/>
    <w:rsid w:val="00784511"/>
    <w:rsid w:val="007846D1"/>
    <w:rsid w:val="0078476B"/>
    <w:rsid w:val="00784821"/>
    <w:rsid w:val="00784AF9"/>
    <w:rsid w:val="00784C2F"/>
    <w:rsid w:val="00784C4A"/>
    <w:rsid w:val="00784FE3"/>
    <w:rsid w:val="007853F6"/>
    <w:rsid w:val="00786756"/>
    <w:rsid w:val="00786FDF"/>
    <w:rsid w:val="00787413"/>
    <w:rsid w:val="0078765D"/>
    <w:rsid w:val="00787867"/>
    <w:rsid w:val="00787BE1"/>
    <w:rsid w:val="00787ED3"/>
    <w:rsid w:val="007904FF"/>
    <w:rsid w:val="00790B45"/>
    <w:rsid w:val="00790C10"/>
    <w:rsid w:val="00790C97"/>
    <w:rsid w:val="00792544"/>
    <w:rsid w:val="00792792"/>
    <w:rsid w:val="007928DA"/>
    <w:rsid w:val="007928E7"/>
    <w:rsid w:val="00792E0A"/>
    <w:rsid w:val="00793167"/>
    <w:rsid w:val="007932E1"/>
    <w:rsid w:val="00794039"/>
    <w:rsid w:val="00794595"/>
    <w:rsid w:val="007945A4"/>
    <w:rsid w:val="00794C71"/>
    <w:rsid w:val="007950D2"/>
    <w:rsid w:val="007953EE"/>
    <w:rsid w:val="00795A9E"/>
    <w:rsid w:val="007960DB"/>
    <w:rsid w:val="007960DE"/>
    <w:rsid w:val="007971C4"/>
    <w:rsid w:val="007979BE"/>
    <w:rsid w:val="00797E0C"/>
    <w:rsid w:val="007A02AF"/>
    <w:rsid w:val="007A0924"/>
    <w:rsid w:val="007A0A42"/>
    <w:rsid w:val="007A0B00"/>
    <w:rsid w:val="007A0C47"/>
    <w:rsid w:val="007A10B8"/>
    <w:rsid w:val="007A1110"/>
    <w:rsid w:val="007A1337"/>
    <w:rsid w:val="007A15D3"/>
    <w:rsid w:val="007A1712"/>
    <w:rsid w:val="007A1A9D"/>
    <w:rsid w:val="007A1E30"/>
    <w:rsid w:val="007A28AF"/>
    <w:rsid w:val="007A37AE"/>
    <w:rsid w:val="007A3A27"/>
    <w:rsid w:val="007A3E0A"/>
    <w:rsid w:val="007A415F"/>
    <w:rsid w:val="007A4668"/>
    <w:rsid w:val="007A4EF9"/>
    <w:rsid w:val="007A51AC"/>
    <w:rsid w:val="007A51C5"/>
    <w:rsid w:val="007A5AB6"/>
    <w:rsid w:val="007A5D93"/>
    <w:rsid w:val="007A6114"/>
    <w:rsid w:val="007A6940"/>
    <w:rsid w:val="007A6EEF"/>
    <w:rsid w:val="007A7881"/>
    <w:rsid w:val="007B0A46"/>
    <w:rsid w:val="007B1037"/>
    <w:rsid w:val="007B1175"/>
    <w:rsid w:val="007B1975"/>
    <w:rsid w:val="007B28C4"/>
    <w:rsid w:val="007B2E4F"/>
    <w:rsid w:val="007B2EFF"/>
    <w:rsid w:val="007B2F1D"/>
    <w:rsid w:val="007B2F22"/>
    <w:rsid w:val="007B30F5"/>
    <w:rsid w:val="007B338B"/>
    <w:rsid w:val="007B36C1"/>
    <w:rsid w:val="007B398A"/>
    <w:rsid w:val="007B42C3"/>
    <w:rsid w:val="007B4656"/>
    <w:rsid w:val="007B4676"/>
    <w:rsid w:val="007B4E95"/>
    <w:rsid w:val="007B56BB"/>
    <w:rsid w:val="007B59C8"/>
    <w:rsid w:val="007B5C15"/>
    <w:rsid w:val="007B5DFE"/>
    <w:rsid w:val="007B6711"/>
    <w:rsid w:val="007B6BFC"/>
    <w:rsid w:val="007B744D"/>
    <w:rsid w:val="007B7537"/>
    <w:rsid w:val="007B7AA0"/>
    <w:rsid w:val="007B7D6C"/>
    <w:rsid w:val="007B7F68"/>
    <w:rsid w:val="007C03E4"/>
    <w:rsid w:val="007C04B0"/>
    <w:rsid w:val="007C1513"/>
    <w:rsid w:val="007C1767"/>
    <w:rsid w:val="007C27E1"/>
    <w:rsid w:val="007C291A"/>
    <w:rsid w:val="007C2F82"/>
    <w:rsid w:val="007C3237"/>
    <w:rsid w:val="007C3239"/>
    <w:rsid w:val="007C364A"/>
    <w:rsid w:val="007C3D45"/>
    <w:rsid w:val="007C406B"/>
    <w:rsid w:val="007C407F"/>
    <w:rsid w:val="007C40A9"/>
    <w:rsid w:val="007C412A"/>
    <w:rsid w:val="007C46FC"/>
    <w:rsid w:val="007C4804"/>
    <w:rsid w:val="007C511F"/>
    <w:rsid w:val="007C53B9"/>
    <w:rsid w:val="007C57C2"/>
    <w:rsid w:val="007C5F63"/>
    <w:rsid w:val="007C6471"/>
    <w:rsid w:val="007C6578"/>
    <w:rsid w:val="007C74B1"/>
    <w:rsid w:val="007C75BF"/>
    <w:rsid w:val="007C778D"/>
    <w:rsid w:val="007C7E56"/>
    <w:rsid w:val="007D07E4"/>
    <w:rsid w:val="007D0991"/>
    <w:rsid w:val="007D0BC2"/>
    <w:rsid w:val="007D0DC1"/>
    <w:rsid w:val="007D17C8"/>
    <w:rsid w:val="007D17E5"/>
    <w:rsid w:val="007D1821"/>
    <w:rsid w:val="007D19CE"/>
    <w:rsid w:val="007D1F12"/>
    <w:rsid w:val="007D1F7F"/>
    <w:rsid w:val="007D218E"/>
    <w:rsid w:val="007D2222"/>
    <w:rsid w:val="007D2544"/>
    <w:rsid w:val="007D26EB"/>
    <w:rsid w:val="007D29AE"/>
    <w:rsid w:val="007D3308"/>
    <w:rsid w:val="007D37AB"/>
    <w:rsid w:val="007D3E36"/>
    <w:rsid w:val="007D3F5B"/>
    <w:rsid w:val="007D4555"/>
    <w:rsid w:val="007D4A09"/>
    <w:rsid w:val="007D4D89"/>
    <w:rsid w:val="007D4E4B"/>
    <w:rsid w:val="007D530E"/>
    <w:rsid w:val="007D5621"/>
    <w:rsid w:val="007D58B9"/>
    <w:rsid w:val="007D5ADA"/>
    <w:rsid w:val="007D5C4D"/>
    <w:rsid w:val="007D5E64"/>
    <w:rsid w:val="007D6233"/>
    <w:rsid w:val="007D7192"/>
    <w:rsid w:val="007D7226"/>
    <w:rsid w:val="007D7412"/>
    <w:rsid w:val="007D7509"/>
    <w:rsid w:val="007D7C86"/>
    <w:rsid w:val="007E0660"/>
    <w:rsid w:val="007E0B7A"/>
    <w:rsid w:val="007E109B"/>
    <w:rsid w:val="007E1117"/>
    <w:rsid w:val="007E11BB"/>
    <w:rsid w:val="007E13CE"/>
    <w:rsid w:val="007E1526"/>
    <w:rsid w:val="007E1AB5"/>
    <w:rsid w:val="007E1BD8"/>
    <w:rsid w:val="007E1D2B"/>
    <w:rsid w:val="007E2074"/>
    <w:rsid w:val="007E24B5"/>
    <w:rsid w:val="007E2611"/>
    <w:rsid w:val="007E2612"/>
    <w:rsid w:val="007E26A4"/>
    <w:rsid w:val="007E27B6"/>
    <w:rsid w:val="007E2DA1"/>
    <w:rsid w:val="007E2FC9"/>
    <w:rsid w:val="007E3219"/>
    <w:rsid w:val="007E34E2"/>
    <w:rsid w:val="007E4E5E"/>
    <w:rsid w:val="007E4EBC"/>
    <w:rsid w:val="007E56C7"/>
    <w:rsid w:val="007E57C1"/>
    <w:rsid w:val="007E61F1"/>
    <w:rsid w:val="007E6346"/>
    <w:rsid w:val="007E6672"/>
    <w:rsid w:val="007E66F8"/>
    <w:rsid w:val="007E6B8B"/>
    <w:rsid w:val="007E70E1"/>
    <w:rsid w:val="007E72EC"/>
    <w:rsid w:val="007E75F3"/>
    <w:rsid w:val="007E76BC"/>
    <w:rsid w:val="007E7997"/>
    <w:rsid w:val="007F0029"/>
    <w:rsid w:val="007F0700"/>
    <w:rsid w:val="007F0AB4"/>
    <w:rsid w:val="007F0DF1"/>
    <w:rsid w:val="007F12CE"/>
    <w:rsid w:val="007F14DF"/>
    <w:rsid w:val="007F156C"/>
    <w:rsid w:val="007F1A39"/>
    <w:rsid w:val="007F1C71"/>
    <w:rsid w:val="007F1CD3"/>
    <w:rsid w:val="007F1CDD"/>
    <w:rsid w:val="007F221A"/>
    <w:rsid w:val="007F2291"/>
    <w:rsid w:val="007F2AE6"/>
    <w:rsid w:val="007F2EDD"/>
    <w:rsid w:val="007F2FB8"/>
    <w:rsid w:val="007F314D"/>
    <w:rsid w:val="007F34D9"/>
    <w:rsid w:val="007F38B7"/>
    <w:rsid w:val="007F38FC"/>
    <w:rsid w:val="007F3966"/>
    <w:rsid w:val="007F3EDD"/>
    <w:rsid w:val="007F4A18"/>
    <w:rsid w:val="007F4E2A"/>
    <w:rsid w:val="007F4E73"/>
    <w:rsid w:val="007F5667"/>
    <w:rsid w:val="007F641F"/>
    <w:rsid w:val="007F67F4"/>
    <w:rsid w:val="007F7128"/>
    <w:rsid w:val="007F7316"/>
    <w:rsid w:val="007F752E"/>
    <w:rsid w:val="007F799D"/>
    <w:rsid w:val="007F7D36"/>
    <w:rsid w:val="008001AE"/>
    <w:rsid w:val="00800327"/>
    <w:rsid w:val="008009A7"/>
    <w:rsid w:val="008009DB"/>
    <w:rsid w:val="00800FA8"/>
    <w:rsid w:val="0080131A"/>
    <w:rsid w:val="00801322"/>
    <w:rsid w:val="008015DA"/>
    <w:rsid w:val="0080283E"/>
    <w:rsid w:val="0080290E"/>
    <w:rsid w:val="00802977"/>
    <w:rsid w:val="00803117"/>
    <w:rsid w:val="00803188"/>
    <w:rsid w:val="008032D7"/>
    <w:rsid w:val="00803502"/>
    <w:rsid w:val="0080379B"/>
    <w:rsid w:val="00804763"/>
    <w:rsid w:val="00805030"/>
    <w:rsid w:val="008051D7"/>
    <w:rsid w:val="008053EC"/>
    <w:rsid w:val="008054C6"/>
    <w:rsid w:val="00806632"/>
    <w:rsid w:val="00806858"/>
    <w:rsid w:val="00806C5A"/>
    <w:rsid w:val="00806C73"/>
    <w:rsid w:val="0080734D"/>
    <w:rsid w:val="008073AD"/>
    <w:rsid w:val="00807BF0"/>
    <w:rsid w:val="00807FEF"/>
    <w:rsid w:val="0081000C"/>
    <w:rsid w:val="00810238"/>
    <w:rsid w:val="0081086E"/>
    <w:rsid w:val="00810891"/>
    <w:rsid w:val="00810BDF"/>
    <w:rsid w:val="00810C3D"/>
    <w:rsid w:val="00810EF9"/>
    <w:rsid w:val="00811295"/>
    <w:rsid w:val="00811BC6"/>
    <w:rsid w:val="00811C0A"/>
    <w:rsid w:val="00811C60"/>
    <w:rsid w:val="0081211E"/>
    <w:rsid w:val="0081225F"/>
    <w:rsid w:val="00812BDB"/>
    <w:rsid w:val="0081382C"/>
    <w:rsid w:val="00813A7F"/>
    <w:rsid w:val="0081423D"/>
    <w:rsid w:val="00814D97"/>
    <w:rsid w:val="008150BD"/>
    <w:rsid w:val="008156D0"/>
    <w:rsid w:val="008158E9"/>
    <w:rsid w:val="00815910"/>
    <w:rsid w:val="00815C61"/>
    <w:rsid w:val="00816183"/>
    <w:rsid w:val="008163AA"/>
    <w:rsid w:val="00816921"/>
    <w:rsid w:val="0081699B"/>
    <w:rsid w:val="00816FAA"/>
    <w:rsid w:val="0081740D"/>
    <w:rsid w:val="00817516"/>
    <w:rsid w:val="0081768B"/>
    <w:rsid w:val="008208ED"/>
    <w:rsid w:val="00820BEC"/>
    <w:rsid w:val="00820E0A"/>
    <w:rsid w:val="00820EA0"/>
    <w:rsid w:val="008215BF"/>
    <w:rsid w:val="008217AC"/>
    <w:rsid w:val="008219A9"/>
    <w:rsid w:val="00821B55"/>
    <w:rsid w:val="00821D7C"/>
    <w:rsid w:val="00822BBD"/>
    <w:rsid w:val="00822F15"/>
    <w:rsid w:val="00824960"/>
    <w:rsid w:val="00824B97"/>
    <w:rsid w:val="00825162"/>
    <w:rsid w:val="008251B8"/>
    <w:rsid w:val="008256BC"/>
    <w:rsid w:val="00825C52"/>
    <w:rsid w:val="00825FC5"/>
    <w:rsid w:val="008263C0"/>
    <w:rsid w:val="00826C2E"/>
    <w:rsid w:val="0082744A"/>
    <w:rsid w:val="0082792D"/>
    <w:rsid w:val="008279C0"/>
    <w:rsid w:val="00827B60"/>
    <w:rsid w:val="00827E04"/>
    <w:rsid w:val="00830842"/>
    <w:rsid w:val="0083092F"/>
    <w:rsid w:val="00830FB8"/>
    <w:rsid w:val="00831719"/>
    <w:rsid w:val="00831FC0"/>
    <w:rsid w:val="00832DD0"/>
    <w:rsid w:val="00833405"/>
    <w:rsid w:val="0083411D"/>
    <w:rsid w:val="00834649"/>
    <w:rsid w:val="0083488C"/>
    <w:rsid w:val="0083548F"/>
    <w:rsid w:val="00835949"/>
    <w:rsid w:val="00835A34"/>
    <w:rsid w:val="00836218"/>
    <w:rsid w:val="008362DC"/>
    <w:rsid w:val="00836A88"/>
    <w:rsid w:val="00836F20"/>
    <w:rsid w:val="00840278"/>
    <w:rsid w:val="0084040C"/>
    <w:rsid w:val="008405FB"/>
    <w:rsid w:val="00840658"/>
    <w:rsid w:val="00840EC8"/>
    <w:rsid w:val="00840ED9"/>
    <w:rsid w:val="00840F06"/>
    <w:rsid w:val="008416BF"/>
    <w:rsid w:val="008417A5"/>
    <w:rsid w:val="00841A54"/>
    <w:rsid w:val="00842AC5"/>
    <w:rsid w:val="00842D60"/>
    <w:rsid w:val="0084305D"/>
    <w:rsid w:val="00843982"/>
    <w:rsid w:val="008439AB"/>
    <w:rsid w:val="00843BB9"/>
    <w:rsid w:val="00843C16"/>
    <w:rsid w:val="008445CC"/>
    <w:rsid w:val="008446F9"/>
    <w:rsid w:val="00845348"/>
    <w:rsid w:val="0084562E"/>
    <w:rsid w:val="008459CC"/>
    <w:rsid w:val="00845B20"/>
    <w:rsid w:val="0084603F"/>
    <w:rsid w:val="008464A6"/>
    <w:rsid w:val="00846D0B"/>
    <w:rsid w:val="00846E89"/>
    <w:rsid w:val="00847021"/>
    <w:rsid w:val="00847D32"/>
    <w:rsid w:val="00847DB8"/>
    <w:rsid w:val="00847E67"/>
    <w:rsid w:val="00850546"/>
    <w:rsid w:val="00850F49"/>
    <w:rsid w:val="00851620"/>
    <w:rsid w:val="00851A97"/>
    <w:rsid w:val="00851ABE"/>
    <w:rsid w:val="008524C4"/>
    <w:rsid w:val="00852CC8"/>
    <w:rsid w:val="00852E76"/>
    <w:rsid w:val="008530DC"/>
    <w:rsid w:val="008536EB"/>
    <w:rsid w:val="00853B1A"/>
    <w:rsid w:val="00853B56"/>
    <w:rsid w:val="00854AAE"/>
    <w:rsid w:val="00854CA0"/>
    <w:rsid w:val="00855717"/>
    <w:rsid w:val="00855C9B"/>
    <w:rsid w:val="00855E72"/>
    <w:rsid w:val="00856BF1"/>
    <w:rsid w:val="00856DE1"/>
    <w:rsid w:val="008570A8"/>
    <w:rsid w:val="008571DD"/>
    <w:rsid w:val="0085754A"/>
    <w:rsid w:val="008576BE"/>
    <w:rsid w:val="00857F7B"/>
    <w:rsid w:val="00860585"/>
    <w:rsid w:val="008605B6"/>
    <w:rsid w:val="008607A4"/>
    <w:rsid w:val="00860F58"/>
    <w:rsid w:val="00861825"/>
    <w:rsid w:val="00861F03"/>
    <w:rsid w:val="00862146"/>
    <w:rsid w:val="00862809"/>
    <w:rsid w:val="00862D13"/>
    <w:rsid w:val="00863012"/>
    <w:rsid w:val="0086317F"/>
    <w:rsid w:val="008634F3"/>
    <w:rsid w:val="00863708"/>
    <w:rsid w:val="00863879"/>
    <w:rsid w:val="008639EF"/>
    <w:rsid w:val="00863F1C"/>
    <w:rsid w:val="0086476C"/>
    <w:rsid w:val="00865852"/>
    <w:rsid w:val="0086587C"/>
    <w:rsid w:val="00865D34"/>
    <w:rsid w:val="00865DC6"/>
    <w:rsid w:val="0086668A"/>
    <w:rsid w:val="008673FA"/>
    <w:rsid w:val="00867707"/>
    <w:rsid w:val="00867794"/>
    <w:rsid w:val="00867919"/>
    <w:rsid w:val="00871562"/>
    <w:rsid w:val="00871720"/>
    <w:rsid w:val="0087190B"/>
    <w:rsid w:val="0087211B"/>
    <w:rsid w:val="00872884"/>
    <w:rsid w:val="00872B56"/>
    <w:rsid w:val="00872C63"/>
    <w:rsid w:val="008730ED"/>
    <w:rsid w:val="0087344C"/>
    <w:rsid w:val="008738C8"/>
    <w:rsid w:val="00873A06"/>
    <w:rsid w:val="00873D69"/>
    <w:rsid w:val="0087415A"/>
    <w:rsid w:val="0087469A"/>
    <w:rsid w:val="00874864"/>
    <w:rsid w:val="00874F02"/>
    <w:rsid w:val="00874FF7"/>
    <w:rsid w:val="00875495"/>
    <w:rsid w:val="008755EE"/>
    <w:rsid w:val="00875795"/>
    <w:rsid w:val="008757F9"/>
    <w:rsid w:val="00877086"/>
    <w:rsid w:val="00877147"/>
    <w:rsid w:val="008776F1"/>
    <w:rsid w:val="0087782A"/>
    <w:rsid w:val="00877B8A"/>
    <w:rsid w:val="008803EB"/>
    <w:rsid w:val="008804FD"/>
    <w:rsid w:val="008808ED"/>
    <w:rsid w:val="0088120A"/>
    <w:rsid w:val="00881226"/>
    <w:rsid w:val="008812F6"/>
    <w:rsid w:val="008813CC"/>
    <w:rsid w:val="00881A7E"/>
    <w:rsid w:val="00881B5B"/>
    <w:rsid w:val="00881D7A"/>
    <w:rsid w:val="00882283"/>
    <w:rsid w:val="00882828"/>
    <w:rsid w:val="00882CAA"/>
    <w:rsid w:val="00882FF8"/>
    <w:rsid w:val="00883165"/>
    <w:rsid w:val="00883A29"/>
    <w:rsid w:val="00883CEC"/>
    <w:rsid w:val="00884291"/>
    <w:rsid w:val="00884667"/>
    <w:rsid w:val="008846D7"/>
    <w:rsid w:val="008849C6"/>
    <w:rsid w:val="00884A20"/>
    <w:rsid w:val="00885582"/>
    <w:rsid w:val="008858FE"/>
    <w:rsid w:val="00885E31"/>
    <w:rsid w:val="00886163"/>
    <w:rsid w:val="00886450"/>
    <w:rsid w:val="008867EC"/>
    <w:rsid w:val="008869C2"/>
    <w:rsid w:val="00886E55"/>
    <w:rsid w:val="00886F8F"/>
    <w:rsid w:val="0088749B"/>
    <w:rsid w:val="0088758F"/>
    <w:rsid w:val="00890389"/>
    <w:rsid w:val="0089075A"/>
    <w:rsid w:val="00890E73"/>
    <w:rsid w:val="00890FE2"/>
    <w:rsid w:val="008911C4"/>
    <w:rsid w:val="00891391"/>
    <w:rsid w:val="00891B8F"/>
    <w:rsid w:val="00891FE5"/>
    <w:rsid w:val="0089277A"/>
    <w:rsid w:val="00892A2C"/>
    <w:rsid w:val="008930C6"/>
    <w:rsid w:val="0089384F"/>
    <w:rsid w:val="00894515"/>
    <w:rsid w:val="008949C9"/>
    <w:rsid w:val="00894BC1"/>
    <w:rsid w:val="00895081"/>
    <w:rsid w:val="00895385"/>
    <w:rsid w:val="00895F4A"/>
    <w:rsid w:val="0089621C"/>
    <w:rsid w:val="0089636C"/>
    <w:rsid w:val="008964DA"/>
    <w:rsid w:val="00896B12"/>
    <w:rsid w:val="00897688"/>
    <w:rsid w:val="00897895"/>
    <w:rsid w:val="008979B0"/>
    <w:rsid w:val="00897EC7"/>
    <w:rsid w:val="00897F0F"/>
    <w:rsid w:val="008A0247"/>
    <w:rsid w:val="008A046F"/>
    <w:rsid w:val="008A09B1"/>
    <w:rsid w:val="008A0FB0"/>
    <w:rsid w:val="008A1115"/>
    <w:rsid w:val="008A17D8"/>
    <w:rsid w:val="008A1935"/>
    <w:rsid w:val="008A222A"/>
    <w:rsid w:val="008A28D0"/>
    <w:rsid w:val="008A29E6"/>
    <w:rsid w:val="008A2A45"/>
    <w:rsid w:val="008A391C"/>
    <w:rsid w:val="008A4053"/>
    <w:rsid w:val="008A4474"/>
    <w:rsid w:val="008A44F9"/>
    <w:rsid w:val="008A4D40"/>
    <w:rsid w:val="008A4F10"/>
    <w:rsid w:val="008A5324"/>
    <w:rsid w:val="008A623F"/>
    <w:rsid w:val="008A6DDE"/>
    <w:rsid w:val="008A6E9C"/>
    <w:rsid w:val="008A7EE3"/>
    <w:rsid w:val="008B0044"/>
    <w:rsid w:val="008B03F7"/>
    <w:rsid w:val="008B04E2"/>
    <w:rsid w:val="008B0AA5"/>
    <w:rsid w:val="008B0B02"/>
    <w:rsid w:val="008B0F46"/>
    <w:rsid w:val="008B0FBC"/>
    <w:rsid w:val="008B10FD"/>
    <w:rsid w:val="008B1EC4"/>
    <w:rsid w:val="008B202B"/>
    <w:rsid w:val="008B2871"/>
    <w:rsid w:val="008B2B5A"/>
    <w:rsid w:val="008B2F71"/>
    <w:rsid w:val="008B3F9D"/>
    <w:rsid w:val="008B4234"/>
    <w:rsid w:val="008B47D3"/>
    <w:rsid w:val="008B4D80"/>
    <w:rsid w:val="008B4F8C"/>
    <w:rsid w:val="008B5250"/>
    <w:rsid w:val="008B5599"/>
    <w:rsid w:val="008B58CB"/>
    <w:rsid w:val="008B5E1C"/>
    <w:rsid w:val="008B6140"/>
    <w:rsid w:val="008B6338"/>
    <w:rsid w:val="008B65E8"/>
    <w:rsid w:val="008B66F8"/>
    <w:rsid w:val="008B6FDE"/>
    <w:rsid w:val="008B7490"/>
    <w:rsid w:val="008B7D4C"/>
    <w:rsid w:val="008C0646"/>
    <w:rsid w:val="008C071F"/>
    <w:rsid w:val="008C0BF0"/>
    <w:rsid w:val="008C0CE8"/>
    <w:rsid w:val="008C0F5B"/>
    <w:rsid w:val="008C103B"/>
    <w:rsid w:val="008C141F"/>
    <w:rsid w:val="008C1856"/>
    <w:rsid w:val="008C197A"/>
    <w:rsid w:val="008C1C24"/>
    <w:rsid w:val="008C23B6"/>
    <w:rsid w:val="008C2785"/>
    <w:rsid w:val="008C3517"/>
    <w:rsid w:val="008C3A0B"/>
    <w:rsid w:val="008C3AE8"/>
    <w:rsid w:val="008C3B5F"/>
    <w:rsid w:val="008C3F10"/>
    <w:rsid w:val="008C4169"/>
    <w:rsid w:val="008C49EB"/>
    <w:rsid w:val="008C4C28"/>
    <w:rsid w:val="008C4D68"/>
    <w:rsid w:val="008C503A"/>
    <w:rsid w:val="008C5A41"/>
    <w:rsid w:val="008C6A59"/>
    <w:rsid w:val="008C6B22"/>
    <w:rsid w:val="008C767A"/>
    <w:rsid w:val="008C7BD3"/>
    <w:rsid w:val="008C7C6F"/>
    <w:rsid w:val="008D03BE"/>
    <w:rsid w:val="008D073F"/>
    <w:rsid w:val="008D0C5F"/>
    <w:rsid w:val="008D0E55"/>
    <w:rsid w:val="008D0E92"/>
    <w:rsid w:val="008D0EAE"/>
    <w:rsid w:val="008D127D"/>
    <w:rsid w:val="008D1A97"/>
    <w:rsid w:val="008D2642"/>
    <w:rsid w:val="008D3190"/>
    <w:rsid w:val="008D38E9"/>
    <w:rsid w:val="008D3FBB"/>
    <w:rsid w:val="008D402B"/>
    <w:rsid w:val="008D4264"/>
    <w:rsid w:val="008D4358"/>
    <w:rsid w:val="008D4CDF"/>
    <w:rsid w:val="008D5790"/>
    <w:rsid w:val="008D5C28"/>
    <w:rsid w:val="008D60F2"/>
    <w:rsid w:val="008D6386"/>
    <w:rsid w:val="008D6716"/>
    <w:rsid w:val="008D7023"/>
    <w:rsid w:val="008D7161"/>
    <w:rsid w:val="008D71B6"/>
    <w:rsid w:val="008D7909"/>
    <w:rsid w:val="008E018E"/>
    <w:rsid w:val="008E03EF"/>
    <w:rsid w:val="008E0644"/>
    <w:rsid w:val="008E1371"/>
    <w:rsid w:val="008E1DB0"/>
    <w:rsid w:val="008E1F2B"/>
    <w:rsid w:val="008E2159"/>
    <w:rsid w:val="008E240F"/>
    <w:rsid w:val="008E2597"/>
    <w:rsid w:val="008E2890"/>
    <w:rsid w:val="008E2B78"/>
    <w:rsid w:val="008E32E8"/>
    <w:rsid w:val="008E35F6"/>
    <w:rsid w:val="008E376F"/>
    <w:rsid w:val="008E3B82"/>
    <w:rsid w:val="008E3BF2"/>
    <w:rsid w:val="008E3EC0"/>
    <w:rsid w:val="008E3F55"/>
    <w:rsid w:val="008E4A94"/>
    <w:rsid w:val="008E4F52"/>
    <w:rsid w:val="008E52DF"/>
    <w:rsid w:val="008E585D"/>
    <w:rsid w:val="008E5FFC"/>
    <w:rsid w:val="008E687B"/>
    <w:rsid w:val="008E6A8C"/>
    <w:rsid w:val="008E6AC0"/>
    <w:rsid w:val="008E6B8F"/>
    <w:rsid w:val="008E76C0"/>
    <w:rsid w:val="008E7DF7"/>
    <w:rsid w:val="008F05CB"/>
    <w:rsid w:val="008F076D"/>
    <w:rsid w:val="008F0D64"/>
    <w:rsid w:val="008F121A"/>
    <w:rsid w:val="008F19D7"/>
    <w:rsid w:val="008F29DA"/>
    <w:rsid w:val="008F2D5D"/>
    <w:rsid w:val="008F3010"/>
    <w:rsid w:val="008F3070"/>
    <w:rsid w:val="008F35EC"/>
    <w:rsid w:val="008F39FB"/>
    <w:rsid w:val="008F3D0D"/>
    <w:rsid w:val="008F3D56"/>
    <w:rsid w:val="008F4C8C"/>
    <w:rsid w:val="008F54C4"/>
    <w:rsid w:val="008F591C"/>
    <w:rsid w:val="008F59AE"/>
    <w:rsid w:val="008F5C27"/>
    <w:rsid w:val="008F789B"/>
    <w:rsid w:val="00900377"/>
    <w:rsid w:val="009005DD"/>
    <w:rsid w:val="00900900"/>
    <w:rsid w:val="00900ABF"/>
    <w:rsid w:val="00901581"/>
    <w:rsid w:val="00901940"/>
    <w:rsid w:val="009020A8"/>
    <w:rsid w:val="00903D72"/>
    <w:rsid w:val="009040B1"/>
    <w:rsid w:val="00904F85"/>
    <w:rsid w:val="009058E0"/>
    <w:rsid w:val="00905D92"/>
    <w:rsid w:val="00906383"/>
    <w:rsid w:val="009063F1"/>
    <w:rsid w:val="00906775"/>
    <w:rsid w:val="00906D18"/>
    <w:rsid w:val="00906DB4"/>
    <w:rsid w:val="00906EB5"/>
    <w:rsid w:val="00907153"/>
    <w:rsid w:val="00907F26"/>
    <w:rsid w:val="009109D2"/>
    <w:rsid w:val="009112EF"/>
    <w:rsid w:val="00911732"/>
    <w:rsid w:val="00911828"/>
    <w:rsid w:val="00911AC6"/>
    <w:rsid w:val="00911F2E"/>
    <w:rsid w:val="0091204F"/>
    <w:rsid w:val="009121C2"/>
    <w:rsid w:val="00912A82"/>
    <w:rsid w:val="00913079"/>
    <w:rsid w:val="009134CE"/>
    <w:rsid w:val="009140E6"/>
    <w:rsid w:val="009141A8"/>
    <w:rsid w:val="009147E6"/>
    <w:rsid w:val="00914AD2"/>
    <w:rsid w:val="00914B40"/>
    <w:rsid w:val="00914BBA"/>
    <w:rsid w:val="00914E6C"/>
    <w:rsid w:val="009150C8"/>
    <w:rsid w:val="00915375"/>
    <w:rsid w:val="00916529"/>
    <w:rsid w:val="00916B98"/>
    <w:rsid w:val="00916E27"/>
    <w:rsid w:val="0091794C"/>
    <w:rsid w:val="00920086"/>
    <w:rsid w:val="00920B1C"/>
    <w:rsid w:val="009218FA"/>
    <w:rsid w:val="00921A82"/>
    <w:rsid w:val="00921AC7"/>
    <w:rsid w:val="00922423"/>
    <w:rsid w:val="00922C37"/>
    <w:rsid w:val="009231E2"/>
    <w:rsid w:val="0092328A"/>
    <w:rsid w:val="0092387A"/>
    <w:rsid w:val="009238CF"/>
    <w:rsid w:val="009246E2"/>
    <w:rsid w:val="00925034"/>
    <w:rsid w:val="009250BC"/>
    <w:rsid w:val="009259B1"/>
    <w:rsid w:val="00925E04"/>
    <w:rsid w:val="00925E8F"/>
    <w:rsid w:val="00927C2A"/>
    <w:rsid w:val="00927E87"/>
    <w:rsid w:val="009302F8"/>
    <w:rsid w:val="009306FE"/>
    <w:rsid w:val="00932787"/>
    <w:rsid w:val="00932A30"/>
    <w:rsid w:val="00932A63"/>
    <w:rsid w:val="0093345C"/>
    <w:rsid w:val="0093391C"/>
    <w:rsid w:val="00934587"/>
    <w:rsid w:val="00934C0B"/>
    <w:rsid w:val="00934DDB"/>
    <w:rsid w:val="00934E44"/>
    <w:rsid w:val="0093507B"/>
    <w:rsid w:val="0093555E"/>
    <w:rsid w:val="00936BBF"/>
    <w:rsid w:val="00937290"/>
    <w:rsid w:val="00937301"/>
    <w:rsid w:val="00937342"/>
    <w:rsid w:val="009373BE"/>
    <w:rsid w:val="00937519"/>
    <w:rsid w:val="00937CA9"/>
    <w:rsid w:val="00937EE2"/>
    <w:rsid w:val="00940055"/>
    <w:rsid w:val="009402EC"/>
    <w:rsid w:val="0094081B"/>
    <w:rsid w:val="00940A60"/>
    <w:rsid w:val="00940F8E"/>
    <w:rsid w:val="00941681"/>
    <w:rsid w:val="00941D25"/>
    <w:rsid w:val="00941E0F"/>
    <w:rsid w:val="009420C1"/>
    <w:rsid w:val="00942634"/>
    <w:rsid w:val="00942CDA"/>
    <w:rsid w:val="00942E03"/>
    <w:rsid w:val="00943312"/>
    <w:rsid w:val="00943704"/>
    <w:rsid w:val="00943CFC"/>
    <w:rsid w:val="009441D7"/>
    <w:rsid w:val="0094432B"/>
    <w:rsid w:val="00944516"/>
    <w:rsid w:val="00945AFC"/>
    <w:rsid w:val="0094601A"/>
    <w:rsid w:val="00946072"/>
    <w:rsid w:val="00946151"/>
    <w:rsid w:val="009463BB"/>
    <w:rsid w:val="00946489"/>
    <w:rsid w:val="00946559"/>
    <w:rsid w:val="009466F7"/>
    <w:rsid w:val="0094673B"/>
    <w:rsid w:val="00947A09"/>
    <w:rsid w:val="00950011"/>
    <w:rsid w:val="00950B2F"/>
    <w:rsid w:val="00950E68"/>
    <w:rsid w:val="00950F6E"/>
    <w:rsid w:val="009521F2"/>
    <w:rsid w:val="009523FC"/>
    <w:rsid w:val="00953951"/>
    <w:rsid w:val="00953FA6"/>
    <w:rsid w:val="009541EB"/>
    <w:rsid w:val="0095445E"/>
    <w:rsid w:val="00954598"/>
    <w:rsid w:val="009545F9"/>
    <w:rsid w:val="00954691"/>
    <w:rsid w:val="00954772"/>
    <w:rsid w:val="00954B8E"/>
    <w:rsid w:val="009550E0"/>
    <w:rsid w:val="0095511D"/>
    <w:rsid w:val="00955BEB"/>
    <w:rsid w:val="00955E3B"/>
    <w:rsid w:val="0095696D"/>
    <w:rsid w:val="00956A2D"/>
    <w:rsid w:val="00956AB7"/>
    <w:rsid w:val="00957D5F"/>
    <w:rsid w:val="009604E8"/>
    <w:rsid w:val="0096082D"/>
    <w:rsid w:val="00960F4A"/>
    <w:rsid w:val="00960F5C"/>
    <w:rsid w:val="0096153A"/>
    <w:rsid w:val="00961AB7"/>
    <w:rsid w:val="009621D9"/>
    <w:rsid w:val="00962649"/>
    <w:rsid w:val="00962C03"/>
    <w:rsid w:val="00962FF1"/>
    <w:rsid w:val="00963234"/>
    <w:rsid w:val="009633EF"/>
    <w:rsid w:val="00963428"/>
    <w:rsid w:val="00963456"/>
    <w:rsid w:val="009636B5"/>
    <w:rsid w:val="009637BC"/>
    <w:rsid w:val="00963BFD"/>
    <w:rsid w:val="00963D27"/>
    <w:rsid w:val="00963EE1"/>
    <w:rsid w:val="00964B7C"/>
    <w:rsid w:val="00965764"/>
    <w:rsid w:val="00966824"/>
    <w:rsid w:val="00967052"/>
    <w:rsid w:val="00970041"/>
    <w:rsid w:val="0097029F"/>
    <w:rsid w:val="009707D9"/>
    <w:rsid w:val="009708B5"/>
    <w:rsid w:val="009708CE"/>
    <w:rsid w:val="00971148"/>
    <w:rsid w:val="009712E5"/>
    <w:rsid w:val="00971581"/>
    <w:rsid w:val="00971815"/>
    <w:rsid w:val="0097183F"/>
    <w:rsid w:val="00972413"/>
    <w:rsid w:val="00972940"/>
    <w:rsid w:val="00972B99"/>
    <w:rsid w:val="00972D81"/>
    <w:rsid w:val="00972E4C"/>
    <w:rsid w:val="00973372"/>
    <w:rsid w:val="009739A1"/>
    <w:rsid w:val="00973CFF"/>
    <w:rsid w:val="00974B81"/>
    <w:rsid w:val="00974C56"/>
    <w:rsid w:val="00974C64"/>
    <w:rsid w:val="009757FB"/>
    <w:rsid w:val="00975981"/>
    <w:rsid w:val="00975AB2"/>
    <w:rsid w:val="00976526"/>
    <w:rsid w:val="009768B2"/>
    <w:rsid w:val="00976C8F"/>
    <w:rsid w:val="00976E83"/>
    <w:rsid w:val="00976F71"/>
    <w:rsid w:val="009770A3"/>
    <w:rsid w:val="00977A54"/>
    <w:rsid w:val="00980251"/>
    <w:rsid w:val="00980770"/>
    <w:rsid w:val="00980DB0"/>
    <w:rsid w:val="00980E3A"/>
    <w:rsid w:val="00980E8B"/>
    <w:rsid w:val="009814A9"/>
    <w:rsid w:val="009817EE"/>
    <w:rsid w:val="00981B56"/>
    <w:rsid w:val="00981F6A"/>
    <w:rsid w:val="00982D0F"/>
    <w:rsid w:val="00983472"/>
    <w:rsid w:val="00983BDD"/>
    <w:rsid w:val="00983CF7"/>
    <w:rsid w:val="0098474A"/>
    <w:rsid w:val="00984EF2"/>
    <w:rsid w:val="00984FBB"/>
    <w:rsid w:val="0098532F"/>
    <w:rsid w:val="009854B5"/>
    <w:rsid w:val="009856CE"/>
    <w:rsid w:val="009856CF"/>
    <w:rsid w:val="00985A5C"/>
    <w:rsid w:val="00985CE7"/>
    <w:rsid w:val="00985F7A"/>
    <w:rsid w:val="00986044"/>
    <w:rsid w:val="00986612"/>
    <w:rsid w:val="00986F0D"/>
    <w:rsid w:val="00987657"/>
    <w:rsid w:val="00987B67"/>
    <w:rsid w:val="00987DD3"/>
    <w:rsid w:val="009909BB"/>
    <w:rsid w:val="00990CEB"/>
    <w:rsid w:val="00990E69"/>
    <w:rsid w:val="00991361"/>
    <w:rsid w:val="009913FC"/>
    <w:rsid w:val="009916E9"/>
    <w:rsid w:val="00991B6F"/>
    <w:rsid w:val="00992012"/>
    <w:rsid w:val="00992809"/>
    <w:rsid w:val="00992AA3"/>
    <w:rsid w:val="00992C75"/>
    <w:rsid w:val="009931CC"/>
    <w:rsid w:val="009936CD"/>
    <w:rsid w:val="00993732"/>
    <w:rsid w:val="00993754"/>
    <w:rsid w:val="0099398E"/>
    <w:rsid w:val="00993C5A"/>
    <w:rsid w:val="00993D7A"/>
    <w:rsid w:val="00994467"/>
    <w:rsid w:val="0099526D"/>
    <w:rsid w:val="00995354"/>
    <w:rsid w:val="009954AA"/>
    <w:rsid w:val="009959E3"/>
    <w:rsid w:val="00995D7F"/>
    <w:rsid w:val="00995DC1"/>
    <w:rsid w:val="0099632D"/>
    <w:rsid w:val="0099699E"/>
    <w:rsid w:val="0099702F"/>
    <w:rsid w:val="00997CAB"/>
    <w:rsid w:val="009A0166"/>
    <w:rsid w:val="009A082B"/>
    <w:rsid w:val="009A0F6E"/>
    <w:rsid w:val="009A1550"/>
    <w:rsid w:val="009A16E5"/>
    <w:rsid w:val="009A1FD2"/>
    <w:rsid w:val="009A24D8"/>
    <w:rsid w:val="009A274A"/>
    <w:rsid w:val="009A27A3"/>
    <w:rsid w:val="009A27DB"/>
    <w:rsid w:val="009A27DE"/>
    <w:rsid w:val="009A2D10"/>
    <w:rsid w:val="009A30FC"/>
    <w:rsid w:val="009A3551"/>
    <w:rsid w:val="009A376C"/>
    <w:rsid w:val="009A3B8D"/>
    <w:rsid w:val="009A3DA7"/>
    <w:rsid w:val="009A4022"/>
    <w:rsid w:val="009A4225"/>
    <w:rsid w:val="009A43F2"/>
    <w:rsid w:val="009A4591"/>
    <w:rsid w:val="009A45AB"/>
    <w:rsid w:val="009A49C3"/>
    <w:rsid w:val="009A4A04"/>
    <w:rsid w:val="009A5134"/>
    <w:rsid w:val="009A5347"/>
    <w:rsid w:val="009A5671"/>
    <w:rsid w:val="009A64E8"/>
    <w:rsid w:val="009A6889"/>
    <w:rsid w:val="009A69DB"/>
    <w:rsid w:val="009A718C"/>
    <w:rsid w:val="009A7309"/>
    <w:rsid w:val="009A7807"/>
    <w:rsid w:val="009A79FD"/>
    <w:rsid w:val="009A7EE4"/>
    <w:rsid w:val="009A7F6B"/>
    <w:rsid w:val="009A7FFD"/>
    <w:rsid w:val="009B0333"/>
    <w:rsid w:val="009B0906"/>
    <w:rsid w:val="009B0B0F"/>
    <w:rsid w:val="009B0D53"/>
    <w:rsid w:val="009B1082"/>
    <w:rsid w:val="009B1617"/>
    <w:rsid w:val="009B1705"/>
    <w:rsid w:val="009B19E3"/>
    <w:rsid w:val="009B1BFE"/>
    <w:rsid w:val="009B23F5"/>
    <w:rsid w:val="009B240B"/>
    <w:rsid w:val="009B2BFF"/>
    <w:rsid w:val="009B2FD0"/>
    <w:rsid w:val="009B352E"/>
    <w:rsid w:val="009B353E"/>
    <w:rsid w:val="009B35F6"/>
    <w:rsid w:val="009B3F90"/>
    <w:rsid w:val="009B3FE6"/>
    <w:rsid w:val="009B4014"/>
    <w:rsid w:val="009B4398"/>
    <w:rsid w:val="009B47E3"/>
    <w:rsid w:val="009B4B7C"/>
    <w:rsid w:val="009B4CF5"/>
    <w:rsid w:val="009B549E"/>
    <w:rsid w:val="009B5553"/>
    <w:rsid w:val="009B5AB2"/>
    <w:rsid w:val="009B60DC"/>
    <w:rsid w:val="009B6352"/>
    <w:rsid w:val="009B67A6"/>
    <w:rsid w:val="009B69DE"/>
    <w:rsid w:val="009B6CC6"/>
    <w:rsid w:val="009B6EDC"/>
    <w:rsid w:val="009B7563"/>
    <w:rsid w:val="009B7753"/>
    <w:rsid w:val="009B7EEA"/>
    <w:rsid w:val="009C0D0A"/>
    <w:rsid w:val="009C0EB5"/>
    <w:rsid w:val="009C0F5C"/>
    <w:rsid w:val="009C1132"/>
    <w:rsid w:val="009C1A3D"/>
    <w:rsid w:val="009C1AFC"/>
    <w:rsid w:val="009C2046"/>
    <w:rsid w:val="009C2AA0"/>
    <w:rsid w:val="009C2AEA"/>
    <w:rsid w:val="009C42C5"/>
    <w:rsid w:val="009C4305"/>
    <w:rsid w:val="009C44EB"/>
    <w:rsid w:val="009C4A3F"/>
    <w:rsid w:val="009C4AB2"/>
    <w:rsid w:val="009C58D4"/>
    <w:rsid w:val="009C62B8"/>
    <w:rsid w:val="009C66AD"/>
    <w:rsid w:val="009C66E0"/>
    <w:rsid w:val="009C6EBB"/>
    <w:rsid w:val="009C70A1"/>
    <w:rsid w:val="009C7693"/>
    <w:rsid w:val="009C7694"/>
    <w:rsid w:val="009C7E2D"/>
    <w:rsid w:val="009C7F08"/>
    <w:rsid w:val="009D010F"/>
    <w:rsid w:val="009D026F"/>
    <w:rsid w:val="009D05E2"/>
    <w:rsid w:val="009D0622"/>
    <w:rsid w:val="009D0652"/>
    <w:rsid w:val="009D0DC3"/>
    <w:rsid w:val="009D0E05"/>
    <w:rsid w:val="009D10D9"/>
    <w:rsid w:val="009D154C"/>
    <w:rsid w:val="009D19E7"/>
    <w:rsid w:val="009D1D84"/>
    <w:rsid w:val="009D2034"/>
    <w:rsid w:val="009D23AB"/>
    <w:rsid w:val="009D2B6B"/>
    <w:rsid w:val="009D2D2F"/>
    <w:rsid w:val="009D2E02"/>
    <w:rsid w:val="009D324D"/>
    <w:rsid w:val="009D33D2"/>
    <w:rsid w:val="009D39B8"/>
    <w:rsid w:val="009D3D73"/>
    <w:rsid w:val="009D4318"/>
    <w:rsid w:val="009D46CC"/>
    <w:rsid w:val="009D5A46"/>
    <w:rsid w:val="009D5A8C"/>
    <w:rsid w:val="009D5AFF"/>
    <w:rsid w:val="009D6A2B"/>
    <w:rsid w:val="009D6C62"/>
    <w:rsid w:val="009D7294"/>
    <w:rsid w:val="009D7820"/>
    <w:rsid w:val="009D791D"/>
    <w:rsid w:val="009D7AE5"/>
    <w:rsid w:val="009D7FA4"/>
    <w:rsid w:val="009E020B"/>
    <w:rsid w:val="009E03BA"/>
    <w:rsid w:val="009E03E3"/>
    <w:rsid w:val="009E0A1A"/>
    <w:rsid w:val="009E0F47"/>
    <w:rsid w:val="009E129F"/>
    <w:rsid w:val="009E1425"/>
    <w:rsid w:val="009E15F3"/>
    <w:rsid w:val="009E176E"/>
    <w:rsid w:val="009E1DBD"/>
    <w:rsid w:val="009E1FDF"/>
    <w:rsid w:val="009E2BDE"/>
    <w:rsid w:val="009E3CFE"/>
    <w:rsid w:val="009E3E86"/>
    <w:rsid w:val="009E4454"/>
    <w:rsid w:val="009E4F1A"/>
    <w:rsid w:val="009E56ED"/>
    <w:rsid w:val="009E59B1"/>
    <w:rsid w:val="009E60F4"/>
    <w:rsid w:val="009E6998"/>
    <w:rsid w:val="009E6D01"/>
    <w:rsid w:val="009E717F"/>
    <w:rsid w:val="009E7402"/>
    <w:rsid w:val="009E7A7B"/>
    <w:rsid w:val="009E7AD6"/>
    <w:rsid w:val="009E7AD8"/>
    <w:rsid w:val="009E7AF1"/>
    <w:rsid w:val="009E7C8F"/>
    <w:rsid w:val="009E7FA9"/>
    <w:rsid w:val="009F0B9D"/>
    <w:rsid w:val="009F1997"/>
    <w:rsid w:val="009F2098"/>
    <w:rsid w:val="009F26C1"/>
    <w:rsid w:val="009F2B45"/>
    <w:rsid w:val="009F34D6"/>
    <w:rsid w:val="009F3A1F"/>
    <w:rsid w:val="009F3C54"/>
    <w:rsid w:val="009F4246"/>
    <w:rsid w:val="009F43DB"/>
    <w:rsid w:val="009F43EE"/>
    <w:rsid w:val="009F4730"/>
    <w:rsid w:val="009F4ACC"/>
    <w:rsid w:val="009F4F0A"/>
    <w:rsid w:val="009F4FA0"/>
    <w:rsid w:val="009F5D1E"/>
    <w:rsid w:val="009F68D8"/>
    <w:rsid w:val="009F698E"/>
    <w:rsid w:val="009F6BF4"/>
    <w:rsid w:val="009F749F"/>
    <w:rsid w:val="009F756F"/>
    <w:rsid w:val="00A0047E"/>
    <w:rsid w:val="00A0054E"/>
    <w:rsid w:val="00A00B41"/>
    <w:rsid w:val="00A00B9D"/>
    <w:rsid w:val="00A00CED"/>
    <w:rsid w:val="00A01651"/>
    <w:rsid w:val="00A01BC4"/>
    <w:rsid w:val="00A01BEB"/>
    <w:rsid w:val="00A02060"/>
    <w:rsid w:val="00A020F8"/>
    <w:rsid w:val="00A026A4"/>
    <w:rsid w:val="00A0307C"/>
    <w:rsid w:val="00A03236"/>
    <w:rsid w:val="00A03835"/>
    <w:rsid w:val="00A03F4B"/>
    <w:rsid w:val="00A04085"/>
    <w:rsid w:val="00A044EC"/>
    <w:rsid w:val="00A047E7"/>
    <w:rsid w:val="00A04B6B"/>
    <w:rsid w:val="00A04D01"/>
    <w:rsid w:val="00A052FF"/>
    <w:rsid w:val="00A06211"/>
    <w:rsid w:val="00A06C5E"/>
    <w:rsid w:val="00A06F50"/>
    <w:rsid w:val="00A06FEA"/>
    <w:rsid w:val="00A07028"/>
    <w:rsid w:val="00A1031C"/>
    <w:rsid w:val="00A1061B"/>
    <w:rsid w:val="00A1083F"/>
    <w:rsid w:val="00A1091A"/>
    <w:rsid w:val="00A10968"/>
    <w:rsid w:val="00A10C11"/>
    <w:rsid w:val="00A11B2F"/>
    <w:rsid w:val="00A11B97"/>
    <w:rsid w:val="00A124C7"/>
    <w:rsid w:val="00A1325F"/>
    <w:rsid w:val="00A134A1"/>
    <w:rsid w:val="00A134CA"/>
    <w:rsid w:val="00A135D6"/>
    <w:rsid w:val="00A13E05"/>
    <w:rsid w:val="00A14402"/>
    <w:rsid w:val="00A15175"/>
    <w:rsid w:val="00A151C5"/>
    <w:rsid w:val="00A15821"/>
    <w:rsid w:val="00A16558"/>
    <w:rsid w:val="00A16772"/>
    <w:rsid w:val="00A1685B"/>
    <w:rsid w:val="00A16F9C"/>
    <w:rsid w:val="00A1734C"/>
    <w:rsid w:val="00A17580"/>
    <w:rsid w:val="00A176FF"/>
    <w:rsid w:val="00A17B73"/>
    <w:rsid w:val="00A17C3B"/>
    <w:rsid w:val="00A20182"/>
    <w:rsid w:val="00A2026C"/>
    <w:rsid w:val="00A20667"/>
    <w:rsid w:val="00A21B9F"/>
    <w:rsid w:val="00A221A4"/>
    <w:rsid w:val="00A232D6"/>
    <w:rsid w:val="00A234E3"/>
    <w:rsid w:val="00A238C8"/>
    <w:rsid w:val="00A250B4"/>
    <w:rsid w:val="00A2537E"/>
    <w:rsid w:val="00A255CC"/>
    <w:rsid w:val="00A25625"/>
    <w:rsid w:val="00A2573D"/>
    <w:rsid w:val="00A25F3F"/>
    <w:rsid w:val="00A267C2"/>
    <w:rsid w:val="00A269F7"/>
    <w:rsid w:val="00A27AD9"/>
    <w:rsid w:val="00A27B86"/>
    <w:rsid w:val="00A27D22"/>
    <w:rsid w:val="00A27D7A"/>
    <w:rsid w:val="00A308E0"/>
    <w:rsid w:val="00A30B49"/>
    <w:rsid w:val="00A30BE4"/>
    <w:rsid w:val="00A30E0C"/>
    <w:rsid w:val="00A30F11"/>
    <w:rsid w:val="00A31618"/>
    <w:rsid w:val="00A316B4"/>
    <w:rsid w:val="00A317D6"/>
    <w:rsid w:val="00A33092"/>
    <w:rsid w:val="00A33263"/>
    <w:rsid w:val="00A3340B"/>
    <w:rsid w:val="00A33D53"/>
    <w:rsid w:val="00A351FC"/>
    <w:rsid w:val="00A352F0"/>
    <w:rsid w:val="00A35AA9"/>
    <w:rsid w:val="00A35F13"/>
    <w:rsid w:val="00A36114"/>
    <w:rsid w:val="00A36247"/>
    <w:rsid w:val="00A36324"/>
    <w:rsid w:val="00A36497"/>
    <w:rsid w:val="00A365BA"/>
    <w:rsid w:val="00A36CD9"/>
    <w:rsid w:val="00A370C3"/>
    <w:rsid w:val="00A379B0"/>
    <w:rsid w:val="00A37E93"/>
    <w:rsid w:val="00A40419"/>
    <w:rsid w:val="00A404E2"/>
    <w:rsid w:val="00A405BB"/>
    <w:rsid w:val="00A410CC"/>
    <w:rsid w:val="00A4135F"/>
    <w:rsid w:val="00A413C0"/>
    <w:rsid w:val="00A41C79"/>
    <w:rsid w:val="00A42C6D"/>
    <w:rsid w:val="00A42D9D"/>
    <w:rsid w:val="00A43A35"/>
    <w:rsid w:val="00A43BD4"/>
    <w:rsid w:val="00A4401A"/>
    <w:rsid w:val="00A445C6"/>
    <w:rsid w:val="00A44D8D"/>
    <w:rsid w:val="00A45032"/>
    <w:rsid w:val="00A450A2"/>
    <w:rsid w:val="00A4652D"/>
    <w:rsid w:val="00A465A6"/>
    <w:rsid w:val="00A46B7A"/>
    <w:rsid w:val="00A475EB"/>
    <w:rsid w:val="00A47E81"/>
    <w:rsid w:val="00A506FE"/>
    <w:rsid w:val="00A50836"/>
    <w:rsid w:val="00A5091B"/>
    <w:rsid w:val="00A510C0"/>
    <w:rsid w:val="00A511BD"/>
    <w:rsid w:val="00A51210"/>
    <w:rsid w:val="00A5153A"/>
    <w:rsid w:val="00A51D32"/>
    <w:rsid w:val="00A520F5"/>
    <w:rsid w:val="00A52152"/>
    <w:rsid w:val="00A521EA"/>
    <w:rsid w:val="00A521ED"/>
    <w:rsid w:val="00A5279D"/>
    <w:rsid w:val="00A52832"/>
    <w:rsid w:val="00A5287A"/>
    <w:rsid w:val="00A528FC"/>
    <w:rsid w:val="00A5320D"/>
    <w:rsid w:val="00A53C71"/>
    <w:rsid w:val="00A53C72"/>
    <w:rsid w:val="00A544C9"/>
    <w:rsid w:val="00A54E76"/>
    <w:rsid w:val="00A551D1"/>
    <w:rsid w:val="00A551E3"/>
    <w:rsid w:val="00A55370"/>
    <w:rsid w:val="00A5545B"/>
    <w:rsid w:val="00A55483"/>
    <w:rsid w:val="00A55527"/>
    <w:rsid w:val="00A55F51"/>
    <w:rsid w:val="00A56A3A"/>
    <w:rsid w:val="00A570D8"/>
    <w:rsid w:val="00A5734F"/>
    <w:rsid w:val="00A5756A"/>
    <w:rsid w:val="00A575FC"/>
    <w:rsid w:val="00A577A7"/>
    <w:rsid w:val="00A57DE2"/>
    <w:rsid w:val="00A600B0"/>
    <w:rsid w:val="00A61821"/>
    <w:rsid w:val="00A61EBD"/>
    <w:rsid w:val="00A6218A"/>
    <w:rsid w:val="00A627F2"/>
    <w:rsid w:val="00A6295C"/>
    <w:rsid w:val="00A62DD6"/>
    <w:rsid w:val="00A631B5"/>
    <w:rsid w:val="00A63E7C"/>
    <w:rsid w:val="00A64026"/>
    <w:rsid w:val="00A64334"/>
    <w:rsid w:val="00A64F79"/>
    <w:rsid w:val="00A6558F"/>
    <w:rsid w:val="00A65E36"/>
    <w:rsid w:val="00A65E92"/>
    <w:rsid w:val="00A665EA"/>
    <w:rsid w:val="00A66677"/>
    <w:rsid w:val="00A66C5A"/>
    <w:rsid w:val="00A66D2C"/>
    <w:rsid w:val="00A66DBF"/>
    <w:rsid w:val="00A66EE1"/>
    <w:rsid w:val="00A67451"/>
    <w:rsid w:val="00A674E9"/>
    <w:rsid w:val="00A6785E"/>
    <w:rsid w:val="00A67F30"/>
    <w:rsid w:val="00A67F82"/>
    <w:rsid w:val="00A70BA6"/>
    <w:rsid w:val="00A71171"/>
    <w:rsid w:val="00A712FC"/>
    <w:rsid w:val="00A71306"/>
    <w:rsid w:val="00A73D62"/>
    <w:rsid w:val="00A7505B"/>
    <w:rsid w:val="00A75A15"/>
    <w:rsid w:val="00A75C4C"/>
    <w:rsid w:val="00A7664A"/>
    <w:rsid w:val="00A767FC"/>
    <w:rsid w:val="00A76A15"/>
    <w:rsid w:val="00A76A1B"/>
    <w:rsid w:val="00A76AD8"/>
    <w:rsid w:val="00A76EDB"/>
    <w:rsid w:val="00A772D0"/>
    <w:rsid w:val="00A773DC"/>
    <w:rsid w:val="00A778BC"/>
    <w:rsid w:val="00A80505"/>
    <w:rsid w:val="00A80BC1"/>
    <w:rsid w:val="00A80EA7"/>
    <w:rsid w:val="00A80FEE"/>
    <w:rsid w:val="00A81081"/>
    <w:rsid w:val="00A812E6"/>
    <w:rsid w:val="00A818EB"/>
    <w:rsid w:val="00A82B7A"/>
    <w:rsid w:val="00A82CCD"/>
    <w:rsid w:val="00A82D4D"/>
    <w:rsid w:val="00A82D82"/>
    <w:rsid w:val="00A82E3A"/>
    <w:rsid w:val="00A82F9E"/>
    <w:rsid w:val="00A830B2"/>
    <w:rsid w:val="00A831E2"/>
    <w:rsid w:val="00A8372A"/>
    <w:rsid w:val="00A83AB2"/>
    <w:rsid w:val="00A83BE1"/>
    <w:rsid w:val="00A851A6"/>
    <w:rsid w:val="00A85852"/>
    <w:rsid w:val="00A85D90"/>
    <w:rsid w:val="00A85F12"/>
    <w:rsid w:val="00A8625E"/>
    <w:rsid w:val="00A8667F"/>
    <w:rsid w:val="00A86844"/>
    <w:rsid w:val="00A870B0"/>
    <w:rsid w:val="00A871F6"/>
    <w:rsid w:val="00A87480"/>
    <w:rsid w:val="00A87747"/>
    <w:rsid w:val="00A87B74"/>
    <w:rsid w:val="00A9038C"/>
    <w:rsid w:val="00A9065C"/>
    <w:rsid w:val="00A90F6B"/>
    <w:rsid w:val="00A911BA"/>
    <w:rsid w:val="00A915F2"/>
    <w:rsid w:val="00A91AFE"/>
    <w:rsid w:val="00A91B21"/>
    <w:rsid w:val="00A91C63"/>
    <w:rsid w:val="00A91D91"/>
    <w:rsid w:val="00A91E47"/>
    <w:rsid w:val="00A927E2"/>
    <w:rsid w:val="00A92ADB"/>
    <w:rsid w:val="00A93232"/>
    <w:rsid w:val="00A9352B"/>
    <w:rsid w:val="00A936D4"/>
    <w:rsid w:val="00A93AAE"/>
    <w:rsid w:val="00A9464B"/>
    <w:rsid w:val="00A9465B"/>
    <w:rsid w:val="00A95087"/>
    <w:rsid w:val="00A95B73"/>
    <w:rsid w:val="00A95B8B"/>
    <w:rsid w:val="00A95C75"/>
    <w:rsid w:val="00A95D36"/>
    <w:rsid w:val="00A96349"/>
    <w:rsid w:val="00A97546"/>
    <w:rsid w:val="00A9795A"/>
    <w:rsid w:val="00AA054E"/>
    <w:rsid w:val="00AA0CBF"/>
    <w:rsid w:val="00AA0E48"/>
    <w:rsid w:val="00AA0FC2"/>
    <w:rsid w:val="00AA1100"/>
    <w:rsid w:val="00AA11CC"/>
    <w:rsid w:val="00AA194B"/>
    <w:rsid w:val="00AA1A0D"/>
    <w:rsid w:val="00AA1CF7"/>
    <w:rsid w:val="00AA237B"/>
    <w:rsid w:val="00AA2938"/>
    <w:rsid w:val="00AA3F8F"/>
    <w:rsid w:val="00AA410B"/>
    <w:rsid w:val="00AA489F"/>
    <w:rsid w:val="00AA57EE"/>
    <w:rsid w:val="00AA5D9A"/>
    <w:rsid w:val="00AA5F41"/>
    <w:rsid w:val="00AA6057"/>
    <w:rsid w:val="00AA67E0"/>
    <w:rsid w:val="00AA6B8D"/>
    <w:rsid w:val="00AA6F01"/>
    <w:rsid w:val="00AA7281"/>
    <w:rsid w:val="00AA7615"/>
    <w:rsid w:val="00AA7FA7"/>
    <w:rsid w:val="00AB014D"/>
    <w:rsid w:val="00AB01CF"/>
    <w:rsid w:val="00AB02C7"/>
    <w:rsid w:val="00AB0432"/>
    <w:rsid w:val="00AB04D8"/>
    <w:rsid w:val="00AB16D7"/>
    <w:rsid w:val="00AB2227"/>
    <w:rsid w:val="00AB225F"/>
    <w:rsid w:val="00AB29B4"/>
    <w:rsid w:val="00AB2AC8"/>
    <w:rsid w:val="00AB2B0B"/>
    <w:rsid w:val="00AB2C34"/>
    <w:rsid w:val="00AB3628"/>
    <w:rsid w:val="00AB385A"/>
    <w:rsid w:val="00AB3D7D"/>
    <w:rsid w:val="00AB3DBE"/>
    <w:rsid w:val="00AB3E54"/>
    <w:rsid w:val="00AB3E9E"/>
    <w:rsid w:val="00AB3F7F"/>
    <w:rsid w:val="00AB411F"/>
    <w:rsid w:val="00AB51C0"/>
    <w:rsid w:val="00AB534C"/>
    <w:rsid w:val="00AB5D79"/>
    <w:rsid w:val="00AB64B1"/>
    <w:rsid w:val="00AB64DA"/>
    <w:rsid w:val="00AB6F37"/>
    <w:rsid w:val="00AB6FFB"/>
    <w:rsid w:val="00AB7132"/>
    <w:rsid w:val="00AB7463"/>
    <w:rsid w:val="00AB7542"/>
    <w:rsid w:val="00AB769F"/>
    <w:rsid w:val="00AB76F8"/>
    <w:rsid w:val="00AB7785"/>
    <w:rsid w:val="00AB7897"/>
    <w:rsid w:val="00AB7AC8"/>
    <w:rsid w:val="00AC0B81"/>
    <w:rsid w:val="00AC0EFE"/>
    <w:rsid w:val="00AC12E0"/>
    <w:rsid w:val="00AC1A4A"/>
    <w:rsid w:val="00AC1BD9"/>
    <w:rsid w:val="00AC1F4F"/>
    <w:rsid w:val="00AC22EE"/>
    <w:rsid w:val="00AC26BB"/>
    <w:rsid w:val="00AC2758"/>
    <w:rsid w:val="00AC2D66"/>
    <w:rsid w:val="00AC2EC4"/>
    <w:rsid w:val="00AC3E22"/>
    <w:rsid w:val="00AC4A8E"/>
    <w:rsid w:val="00AC4B1C"/>
    <w:rsid w:val="00AC50E9"/>
    <w:rsid w:val="00AC50FD"/>
    <w:rsid w:val="00AC5949"/>
    <w:rsid w:val="00AC5AED"/>
    <w:rsid w:val="00AC5CCD"/>
    <w:rsid w:val="00AC5CED"/>
    <w:rsid w:val="00AC631D"/>
    <w:rsid w:val="00AC670D"/>
    <w:rsid w:val="00AC6BA0"/>
    <w:rsid w:val="00AC71B2"/>
    <w:rsid w:val="00AC7635"/>
    <w:rsid w:val="00AC774B"/>
    <w:rsid w:val="00AC7764"/>
    <w:rsid w:val="00AC77A8"/>
    <w:rsid w:val="00AC79E0"/>
    <w:rsid w:val="00AC7BCD"/>
    <w:rsid w:val="00AD0B10"/>
    <w:rsid w:val="00AD14F2"/>
    <w:rsid w:val="00AD150A"/>
    <w:rsid w:val="00AD17E2"/>
    <w:rsid w:val="00AD1AAC"/>
    <w:rsid w:val="00AD1E14"/>
    <w:rsid w:val="00AD202A"/>
    <w:rsid w:val="00AD2375"/>
    <w:rsid w:val="00AD239F"/>
    <w:rsid w:val="00AD28C9"/>
    <w:rsid w:val="00AD35AB"/>
    <w:rsid w:val="00AD3E97"/>
    <w:rsid w:val="00AD4153"/>
    <w:rsid w:val="00AD41CA"/>
    <w:rsid w:val="00AD4318"/>
    <w:rsid w:val="00AD4813"/>
    <w:rsid w:val="00AD4ADE"/>
    <w:rsid w:val="00AD4DD7"/>
    <w:rsid w:val="00AD4FE1"/>
    <w:rsid w:val="00AD5036"/>
    <w:rsid w:val="00AD54E6"/>
    <w:rsid w:val="00AD57F7"/>
    <w:rsid w:val="00AD5B71"/>
    <w:rsid w:val="00AD5F0D"/>
    <w:rsid w:val="00AD694C"/>
    <w:rsid w:val="00AD6CD5"/>
    <w:rsid w:val="00AE0E18"/>
    <w:rsid w:val="00AE0F32"/>
    <w:rsid w:val="00AE24F3"/>
    <w:rsid w:val="00AE2CC4"/>
    <w:rsid w:val="00AE2F10"/>
    <w:rsid w:val="00AE33F4"/>
    <w:rsid w:val="00AE3D96"/>
    <w:rsid w:val="00AE3FDC"/>
    <w:rsid w:val="00AE4FC7"/>
    <w:rsid w:val="00AE5271"/>
    <w:rsid w:val="00AE5433"/>
    <w:rsid w:val="00AE74C9"/>
    <w:rsid w:val="00AF0116"/>
    <w:rsid w:val="00AF0498"/>
    <w:rsid w:val="00AF0D15"/>
    <w:rsid w:val="00AF0ECE"/>
    <w:rsid w:val="00AF0F6F"/>
    <w:rsid w:val="00AF14D5"/>
    <w:rsid w:val="00AF172D"/>
    <w:rsid w:val="00AF18A1"/>
    <w:rsid w:val="00AF1E9D"/>
    <w:rsid w:val="00AF1FC7"/>
    <w:rsid w:val="00AF2260"/>
    <w:rsid w:val="00AF2994"/>
    <w:rsid w:val="00AF2B95"/>
    <w:rsid w:val="00AF2D5B"/>
    <w:rsid w:val="00AF4048"/>
    <w:rsid w:val="00AF43B1"/>
    <w:rsid w:val="00AF4529"/>
    <w:rsid w:val="00AF45D5"/>
    <w:rsid w:val="00AF465C"/>
    <w:rsid w:val="00AF4703"/>
    <w:rsid w:val="00AF4840"/>
    <w:rsid w:val="00AF4AAA"/>
    <w:rsid w:val="00AF4DD6"/>
    <w:rsid w:val="00AF4F1B"/>
    <w:rsid w:val="00AF4FD8"/>
    <w:rsid w:val="00AF4FDC"/>
    <w:rsid w:val="00AF592B"/>
    <w:rsid w:val="00AF6356"/>
    <w:rsid w:val="00AF639E"/>
    <w:rsid w:val="00AF6B1E"/>
    <w:rsid w:val="00AF6F08"/>
    <w:rsid w:val="00AF71CA"/>
    <w:rsid w:val="00AF761C"/>
    <w:rsid w:val="00AF781B"/>
    <w:rsid w:val="00AF7C11"/>
    <w:rsid w:val="00AF7E24"/>
    <w:rsid w:val="00AF7E46"/>
    <w:rsid w:val="00B00BEC"/>
    <w:rsid w:val="00B00DF5"/>
    <w:rsid w:val="00B016C1"/>
    <w:rsid w:val="00B01DB3"/>
    <w:rsid w:val="00B01DCC"/>
    <w:rsid w:val="00B028CB"/>
    <w:rsid w:val="00B036D5"/>
    <w:rsid w:val="00B03969"/>
    <w:rsid w:val="00B040F3"/>
    <w:rsid w:val="00B04283"/>
    <w:rsid w:val="00B05096"/>
    <w:rsid w:val="00B05427"/>
    <w:rsid w:val="00B05441"/>
    <w:rsid w:val="00B05B62"/>
    <w:rsid w:val="00B05C99"/>
    <w:rsid w:val="00B07101"/>
    <w:rsid w:val="00B07463"/>
    <w:rsid w:val="00B07994"/>
    <w:rsid w:val="00B103D7"/>
    <w:rsid w:val="00B10921"/>
    <w:rsid w:val="00B114F0"/>
    <w:rsid w:val="00B11AC2"/>
    <w:rsid w:val="00B11EFB"/>
    <w:rsid w:val="00B123ED"/>
    <w:rsid w:val="00B13011"/>
    <w:rsid w:val="00B13118"/>
    <w:rsid w:val="00B13428"/>
    <w:rsid w:val="00B141CE"/>
    <w:rsid w:val="00B14CC4"/>
    <w:rsid w:val="00B14D0D"/>
    <w:rsid w:val="00B14DFF"/>
    <w:rsid w:val="00B154E6"/>
    <w:rsid w:val="00B15C0B"/>
    <w:rsid w:val="00B16A01"/>
    <w:rsid w:val="00B16B3C"/>
    <w:rsid w:val="00B1790D"/>
    <w:rsid w:val="00B17AF3"/>
    <w:rsid w:val="00B17D87"/>
    <w:rsid w:val="00B2035F"/>
    <w:rsid w:val="00B203DC"/>
    <w:rsid w:val="00B208FE"/>
    <w:rsid w:val="00B21274"/>
    <w:rsid w:val="00B21548"/>
    <w:rsid w:val="00B22030"/>
    <w:rsid w:val="00B222F2"/>
    <w:rsid w:val="00B2286F"/>
    <w:rsid w:val="00B23047"/>
    <w:rsid w:val="00B23DDF"/>
    <w:rsid w:val="00B243CB"/>
    <w:rsid w:val="00B25327"/>
    <w:rsid w:val="00B25399"/>
    <w:rsid w:val="00B25C8A"/>
    <w:rsid w:val="00B26198"/>
    <w:rsid w:val="00B27499"/>
    <w:rsid w:val="00B275D7"/>
    <w:rsid w:val="00B2764F"/>
    <w:rsid w:val="00B27EDD"/>
    <w:rsid w:val="00B303A1"/>
    <w:rsid w:val="00B30933"/>
    <w:rsid w:val="00B30BCC"/>
    <w:rsid w:val="00B31386"/>
    <w:rsid w:val="00B314F3"/>
    <w:rsid w:val="00B31666"/>
    <w:rsid w:val="00B31A88"/>
    <w:rsid w:val="00B31B09"/>
    <w:rsid w:val="00B3222D"/>
    <w:rsid w:val="00B32A46"/>
    <w:rsid w:val="00B33214"/>
    <w:rsid w:val="00B33761"/>
    <w:rsid w:val="00B3384F"/>
    <w:rsid w:val="00B33C3F"/>
    <w:rsid w:val="00B33D10"/>
    <w:rsid w:val="00B33EB5"/>
    <w:rsid w:val="00B34BFB"/>
    <w:rsid w:val="00B353DD"/>
    <w:rsid w:val="00B35640"/>
    <w:rsid w:val="00B35F06"/>
    <w:rsid w:val="00B36F57"/>
    <w:rsid w:val="00B3711F"/>
    <w:rsid w:val="00B3712E"/>
    <w:rsid w:val="00B37185"/>
    <w:rsid w:val="00B37295"/>
    <w:rsid w:val="00B37830"/>
    <w:rsid w:val="00B3786F"/>
    <w:rsid w:val="00B40B74"/>
    <w:rsid w:val="00B40D81"/>
    <w:rsid w:val="00B4130E"/>
    <w:rsid w:val="00B417D4"/>
    <w:rsid w:val="00B425CC"/>
    <w:rsid w:val="00B42BD1"/>
    <w:rsid w:val="00B42FB6"/>
    <w:rsid w:val="00B4325C"/>
    <w:rsid w:val="00B43388"/>
    <w:rsid w:val="00B44AFC"/>
    <w:rsid w:val="00B44F2A"/>
    <w:rsid w:val="00B450E6"/>
    <w:rsid w:val="00B46251"/>
    <w:rsid w:val="00B462B8"/>
    <w:rsid w:val="00B46422"/>
    <w:rsid w:val="00B46EF0"/>
    <w:rsid w:val="00B47807"/>
    <w:rsid w:val="00B47C39"/>
    <w:rsid w:val="00B50534"/>
    <w:rsid w:val="00B507E1"/>
    <w:rsid w:val="00B50CC8"/>
    <w:rsid w:val="00B510B3"/>
    <w:rsid w:val="00B51722"/>
    <w:rsid w:val="00B51C6C"/>
    <w:rsid w:val="00B51D00"/>
    <w:rsid w:val="00B52E10"/>
    <w:rsid w:val="00B55282"/>
    <w:rsid w:val="00B5534F"/>
    <w:rsid w:val="00B55ABB"/>
    <w:rsid w:val="00B55F41"/>
    <w:rsid w:val="00B561F9"/>
    <w:rsid w:val="00B56B6C"/>
    <w:rsid w:val="00B56C44"/>
    <w:rsid w:val="00B60E6D"/>
    <w:rsid w:val="00B60F50"/>
    <w:rsid w:val="00B61765"/>
    <w:rsid w:val="00B61CF8"/>
    <w:rsid w:val="00B62298"/>
    <w:rsid w:val="00B624DC"/>
    <w:rsid w:val="00B6266F"/>
    <w:rsid w:val="00B62AD5"/>
    <w:rsid w:val="00B62B82"/>
    <w:rsid w:val="00B62BD8"/>
    <w:rsid w:val="00B63785"/>
    <w:rsid w:val="00B63F4B"/>
    <w:rsid w:val="00B63FEA"/>
    <w:rsid w:val="00B6441A"/>
    <w:rsid w:val="00B644A5"/>
    <w:rsid w:val="00B64A07"/>
    <w:rsid w:val="00B64EE5"/>
    <w:rsid w:val="00B65259"/>
    <w:rsid w:val="00B653F0"/>
    <w:rsid w:val="00B655D1"/>
    <w:rsid w:val="00B667DB"/>
    <w:rsid w:val="00B66BAC"/>
    <w:rsid w:val="00B67AC1"/>
    <w:rsid w:val="00B705C4"/>
    <w:rsid w:val="00B70C7F"/>
    <w:rsid w:val="00B70F28"/>
    <w:rsid w:val="00B7125A"/>
    <w:rsid w:val="00B714BD"/>
    <w:rsid w:val="00B714FC"/>
    <w:rsid w:val="00B71EF3"/>
    <w:rsid w:val="00B72041"/>
    <w:rsid w:val="00B720FB"/>
    <w:rsid w:val="00B72138"/>
    <w:rsid w:val="00B722C7"/>
    <w:rsid w:val="00B7247A"/>
    <w:rsid w:val="00B72643"/>
    <w:rsid w:val="00B73281"/>
    <w:rsid w:val="00B735C5"/>
    <w:rsid w:val="00B73BD4"/>
    <w:rsid w:val="00B73D82"/>
    <w:rsid w:val="00B741C6"/>
    <w:rsid w:val="00B741E3"/>
    <w:rsid w:val="00B74FA7"/>
    <w:rsid w:val="00B750FE"/>
    <w:rsid w:val="00B7550D"/>
    <w:rsid w:val="00B75D5C"/>
    <w:rsid w:val="00B767E0"/>
    <w:rsid w:val="00B773A7"/>
    <w:rsid w:val="00B7765E"/>
    <w:rsid w:val="00B77662"/>
    <w:rsid w:val="00B777E2"/>
    <w:rsid w:val="00B80369"/>
    <w:rsid w:val="00B8053F"/>
    <w:rsid w:val="00B80879"/>
    <w:rsid w:val="00B8171F"/>
    <w:rsid w:val="00B824C7"/>
    <w:rsid w:val="00B82724"/>
    <w:rsid w:val="00B833DB"/>
    <w:rsid w:val="00B8356A"/>
    <w:rsid w:val="00B83B6C"/>
    <w:rsid w:val="00B83B90"/>
    <w:rsid w:val="00B83BE8"/>
    <w:rsid w:val="00B846DF"/>
    <w:rsid w:val="00B848A3"/>
    <w:rsid w:val="00B85001"/>
    <w:rsid w:val="00B85345"/>
    <w:rsid w:val="00B85764"/>
    <w:rsid w:val="00B857B7"/>
    <w:rsid w:val="00B85BAE"/>
    <w:rsid w:val="00B85C15"/>
    <w:rsid w:val="00B85C5B"/>
    <w:rsid w:val="00B85D0A"/>
    <w:rsid w:val="00B85DC6"/>
    <w:rsid w:val="00B85DDA"/>
    <w:rsid w:val="00B86274"/>
    <w:rsid w:val="00B86FD7"/>
    <w:rsid w:val="00B8709F"/>
    <w:rsid w:val="00B87124"/>
    <w:rsid w:val="00B8784E"/>
    <w:rsid w:val="00B90DAF"/>
    <w:rsid w:val="00B919AB"/>
    <w:rsid w:val="00B91A63"/>
    <w:rsid w:val="00B91B6E"/>
    <w:rsid w:val="00B91D44"/>
    <w:rsid w:val="00B925DE"/>
    <w:rsid w:val="00B92A6C"/>
    <w:rsid w:val="00B92B26"/>
    <w:rsid w:val="00B92B32"/>
    <w:rsid w:val="00B93F96"/>
    <w:rsid w:val="00B94380"/>
    <w:rsid w:val="00B947F8"/>
    <w:rsid w:val="00B94E13"/>
    <w:rsid w:val="00B94F5C"/>
    <w:rsid w:val="00B95298"/>
    <w:rsid w:val="00B9534D"/>
    <w:rsid w:val="00B95418"/>
    <w:rsid w:val="00B9580D"/>
    <w:rsid w:val="00B960C3"/>
    <w:rsid w:val="00B966FC"/>
    <w:rsid w:val="00B966FE"/>
    <w:rsid w:val="00B96738"/>
    <w:rsid w:val="00B96AE1"/>
    <w:rsid w:val="00B96D24"/>
    <w:rsid w:val="00B970E3"/>
    <w:rsid w:val="00B97689"/>
    <w:rsid w:val="00BA166B"/>
    <w:rsid w:val="00BA1A26"/>
    <w:rsid w:val="00BA1BC7"/>
    <w:rsid w:val="00BA204B"/>
    <w:rsid w:val="00BA2576"/>
    <w:rsid w:val="00BA2CFD"/>
    <w:rsid w:val="00BA3748"/>
    <w:rsid w:val="00BA3840"/>
    <w:rsid w:val="00BA3BD6"/>
    <w:rsid w:val="00BA427D"/>
    <w:rsid w:val="00BA46CA"/>
    <w:rsid w:val="00BA474C"/>
    <w:rsid w:val="00BA480F"/>
    <w:rsid w:val="00BA4CDD"/>
    <w:rsid w:val="00BA4D38"/>
    <w:rsid w:val="00BA538D"/>
    <w:rsid w:val="00BA54E9"/>
    <w:rsid w:val="00BA5E68"/>
    <w:rsid w:val="00BA62BD"/>
    <w:rsid w:val="00BA6689"/>
    <w:rsid w:val="00BA66F2"/>
    <w:rsid w:val="00BA6AFD"/>
    <w:rsid w:val="00BA6B57"/>
    <w:rsid w:val="00BA6EA2"/>
    <w:rsid w:val="00BA70FA"/>
    <w:rsid w:val="00BA71FA"/>
    <w:rsid w:val="00BB02DB"/>
    <w:rsid w:val="00BB0B6E"/>
    <w:rsid w:val="00BB14D4"/>
    <w:rsid w:val="00BB153A"/>
    <w:rsid w:val="00BB187D"/>
    <w:rsid w:val="00BB2004"/>
    <w:rsid w:val="00BB21F2"/>
    <w:rsid w:val="00BB2F6D"/>
    <w:rsid w:val="00BB351D"/>
    <w:rsid w:val="00BB3D70"/>
    <w:rsid w:val="00BB41F5"/>
    <w:rsid w:val="00BB449C"/>
    <w:rsid w:val="00BB4635"/>
    <w:rsid w:val="00BB4AE3"/>
    <w:rsid w:val="00BB4F3E"/>
    <w:rsid w:val="00BB4FA4"/>
    <w:rsid w:val="00BB5603"/>
    <w:rsid w:val="00BB56A6"/>
    <w:rsid w:val="00BB591C"/>
    <w:rsid w:val="00BB5E8C"/>
    <w:rsid w:val="00BB6CD7"/>
    <w:rsid w:val="00BB705C"/>
    <w:rsid w:val="00BB77BA"/>
    <w:rsid w:val="00BC0B46"/>
    <w:rsid w:val="00BC1085"/>
    <w:rsid w:val="00BC1340"/>
    <w:rsid w:val="00BC151A"/>
    <w:rsid w:val="00BC1625"/>
    <w:rsid w:val="00BC1798"/>
    <w:rsid w:val="00BC1E22"/>
    <w:rsid w:val="00BC2561"/>
    <w:rsid w:val="00BC2647"/>
    <w:rsid w:val="00BC27AA"/>
    <w:rsid w:val="00BC2B58"/>
    <w:rsid w:val="00BC313A"/>
    <w:rsid w:val="00BC323F"/>
    <w:rsid w:val="00BC33D0"/>
    <w:rsid w:val="00BC3ADB"/>
    <w:rsid w:val="00BC3B72"/>
    <w:rsid w:val="00BC3CC2"/>
    <w:rsid w:val="00BC3EED"/>
    <w:rsid w:val="00BC422A"/>
    <w:rsid w:val="00BC4AAB"/>
    <w:rsid w:val="00BC4B80"/>
    <w:rsid w:val="00BC4D20"/>
    <w:rsid w:val="00BC517F"/>
    <w:rsid w:val="00BC5213"/>
    <w:rsid w:val="00BC5384"/>
    <w:rsid w:val="00BC588F"/>
    <w:rsid w:val="00BC5C8E"/>
    <w:rsid w:val="00BC6004"/>
    <w:rsid w:val="00BC62B2"/>
    <w:rsid w:val="00BC7002"/>
    <w:rsid w:val="00BC70D2"/>
    <w:rsid w:val="00BC77DF"/>
    <w:rsid w:val="00BC79D3"/>
    <w:rsid w:val="00BD03AA"/>
    <w:rsid w:val="00BD0A04"/>
    <w:rsid w:val="00BD0F8C"/>
    <w:rsid w:val="00BD115D"/>
    <w:rsid w:val="00BD11D5"/>
    <w:rsid w:val="00BD11F4"/>
    <w:rsid w:val="00BD164D"/>
    <w:rsid w:val="00BD2013"/>
    <w:rsid w:val="00BD25D2"/>
    <w:rsid w:val="00BD2E2E"/>
    <w:rsid w:val="00BD31B3"/>
    <w:rsid w:val="00BD332D"/>
    <w:rsid w:val="00BD3B0E"/>
    <w:rsid w:val="00BD41C7"/>
    <w:rsid w:val="00BD4302"/>
    <w:rsid w:val="00BD469B"/>
    <w:rsid w:val="00BD4C05"/>
    <w:rsid w:val="00BD52B6"/>
    <w:rsid w:val="00BD5300"/>
    <w:rsid w:val="00BD5310"/>
    <w:rsid w:val="00BD5A62"/>
    <w:rsid w:val="00BD6123"/>
    <w:rsid w:val="00BD65A6"/>
    <w:rsid w:val="00BD6B42"/>
    <w:rsid w:val="00BD6B45"/>
    <w:rsid w:val="00BD6F53"/>
    <w:rsid w:val="00BD7CB3"/>
    <w:rsid w:val="00BE0853"/>
    <w:rsid w:val="00BE1AE6"/>
    <w:rsid w:val="00BE225E"/>
    <w:rsid w:val="00BE240C"/>
    <w:rsid w:val="00BE24DA"/>
    <w:rsid w:val="00BE2B4F"/>
    <w:rsid w:val="00BE2B9C"/>
    <w:rsid w:val="00BE2DB7"/>
    <w:rsid w:val="00BE3092"/>
    <w:rsid w:val="00BE3258"/>
    <w:rsid w:val="00BE32FB"/>
    <w:rsid w:val="00BE330A"/>
    <w:rsid w:val="00BE35F4"/>
    <w:rsid w:val="00BE37E4"/>
    <w:rsid w:val="00BE3BC5"/>
    <w:rsid w:val="00BE3C46"/>
    <w:rsid w:val="00BE452A"/>
    <w:rsid w:val="00BE4CBC"/>
    <w:rsid w:val="00BE5C0C"/>
    <w:rsid w:val="00BE5C1D"/>
    <w:rsid w:val="00BE5EFB"/>
    <w:rsid w:val="00BE5FAD"/>
    <w:rsid w:val="00BE7272"/>
    <w:rsid w:val="00BE74CB"/>
    <w:rsid w:val="00BE7531"/>
    <w:rsid w:val="00BE77F5"/>
    <w:rsid w:val="00BF03DD"/>
    <w:rsid w:val="00BF0971"/>
    <w:rsid w:val="00BF0B0A"/>
    <w:rsid w:val="00BF0B18"/>
    <w:rsid w:val="00BF106B"/>
    <w:rsid w:val="00BF13FE"/>
    <w:rsid w:val="00BF15EB"/>
    <w:rsid w:val="00BF179E"/>
    <w:rsid w:val="00BF1F1A"/>
    <w:rsid w:val="00BF2581"/>
    <w:rsid w:val="00BF25A5"/>
    <w:rsid w:val="00BF25CD"/>
    <w:rsid w:val="00BF2619"/>
    <w:rsid w:val="00BF39CB"/>
    <w:rsid w:val="00BF4010"/>
    <w:rsid w:val="00BF40BE"/>
    <w:rsid w:val="00BF413E"/>
    <w:rsid w:val="00BF4871"/>
    <w:rsid w:val="00BF497A"/>
    <w:rsid w:val="00BF4D96"/>
    <w:rsid w:val="00BF4FF9"/>
    <w:rsid w:val="00BF5503"/>
    <w:rsid w:val="00BF583A"/>
    <w:rsid w:val="00BF5EA9"/>
    <w:rsid w:val="00BF63CE"/>
    <w:rsid w:val="00BF6547"/>
    <w:rsid w:val="00BF6D7F"/>
    <w:rsid w:val="00BF759B"/>
    <w:rsid w:val="00C0019B"/>
    <w:rsid w:val="00C016FD"/>
    <w:rsid w:val="00C018E0"/>
    <w:rsid w:val="00C01EFF"/>
    <w:rsid w:val="00C024F5"/>
    <w:rsid w:val="00C02BE1"/>
    <w:rsid w:val="00C02D5D"/>
    <w:rsid w:val="00C0370A"/>
    <w:rsid w:val="00C03872"/>
    <w:rsid w:val="00C038E5"/>
    <w:rsid w:val="00C054D9"/>
    <w:rsid w:val="00C05671"/>
    <w:rsid w:val="00C058DC"/>
    <w:rsid w:val="00C068E0"/>
    <w:rsid w:val="00C0696A"/>
    <w:rsid w:val="00C06A65"/>
    <w:rsid w:val="00C06B7B"/>
    <w:rsid w:val="00C06D56"/>
    <w:rsid w:val="00C07601"/>
    <w:rsid w:val="00C07624"/>
    <w:rsid w:val="00C07C80"/>
    <w:rsid w:val="00C07C86"/>
    <w:rsid w:val="00C100C9"/>
    <w:rsid w:val="00C1064A"/>
    <w:rsid w:val="00C10F2E"/>
    <w:rsid w:val="00C116FD"/>
    <w:rsid w:val="00C118E0"/>
    <w:rsid w:val="00C11A46"/>
    <w:rsid w:val="00C11BC0"/>
    <w:rsid w:val="00C11FF5"/>
    <w:rsid w:val="00C12097"/>
    <w:rsid w:val="00C123AA"/>
    <w:rsid w:val="00C12D47"/>
    <w:rsid w:val="00C12E29"/>
    <w:rsid w:val="00C1316E"/>
    <w:rsid w:val="00C138DD"/>
    <w:rsid w:val="00C13A27"/>
    <w:rsid w:val="00C151E5"/>
    <w:rsid w:val="00C1524F"/>
    <w:rsid w:val="00C15373"/>
    <w:rsid w:val="00C15756"/>
    <w:rsid w:val="00C15817"/>
    <w:rsid w:val="00C158ED"/>
    <w:rsid w:val="00C15D1B"/>
    <w:rsid w:val="00C15DFD"/>
    <w:rsid w:val="00C167BE"/>
    <w:rsid w:val="00C167E5"/>
    <w:rsid w:val="00C16DBE"/>
    <w:rsid w:val="00C16F0B"/>
    <w:rsid w:val="00C16FB2"/>
    <w:rsid w:val="00C17606"/>
    <w:rsid w:val="00C17A40"/>
    <w:rsid w:val="00C17C83"/>
    <w:rsid w:val="00C206BD"/>
    <w:rsid w:val="00C209CC"/>
    <w:rsid w:val="00C21578"/>
    <w:rsid w:val="00C217C3"/>
    <w:rsid w:val="00C21AD3"/>
    <w:rsid w:val="00C21C03"/>
    <w:rsid w:val="00C2257E"/>
    <w:rsid w:val="00C22A7B"/>
    <w:rsid w:val="00C23C1D"/>
    <w:rsid w:val="00C23D9E"/>
    <w:rsid w:val="00C247FE"/>
    <w:rsid w:val="00C24801"/>
    <w:rsid w:val="00C261F8"/>
    <w:rsid w:val="00C27242"/>
    <w:rsid w:val="00C27B8F"/>
    <w:rsid w:val="00C3067F"/>
    <w:rsid w:val="00C30898"/>
    <w:rsid w:val="00C309FC"/>
    <w:rsid w:val="00C312CF"/>
    <w:rsid w:val="00C31635"/>
    <w:rsid w:val="00C31674"/>
    <w:rsid w:val="00C31839"/>
    <w:rsid w:val="00C320FB"/>
    <w:rsid w:val="00C321CD"/>
    <w:rsid w:val="00C321F7"/>
    <w:rsid w:val="00C32664"/>
    <w:rsid w:val="00C3276F"/>
    <w:rsid w:val="00C32A4B"/>
    <w:rsid w:val="00C32A8B"/>
    <w:rsid w:val="00C32BE6"/>
    <w:rsid w:val="00C332B6"/>
    <w:rsid w:val="00C33319"/>
    <w:rsid w:val="00C33885"/>
    <w:rsid w:val="00C33C05"/>
    <w:rsid w:val="00C340DD"/>
    <w:rsid w:val="00C345D7"/>
    <w:rsid w:val="00C34E41"/>
    <w:rsid w:val="00C34F99"/>
    <w:rsid w:val="00C350DE"/>
    <w:rsid w:val="00C3630B"/>
    <w:rsid w:val="00C36681"/>
    <w:rsid w:val="00C367BD"/>
    <w:rsid w:val="00C36B53"/>
    <w:rsid w:val="00C37966"/>
    <w:rsid w:val="00C37AE9"/>
    <w:rsid w:val="00C37AF2"/>
    <w:rsid w:val="00C37C70"/>
    <w:rsid w:val="00C37CC0"/>
    <w:rsid w:val="00C40219"/>
    <w:rsid w:val="00C40992"/>
    <w:rsid w:val="00C40A9C"/>
    <w:rsid w:val="00C40CD9"/>
    <w:rsid w:val="00C41921"/>
    <w:rsid w:val="00C41EC9"/>
    <w:rsid w:val="00C41F8A"/>
    <w:rsid w:val="00C43C9E"/>
    <w:rsid w:val="00C43D49"/>
    <w:rsid w:val="00C449A5"/>
    <w:rsid w:val="00C44F98"/>
    <w:rsid w:val="00C4503A"/>
    <w:rsid w:val="00C465B5"/>
    <w:rsid w:val="00C465C5"/>
    <w:rsid w:val="00C469CF"/>
    <w:rsid w:val="00C46AA2"/>
    <w:rsid w:val="00C47D18"/>
    <w:rsid w:val="00C47D21"/>
    <w:rsid w:val="00C50EFB"/>
    <w:rsid w:val="00C520B9"/>
    <w:rsid w:val="00C52C64"/>
    <w:rsid w:val="00C52D0E"/>
    <w:rsid w:val="00C52E26"/>
    <w:rsid w:val="00C52FFC"/>
    <w:rsid w:val="00C53656"/>
    <w:rsid w:val="00C537F4"/>
    <w:rsid w:val="00C53E27"/>
    <w:rsid w:val="00C54278"/>
    <w:rsid w:val="00C5469A"/>
    <w:rsid w:val="00C554B4"/>
    <w:rsid w:val="00C5552D"/>
    <w:rsid w:val="00C55B06"/>
    <w:rsid w:val="00C56158"/>
    <w:rsid w:val="00C56311"/>
    <w:rsid w:val="00C56525"/>
    <w:rsid w:val="00C56CA8"/>
    <w:rsid w:val="00C570F9"/>
    <w:rsid w:val="00C571B0"/>
    <w:rsid w:val="00C600A2"/>
    <w:rsid w:val="00C603E4"/>
    <w:rsid w:val="00C60425"/>
    <w:rsid w:val="00C60620"/>
    <w:rsid w:val="00C6063C"/>
    <w:rsid w:val="00C60778"/>
    <w:rsid w:val="00C60B79"/>
    <w:rsid w:val="00C61B3B"/>
    <w:rsid w:val="00C62014"/>
    <w:rsid w:val="00C62999"/>
    <w:rsid w:val="00C638E3"/>
    <w:rsid w:val="00C63E3B"/>
    <w:rsid w:val="00C64929"/>
    <w:rsid w:val="00C64E25"/>
    <w:rsid w:val="00C65438"/>
    <w:rsid w:val="00C6639C"/>
    <w:rsid w:val="00C6665B"/>
    <w:rsid w:val="00C668F5"/>
    <w:rsid w:val="00C67A23"/>
    <w:rsid w:val="00C7017B"/>
    <w:rsid w:val="00C702A3"/>
    <w:rsid w:val="00C71855"/>
    <w:rsid w:val="00C71B41"/>
    <w:rsid w:val="00C71F8B"/>
    <w:rsid w:val="00C72837"/>
    <w:rsid w:val="00C72ACF"/>
    <w:rsid w:val="00C730E2"/>
    <w:rsid w:val="00C7334B"/>
    <w:rsid w:val="00C7367B"/>
    <w:rsid w:val="00C73789"/>
    <w:rsid w:val="00C73DBB"/>
    <w:rsid w:val="00C73EAC"/>
    <w:rsid w:val="00C74093"/>
    <w:rsid w:val="00C744A9"/>
    <w:rsid w:val="00C7477F"/>
    <w:rsid w:val="00C748E1"/>
    <w:rsid w:val="00C762CA"/>
    <w:rsid w:val="00C76449"/>
    <w:rsid w:val="00C76DAC"/>
    <w:rsid w:val="00C77394"/>
    <w:rsid w:val="00C775F7"/>
    <w:rsid w:val="00C77E5F"/>
    <w:rsid w:val="00C77F8C"/>
    <w:rsid w:val="00C80DDB"/>
    <w:rsid w:val="00C81029"/>
    <w:rsid w:val="00C81169"/>
    <w:rsid w:val="00C8126F"/>
    <w:rsid w:val="00C8292C"/>
    <w:rsid w:val="00C83F8E"/>
    <w:rsid w:val="00C84820"/>
    <w:rsid w:val="00C84A0F"/>
    <w:rsid w:val="00C84FA0"/>
    <w:rsid w:val="00C85513"/>
    <w:rsid w:val="00C859F9"/>
    <w:rsid w:val="00C85E79"/>
    <w:rsid w:val="00C85F26"/>
    <w:rsid w:val="00C860B7"/>
    <w:rsid w:val="00C8666B"/>
    <w:rsid w:val="00C87077"/>
    <w:rsid w:val="00C8748F"/>
    <w:rsid w:val="00C8761A"/>
    <w:rsid w:val="00C8789F"/>
    <w:rsid w:val="00C90566"/>
    <w:rsid w:val="00C9061F"/>
    <w:rsid w:val="00C90638"/>
    <w:rsid w:val="00C90882"/>
    <w:rsid w:val="00C90E77"/>
    <w:rsid w:val="00C912C0"/>
    <w:rsid w:val="00C91472"/>
    <w:rsid w:val="00C91859"/>
    <w:rsid w:val="00C918AF"/>
    <w:rsid w:val="00C919C8"/>
    <w:rsid w:val="00C91C11"/>
    <w:rsid w:val="00C920FE"/>
    <w:rsid w:val="00C921DC"/>
    <w:rsid w:val="00C92A72"/>
    <w:rsid w:val="00C92FB0"/>
    <w:rsid w:val="00C93525"/>
    <w:rsid w:val="00C949B5"/>
    <w:rsid w:val="00C94EA9"/>
    <w:rsid w:val="00C9560A"/>
    <w:rsid w:val="00C95806"/>
    <w:rsid w:val="00C96385"/>
    <w:rsid w:val="00C96468"/>
    <w:rsid w:val="00C9693D"/>
    <w:rsid w:val="00C96B99"/>
    <w:rsid w:val="00C96D26"/>
    <w:rsid w:val="00C96EBD"/>
    <w:rsid w:val="00C97198"/>
    <w:rsid w:val="00C97F26"/>
    <w:rsid w:val="00C97F55"/>
    <w:rsid w:val="00CA003E"/>
    <w:rsid w:val="00CA048D"/>
    <w:rsid w:val="00CA04B9"/>
    <w:rsid w:val="00CA06B3"/>
    <w:rsid w:val="00CA0A1F"/>
    <w:rsid w:val="00CA162D"/>
    <w:rsid w:val="00CA322F"/>
    <w:rsid w:val="00CA3536"/>
    <w:rsid w:val="00CA3737"/>
    <w:rsid w:val="00CA391E"/>
    <w:rsid w:val="00CA42B1"/>
    <w:rsid w:val="00CA49C0"/>
    <w:rsid w:val="00CA49CA"/>
    <w:rsid w:val="00CA49D4"/>
    <w:rsid w:val="00CA4B60"/>
    <w:rsid w:val="00CA4E75"/>
    <w:rsid w:val="00CA5589"/>
    <w:rsid w:val="00CA565A"/>
    <w:rsid w:val="00CA679E"/>
    <w:rsid w:val="00CA719F"/>
    <w:rsid w:val="00CA75B1"/>
    <w:rsid w:val="00CA7F1A"/>
    <w:rsid w:val="00CB0120"/>
    <w:rsid w:val="00CB058B"/>
    <w:rsid w:val="00CB0ADE"/>
    <w:rsid w:val="00CB2255"/>
    <w:rsid w:val="00CB2288"/>
    <w:rsid w:val="00CB23A7"/>
    <w:rsid w:val="00CB254A"/>
    <w:rsid w:val="00CB2D7F"/>
    <w:rsid w:val="00CB3571"/>
    <w:rsid w:val="00CB41F2"/>
    <w:rsid w:val="00CB436E"/>
    <w:rsid w:val="00CB463B"/>
    <w:rsid w:val="00CB4927"/>
    <w:rsid w:val="00CB498B"/>
    <w:rsid w:val="00CB50EF"/>
    <w:rsid w:val="00CB52B8"/>
    <w:rsid w:val="00CB532C"/>
    <w:rsid w:val="00CB54C6"/>
    <w:rsid w:val="00CB6248"/>
    <w:rsid w:val="00CB63D9"/>
    <w:rsid w:val="00CB64EB"/>
    <w:rsid w:val="00CB6518"/>
    <w:rsid w:val="00CB65B1"/>
    <w:rsid w:val="00CB6EBE"/>
    <w:rsid w:val="00CB7450"/>
    <w:rsid w:val="00CB75C7"/>
    <w:rsid w:val="00CB7611"/>
    <w:rsid w:val="00CB791A"/>
    <w:rsid w:val="00CB7A24"/>
    <w:rsid w:val="00CC0CD1"/>
    <w:rsid w:val="00CC1FA4"/>
    <w:rsid w:val="00CC2547"/>
    <w:rsid w:val="00CC2E6D"/>
    <w:rsid w:val="00CC2FE7"/>
    <w:rsid w:val="00CC309D"/>
    <w:rsid w:val="00CC3711"/>
    <w:rsid w:val="00CC412F"/>
    <w:rsid w:val="00CC4D20"/>
    <w:rsid w:val="00CC5174"/>
    <w:rsid w:val="00CC563E"/>
    <w:rsid w:val="00CC5C5E"/>
    <w:rsid w:val="00CC60C3"/>
    <w:rsid w:val="00CC6BD6"/>
    <w:rsid w:val="00CC6D74"/>
    <w:rsid w:val="00CC71F2"/>
    <w:rsid w:val="00CC7C5C"/>
    <w:rsid w:val="00CD04DC"/>
    <w:rsid w:val="00CD0789"/>
    <w:rsid w:val="00CD0D42"/>
    <w:rsid w:val="00CD1538"/>
    <w:rsid w:val="00CD2066"/>
    <w:rsid w:val="00CD4080"/>
    <w:rsid w:val="00CD47B2"/>
    <w:rsid w:val="00CD522E"/>
    <w:rsid w:val="00CD55CD"/>
    <w:rsid w:val="00CD5BC5"/>
    <w:rsid w:val="00CD5D7E"/>
    <w:rsid w:val="00CD5ED8"/>
    <w:rsid w:val="00CD627A"/>
    <w:rsid w:val="00CD6631"/>
    <w:rsid w:val="00CD676B"/>
    <w:rsid w:val="00CD6975"/>
    <w:rsid w:val="00CD7404"/>
    <w:rsid w:val="00CD7659"/>
    <w:rsid w:val="00CE0085"/>
    <w:rsid w:val="00CE01B6"/>
    <w:rsid w:val="00CE0AEB"/>
    <w:rsid w:val="00CE0F54"/>
    <w:rsid w:val="00CE12F5"/>
    <w:rsid w:val="00CE134B"/>
    <w:rsid w:val="00CE13A9"/>
    <w:rsid w:val="00CE1B4C"/>
    <w:rsid w:val="00CE1BA0"/>
    <w:rsid w:val="00CE2435"/>
    <w:rsid w:val="00CE2A08"/>
    <w:rsid w:val="00CE2F1E"/>
    <w:rsid w:val="00CE301B"/>
    <w:rsid w:val="00CE31C5"/>
    <w:rsid w:val="00CE36C1"/>
    <w:rsid w:val="00CE49F8"/>
    <w:rsid w:val="00CE50F2"/>
    <w:rsid w:val="00CE53AD"/>
    <w:rsid w:val="00CE55C4"/>
    <w:rsid w:val="00CE5B06"/>
    <w:rsid w:val="00CE5DA9"/>
    <w:rsid w:val="00CE605F"/>
    <w:rsid w:val="00CE6274"/>
    <w:rsid w:val="00CE6ED6"/>
    <w:rsid w:val="00CE749A"/>
    <w:rsid w:val="00CF01DC"/>
    <w:rsid w:val="00CF0480"/>
    <w:rsid w:val="00CF0BAC"/>
    <w:rsid w:val="00CF14B6"/>
    <w:rsid w:val="00CF1B8C"/>
    <w:rsid w:val="00CF23A4"/>
    <w:rsid w:val="00CF253E"/>
    <w:rsid w:val="00CF36F9"/>
    <w:rsid w:val="00CF374D"/>
    <w:rsid w:val="00CF3F92"/>
    <w:rsid w:val="00CF423C"/>
    <w:rsid w:val="00CF44C5"/>
    <w:rsid w:val="00CF523D"/>
    <w:rsid w:val="00CF5295"/>
    <w:rsid w:val="00CF5348"/>
    <w:rsid w:val="00CF55E8"/>
    <w:rsid w:val="00CF5DEC"/>
    <w:rsid w:val="00CF6490"/>
    <w:rsid w:val="00CF6C91"/>
    <w:rsid w:val="00CF7178"/>
    <w:rsid w:val="00CF731F"/>
    <w:rsid w:val="00CF73A2"/>
    <w:rsid w:val="00CF7838"/>
    <w:rsid w:val="00CF7851"/>
    <w:rsid w:val="00CF7A06"/>
    <w:rsid w:val="00CF7BE0"/>
    <w:rsid w:val="00D000D8"/>
    <w:rsid w:val="00D0022C"/>
    <w:rsid w:val="00D01A3E"/>
    <w:rsid w:val="00D029E1"/>
    <w:rsid w:val="00D02D3F"/>
    <w:rsid w:val="00D03281"/>
    <w:rsid w:val="00D0373D"/>
    <w:rsid w:val="00D0375D"/>
    <w:rsid w:val="00D03770"/>
    <w:rsid w:val="00D03F84"/>
    <w:rsid w:val="00D04052"/>
    <w:rsid w:val="00D0426F"/>
    <w:rsid w:val="00D04358"/>
    <w:rsid w:val="00D04412"/>
    <w:rsid w:val="00D05051"/>
    <w:rsid w:val="00D0539D"/>
    <w:rsid w:val="00D060F3"/>
    <w:rsid w:val="00D06825"/>
    <w:rsid w:val="00D06CFF"/>
    <w:rsid w:val="00D07244"/>
    <w:rsid w:val="00D07458"/>
    <w:rsid w:val="00D07790"/>
    <w:rsid w:val="00D07A2B"/>
    <w:rsid w:val="00D07D08"/>
    <w:rsid w:val="00D102FE"/>
    <w:rsid w:val="00D10323"/>
    <w:rsid w:val="00D10665"/>
    <w:rsid w:val="00D1077E"/>
    <w:rsid w:val="00D10939"/>
    <w:rsid w:val="00D1106C"/>
    <w:rsid w:val="00D11367"/>
    <w:rsid w:val="00D11E3A"/>
    <w:rsid w:val="00D1225E"/>
    <w:rsid w:val="00D127FF"/>
    <w:rsid w:val="00D128F5"/>
    <w:rsid w:val="00D12EB4"/>
    <w:rsid w:val="00D1314A"/>
    <w:rsid w:val="00D13354"/>
    <w:rsid w:val="00D13BEA"/>
    <w:rsid w:val="00D1409C"/>
    <w:rsid w:val="00D14115"/>
    <w:rsid w:val="00D14211"/>
    <w:rsid w:val="00D14235"/>
    <w:rsid w:val="00D14AFF"/>
    <w:rsid w:val="00D14D77"/>
    <w:rsid w:val="00D15374"/>
    <w:rsid w:val="00D162F7"/>
    <w:rsid w:val="00D1679C"/>
    <w:rsid w:val="00D16D25"/>
    <w:rsid w:val="00D17302"/>
    <w:rsid w:val="00D177EC"/>
    <w:rsid w:val="00D203BF"/>
    <w:rsid w:val="00D206B3"/>
    <w:rsid w:val="00D209FF"/>
    <w:rsid w:val="00D21195"/>
    <w:rsid w:val="00D211D0"/>
    <w:rsid w:val="00D21C35"/>
    <w:rsid w:val="00D21C75"/>
    <w:rsid w:val="00D220E2"/>
    <w:rsid w:val="00D2297E"/>
    <w:rsid w:val="00D22F2F"/>
    <w:rsid w:val="00D231DE"/>
    <w:rsid w:val="00D23606"/>
    <w:rsid w:val="00D237FC"/>
    <w:rsid w:val="00D23820"/>
    <w:rsid w:val="00D23A01"/>
    <w:rsid w:val="00D2445F"/>
    <w:rsid w:val="00D24983"/>
    <w:rsid w:val="00D252D6"/>
    <w:rsid w:val="00D2564A"/>
    <w:rsid w:val="00D25A5A"/>
    <w:rsid w:val="00D26156"/>
    <w:rsid w:val="00D26821"/>
    <w:rsid w:val="00D26CA1"/>
    <w:rsid w:val="00D27723"/>
    <w:rsid w:val="00D27F24"/>
    <w:rsid w:val="00D309B2"/>
    <w:rsid w:val="00D30B8A"/>
    <w:rsid w:val="00D31030"/>
    <w:rsid w:val="00D31DC7"/>
    <w:rsid w:val="00D32AF3"/>
    <w:rsid w:val="00D32F2F"/>
    <w:rsid w:val="00D32F68"/>
    <w:rsid w:val="00D330D5"/>
    <w:rsid w:val="00D335C2"/>
    <w:rsid w:val="00D339B2"/>
    <w:rsid w:val="00D33C31"/>
    <w:rsid w:val="00D34457"/>
    <w:rsid w:val="00D348FF"/>
    <w:rsid w:val="00D34DC5"/>
    <w:rsid w:val="00D35257"/>
    <w:rsid w:val="00D354CE"/>
    <w:rsid w:val="00D35A2C"/>
    <w:rsid w:val="00D36254"/>
    <w:rsid w:val="00D367CF"/>
    <w:rsid w:val="00D36D6C"/>
    <w:rsid w:val="00D3727B"/>
    <w:rsid w:val="00D37312"/>
    <w:rsid w:val="00D37508"/>
    <w:rsid w:val="00D3767D"/>
    <w:rsid w:val="00D37D3A"/>
    <w:rsid w:val="00D401DF"/>
    <w:rsid w:val="00D409EC"/>
    <w:rsid w:val="00D40C5D"/>
    <w:rsid w:val="00D414B9"/>
    <w:rsid w:val="00D4188A"/>
    <w:rsid w:val="00D41B1B"/>
    <w:rsid w:val="00D4220C"/>
    <w:rsid w:val="00D42806"/>
    <w:rsid w:val="00D42884"/>
    <w:rsid w:val="00D4298E"/>
    <w:rsid w:val="00D42B56"/>
    <w:rsid w:val="00D43276"/>
    <w:rsid w:val="00D43368"/>
    <w:rsid w:val="00D43391"/>
    <w:rsid w:val="00D43BCB"/>
    <w:rsid w:val="00D441E8"/>
    <w:rsid w:val="00D44BA0"/>
    <w:rsid w:val="00D452DE"/>
    <w:rsid w:val="00D455BC"/>
    <w:rsid w:val="00D4581A"/>
    <w:rsid w:val="00D459C5"/>
    <w:rsid w:val="00D45E51"/>
    <w:rsid w:val="00D461ED"/>
    <w:rsid w:val="00D46275"/>
    <w:rsid w:val="00D46972"/>
    <w:rsid w:val="00D46BCA"/>
    <w:rsid w:val="00D46D76"/>
    <w:rsid w:val="00D4758C"/>
    <w:rsid w:val="00D477AC"/>
    <w:rsid w:val="00D47CCF"/>
    <w:rsid w:val="00D47E56"/>
    <w:rsid w:val="00D47FBF"/>
    <w:rsid w:val="00D50C23"/>
    <w:rsid w:val="00D50D0C"/>
    <w:rsid w:val="00D52095"/>
    <w:rsid w:val="00D52334"/>
    <w:rsid w:val="00D5278C"/>
    <w:rsid w:val="00D528E5"/>
    <w:rsid w:val="00D52A1C"/>
    <w:rsid w:val="00D52A55"/>
    <w:rsid w:val="00D53558"/>
    <w:rsid w:val="00D539C6"/>
    <w:rsid w:val="00D53B15"/>
    <w:rsid w:val="00D546C1"/>
    <w:rsid w:val="00D547A1"/>
    <w:rsid w:val="00D55AD4"/>
    <w:rsid w:val="00D55B3D"/>
    <w:rsid w:val="00D55E35"/>
    <w:rsid w:val="00D562F5"/>
    <w:rsid w:val="00D56688"/>
    <w:rsid w:val="00D56895"/>
    <w:rsid w:val="00D569CD"/>
    <w:rsid w:val="00D569D2"/>
    <w:rsid w:val="00D56F0F"/>
    <w:rsid w:val="00D57841"/>
    <w:rsid w:val="00D57E90"/>
    <w:rsid w:val="00D60201"/>
    <w:rsid w:val="00D604F0"/>
    <w:rsid w:val="00D604F9"/>
    <w:rsid w:val="00D60551"/>
    <w:rsid w:val="00D60A0F"/>
    <w:rsid w:val="00D60B8A"/>
    <w:rsid w:val="00D60C99"/>
    <w:rsid w:val="00D60D42"/>
    <w:rsid w:val="00D60E06"/>
    <w:rsid w:val="00D60F43"/>
    <w:rsid w:val="00D615D1"/>
    <w:rsid w:val="00D6211B"/>
    <w:rsid w:val="00D62547"/>
    <w:rsid w:val="00D62641"/>
    <w:rsid w:val="00D633E7"/>
    <w:rsid w:val="00D646B4"/>
    <w:rsid w:val="00D64D06"/>
    <w:rsid w:val="00D65020"/>
    <w:rsid w:val="00D657B7"/>
    <w:rsid w:val="00D66499"/>
    <w:rsid w:val="00D66561"/>
    <w:rsid w:val="00D668E2"/>
    <w:rsid w:val="00D67136"/>
    <w:rsid w:val="00D67BB2"/>
    <w:rsid w:val="00D67D72"/>
    <w:rsid w:val="00D70685"/>
    <w:rsid w:val="00D70800"/>
    <w:rsid w:val="00D71CAA"/>
    <w:rsid w:val="00D72940"/>
    <w:rsid w:val="00D72A37"/>
    <w:rsid w:val="00D72D48"/>
    <w:rsid w:val="00D73338"/>
    <w:rsid w:val="00D73444"/>
    <w:rsid w:val="00D73604"/>
    <w:rsid w:val="00D73F37"/>
    <w:rsid w:val="00D740B5"/>
    <w:rsid w:val="00D7452C"/>
    <w:rsid w:val="00D74ADB"/>
    <w:rsid w:val="00D75650"/>
    <w:rsid w:val="00D75788"/>
    <w:rsid w:val="00D75852"/>
    <w:rsid w:val="00D75B84"/>
    <w:rsid w:val="00D75EC7"/>
    <w:rsid w:val="00D7649C"/>
    <w:rsid w:val="00D7676B"/>
    <w:rsid w:val="00D768A3"/>
    <w:rsid w:val="00D76F7F"/>
    <w:rsid w:val="00D76F90"/>
    <w:rsid w:val="00D77369"/>
    <w:rsid w:val="00D80318"/>
    <w:rsid w:val="00D8075D"/>
    <w:rsid w:val="00D80A8A"/>
    <w:rsid w:val="00D80B68"/>
    <w:rsid w:val="00D812CB"/>
    <w:rsid w:val="00D8173A"/>
    <w:rsid w:val="00D81D03"/>
    <w:rsid w:val="00D82141"/>
    <w:rsid w:val="00D822EB"/>
    <w:rsid w:val="00D82863"/>
    <w:rsid w:val="00D836E2"/>
    <w:rsid w:val="00D8452F"/>
    <w:rsid w:val="00D84531"/>
    <w:rsid w:val="00D846AC"/>
    <w:rsid w:val="00D84C40"/>
    <w:rsid w:val="00D84EA2"/>
    <w:rsid w:val="00D86389"/>
    <w:rsid w:val="00D8734F"/>
    <w:rsid w:val="00D874FE"/>
    <w:rsid w:val="00D879BF"/>
    <w:rsid w:val="00D904E4"/>
    <w:rsid w:val="00D90B33"/>
    <w:rsid w:val="00D90C51"/>
    <w:rsid w:val="00D91799"/>
    <w:rsid w:val="00D918C4"/>
    <w:rsid w:val="00D91DC2"/>
    <w:rsid w:val="00D9216C"/>
    <w:rsid w:val="00D92701"/>
    <w:rsid w:val="00D931D3"/>
    <w:rsid w:val="00D93972"/>
    <w:rsid w:val="00D93DCC"/>
    <w:rsid w:val="00D94180"/>
    <w:rsid w:val="00D9448F"/>
    <w:rsid w:val="00D9492C"/>
    <w:rsid w:val="00D94B1C"/>
    <w:rsid w:val="00D94C95"/>
    <w:rsid w:val="00D94E85"/>
    <w:rsid w:val="00D95897"/>
    <w:rsid w:val="00D959D6"/>
    <w:rsid w:val="00D95C5B"/>
    <w:rsid w:val="00D96154"/>
    <w:rsid w:val="00D96243"/>
    <w:rsid w:val="00D964FE"/>
    <w:rsid w:val="00D968BA"/>
    <w:rsid w:val="00DA08C6"/>
    <w:rsid w:val="00DA095A"/>
    <w:rsid w:val="00DA09C2"/>
    <w:rsid w:val="00DA0A84"/>
    <w:rsid w:val="00DA0AE5"/>
    <w:rsid w:val="00DA14AE"/>
    <w:rsid w:val="00DA259E"/>
    <w:rsid w:val="00DA2BFB"/>
    <w:rsid w:val="00DA3587"/>
    <w:rsid w:val="00DA3B83"/>
    <w:rsid w:val="00DA3CCD"/>
    <w:rsid w:val="00DA3CF5"/>
    <w:rsid w:val="00DA46E2"/>
    <w:rsid w:val="00DA4919"/>
    <w:rsid w:val="00DA4963"/>
    <w:rsid w:val="00DA4DBE"/>
    <w:rsid w:val="00DA522C"/>
    <w:rsid w:val="00DA59AF"/>
    <w:rsid w:val="00DA5CA1"/>
    <w:rsid w:val="00DA6248"/>
    <w:rsid w:val="00DA6711"/>
    <w:rsid w:val="00DA74C1"/>
    <w:rsid w:val="00DA76EF"/>
    <w:rsid w:val="00DA79FF"/>
    <w:rsid w:val="00DB060B"/>
    <w:rsid w:val="00DB0FD9"/>
    <w:rsid w:val="00DB1C6C"/>
    <w:rsid w:val="00DB1F5D"/>
    <w:rsid w:val="00DB209B"/>
    <w:rsid w:val="00DB2D68"/>
    <w:rsid w:val="00DB3FA3"/>
    <w:rsid w:val="00DB40AB"/>
    <w:rsid w:val="00DB481F"/>
    <w:rsid w:val="00DB4AFA"/>
    <w:rsid w:val="00DB4BDA"/>
    <w:rsid w:val="00DB4DCA"/>
    <w:rsid w:val="00DB52C3"/>
    <w:rsid w:val="00DB55E6"/>
    <w:rsid w:val="00DB568E"/>
    <w:rsid w:val="00DB56AF"/>
    <w:rsid w:val="00DB5851"/>
    <w:rsid w:val="00DB766B"/>
    <w:rsid w:val="00DB77CE"/>
    <w:rsid w:val="00DB7A97"/>
    <w:rsid w:val="00DC02C4"/>
    <w:rsid w:val="00DC0F3B"/>
    <w:rsid w:val="00DC1034"/>
    <w:rsid w:val="00DC1A66"/>
    <w:rsid w:val="00DC2B9C"/>
    <w:rsid w:val="00DC3338"/>
    <w:rsid w:val="00DC3667"/>
    <w:rsid w:val="00DC40F8"/>
    <w:rsid w:val="00DC46D5"/>
    <w:rsid w:val="00DC46FD"/>
    <w:rsid w:val="00DC481D"/>
    <w:rsid w:val="00DC5733"/>
    <w:rsid w:val="00DC5B2E"/>
    <w:rsid w:val="00DC5FFA"/>
    <w:rsid w:val="00DC64C4"/>
    <w:rsid w:val="00DC6BEF"/>
    <w:rsid w:val="00DC789D"/>
    <w:rsid w:val="00DD08E9"/>
    <w:rsid w:val="00DD0D7B"/>
    <w:rsid w:val="00DD0F79"/>
    <w:rsid w:val="00DD1485"/>
    <w:rsid w:val="00DD2181"/>
    <w:rsid w:val="00DD21C3"/>
    <w:rsid w:val="00DD24BF"/>
    <w:rsid w:val="00DD2AB4"/>
    <w:rsid w:val="00DD2E65"/>
    <w:rsid w:val="00DD2EEE"/>
    <w:rsid w:val="00DD2FCE"/>
    <w:rsid w:val="00DD3013"/>
    <w:rsid w:val="00DD30BE"/>
    <w:rsid w:val="00DD3302"/>
    <w:rsid w:val="00DD3CF8"/>
    <w:rsid w:val="00DD5466"/>
    <w:rsid w:val="00DD57BA"/>
    <w:rsid w:val="00DD586F"/>
    <w:rsid w:val="00DD5AA5"/>
    <w:rsid w:val="00DD5C35"/>
    <w:rsid w:val="00DD5CD3"/>
    <w:rsid w:val="00DD682A"/>
    <w:rsid w:val="00DD6999"/>
    <w:rsid w:val="00DD704F"/>
    <w:rsid w:val="00DD7A15"/>
    <w:rsid w:val="00DE05CF"/>
    <w:rsid w:val="00DE0952"/>
    <w:rsid w:val="00DE192A"/>
    <w:rsid w:val="00DE1D07"/>
    <w:rsid w:val="00DE28E0"/>
    <w:rsid w:val="00DE330F"/>
    <w:rsid w:val="00DE3318"/>
    <w:rsid w:val="00DE338A"/>
    <w:rsid w:val="00DE3473"/>
    <w:rsid w:val="00DE3474"/>
    <w:rsid w:val="00DE3498"/>
    <w:rsid w:val="00DE3930"/>
    <w:rsid w:val="00DE393F"/>
    <w:rsid w:val="00DE50C8"/>
    <w:rsid w:val="00DE5434"/>
    <w:rsid w:val="00DE59A8"/>
    <w:rsid w:val="00DE6478"/>
    <w:rsid w:val="00DE66AB"/>
    <w:rsid w:val="00DE7069"/>
    <w:rsid w:val="00DE7A0D"/>
    <w:rsid w:val="00DF0197"/>
    <w:rsid w:val="00DF0667"/>
    <w:rsid w:val="00DF0A66"/>
    <w:rsid w:val="00DF0B9A"/>
    <w:rsid w:val="00DF0DF7"/>
    <w:rsid w:val="00DF1706"/>
    <w:rsid w:val="00DF1982"/>
    <w:rsid w:val="00DF1A5D"/>
    <w:rsid w:val="00DF230E"/>
    <w:rsid w:val="00DF2F4A"/>
    <w:rsid w:val="00DF315D"/>
    <w:rsid w:val="00DF32CE"/>
    <w:rsid w:val="00DF3362"/>
    <w:rsid w:val="00DF3785"/>
    <w:rsid w:val="00DF3A52"/>
    <w:rsid w:val="00DF4119"/>
    <w:rsid w:val="00DF45D3"/>
    <w:rsid w:val="00DF4AD3"/>
    <w:rsid w:val="00DF4DDD"/>
    <w:rsid w:val="00DF52AB"/>
    <w:rsid w:val="00DF53CC"/>
    <w:rsid w:val="00DF5A4C"/>
    <w:rsid w:val="00DF5D2D"/>
    <w:rsid w:val="00DF68FB"/>
    <w:rsid w:val="00DF694E"/>
    <w:rsid w:val="00DF6C2E"/>
    <w:rsid w:val="00E00AEA"/>
    <w:rsid w:val="00E00F7A"/>
    <w:rsid w:val="00E01025"/>
    <w:rsid w:val="00E011C5"/>
    <w:rsid w:val="00E013D6"/>
    <w:rsid w:val="00E01A3D"/>
    <w:rsid w:val="00E02098"/>
    <w:rsid w:val="00E0221B"/>
    <w:rsid w:val="00E02534"/>
    <w:rsid w:val="00E02FC9"/>
    <w:rsid w:val="00E034A3"/>
    <w:rsid w:val="00E03793"/>
    <w:rsid w:val="00E04282"/>
    <w:rsid w:val="00E04C42"/>
    <w:rsid w:val="00E04CD1"/>
    <w:rsid w:val="00E04F36"/>
    <w:rsid w:val="00E05459"/>
    <w:rsid w:val="00E0559A"/>
    <w:rsid w:val="00E0696E"/>
    <w:rsid w:val="00E06C4B"/>
    <w:rsid w:val="00E06E20"/>
    <w:rsid w:val="00E0777E"/>
    <w:rsid w:val="00E0798B"/>
    <w:rsid w:val="00E07C32"/>
    <w:rsid w:val="00E100D7"/>
    <w:rsid w:val="00E11057"/>
    <w:rsid w:val="00E1105F"/>
    <w:rsid w:val="00E1169A"/>
    <w:rsid w:val="00E116E6"/>
    <w:rsid w:val="00E12822"/>
    <w:rsid w:val="00E13074"/>
    <w:rsid w:val="00E13809"/>
    <w:rsid w:val="00E13D25"/>
    <w:rsid w:val="00E14613"/>
    <w:rsid w:val="00E14A7D"/>
    <w:rsid w:val="00E14B9F"/>
    <w:rsid w:val="00E15153"/>
    <w:rsid w:val="00E15AC4"/>
    <w:rsid w:val="00E15E89"/>
    <w:rsid w:val="00E15F4B"/>
    <w:rsid w:val="00E15FFD"/>
    <w:rsid w:val="00E1673E"/>
    <w:rsid w:val="00E16C91"/>
    <w:rsid w:val="00E203AD"/>
    <w:rsid w:val="00E2046D"/>
    <w:rsid w:val="00E205E7"/>
    <w:rsid w:val="00E211F0"/>
    <w:rsid w:val="00E21617"/>
    <w:rsid w:val="00E21E5A"/>
    <w:rsid w:val="00E22561"/>
    <w:rsid w:val="00E2283D"/>
    <w:rsid w:val="00E2298F"/>
    <w:rsid w:val="00E22AD2"/>
    <w:rsid w:val="00E2321A"/>
    <w:rsid w:val="00E23712"/>
    <w:rsid w:val="00E2423D"/>
    <w:rsid w:val="00E24500"/>
    <w:rsid w:val="00E24894"/>
    <w:rsid w:val="00E24A24"/>
    <w:rsid w:val="00E24A46"/>
    <w:rsid w:val="00E24F18"/>
    <w:rsid w:val="00E2575F"/>
    <w:rsid w:val="00E2586C"/>
    <w:rsid w:val="00E267FA"/>
    <w:rsid w:val="00E27036"/>
    <w:rsid w:val="00E270A9"/>
    <w:rsid w:val="00E2796D"/>
    <w:rsid w:val="00E2796F"/>
    <w:rsid w:val="00E27B64"/>
    <w:rsid w:val="00E27FB7"/>
    <w:rsid w:val="00E303FA"/>
    <w:rsid w:val="00E30663"/>
    <w:rsid w:val="00E30C17"/>
    <w:rsid w:val="00E30F6A"/>
    <w:rsid w:val="00E31122"/>
    <w:rsid w:val="00E31329"/>
    <w:rsid w:val="00E313A8"/>
    <w:rsid w:val="00E31C78"/>
    <w:rsid w:val="00E31C8D"/>
    <w:rsid w:val="00E32777"/>
    <w:rsid w:val="00E32EB2"/>
    <w:rsid w:val="00E33A79"/>
    <w:rsid w:val="00E33B6C"/>
    <w:rsid w:val="00E33B86"/>
    <w:rsid w:val="00E33C03"/>
    <w:rsid w:val="00E33D2D"/>
    <w:rsid w:val="00E341E9"/>
    <w:rsid w:val="00E3456B"/>
    <w:rsid w:val="00E34731"/>
    <w:rsid w:val="00E34F5E"/>
    <w:rsid w:val="00E3532C"/>
    <w:rsid w:val="00E35DB3"/>
    <w:rsid w:val="00E366E2"/>
    <w:rsid w:val="00E36EE9"/>
    <w:rsid w:val="00E37244"/>
    <w:rsid w:val="00E3778F"/>
    <w:rsid w:val="00E37F6A"/>
    <w:rsid w:val="00E40274"/>
    <w:rsid w:val="00E40300"/>
    <w:rsid w:val="00E4047A"/>
    <w:rsid w:val="00E40497"/>
    <w:rsid w:val="00E4058E"/>
    <w:rsid w:val="00E40D9D"/>
    <w:rsid w:val="00E4101D"/>
    <w:rsid w:val="00E41188"/>
    <w:rsid w:val="00E425DC"/>
    <w:rsid w:val="00E42696"/>
    <w:rsid w:val="00E4287B"/>
    <w:rsid w:val="00E43112"/>
    <w:rsid w:val="00E43749"/>
    <w:rsid w:val="00E43B0B"/>
    <w:rsid w:val="00E43B7E"/>
    <w:rsid w:val="00E44068"/>
    <w:rsid w:val="00E44284"/>
    <w:rsid w:val="00E442B0"/>
    <w:rsid w:val="00E44355"/>
    <w:rsid w:val="00E4449E"/>
    <w:rsid w:val="00E457E8"/>
    <w:rsid w:val="00E45938"/>
    <w:rsid w:val="00E45A41"/>
    <w:rsid w:val="00E45B17"/>
    <w:rsid w:val="00E45FFD"/>
    <w:rsid w:val="00E4629C"/>
    <w:rsid w:val="00E463AC"/>
    <w:rsid w:val="00E470E3"/>
    <w:rsid w:val="00E4789C"/>
    <w:rsid w:val="00E50044"/>
    <w:rsid w:val="00E50057"/>
    <w:rsid w:val="00E500AC"/>
    <w:rsid w:val="00E5029C"/>
    <w:rsid w:val="00E50A3F"/>
    <w:rsid w:val="00E50B88"/>
    <w:rsid w:val="00E50E24"/>
    <w:rsid w:val="00E51EE2"/>
    <w:rsid w:val="00E52995"/>
    <w:rsid w:val="00E52BA5"/>
    <w:rsid w:val="00E52EEA"/>
    <w:rsid w:val="00E530A5"/>
    <w:rsid w:val="00E534E3"/>
    <w:rsid w:val="00E536A8"/>
    <w:rsid w:val="00E53EFF"/>
    <w:rsid w:val="00E54A3A"/>
    <w:rsid w:val="00E54B51"/>
    <w:rsid w:val="00E55700"/>
    <w:rsid w:val="00E558E9"/>
    <w:rsid w:val="00E55BB9"/>
    <w:rsid w:val="00E55E8A"/>
    <w:rsid w:val="00E56968"/>
    <w:rsid w:val="00E56E36"/>
    <w:rsid w:val="00E571C5"/>
    <w:rsid w:val="00E57810"/>
    <w:rsid w:val="00E578D4"/>
    <w:rsid w:val="00E57E2D"/>
    <w:rsid w:val="00E60185"/>
    <w:rsid w:val="00E60BA2"/>
    <w:rsid w:val="00E61047"/>
    <w:rsid w:val="00E618E2"/>
    <w:rsid w:val="00E61CF5"/>
    <w:rsid w:val="00E62329"/>
    <w:rsid w:val="00E62BAD"/>
    <w:rsid w:val="00E630D8"/>
    <w:rsid w:val="00E6315A"/>
    <w:rsid w:val="00E63917"/>
    <w:rsid w:val="00E63A18"/>
    <w:rsid w:val="00E63A25"/>
    <w:rsid w:val="00E64BCC"/>
    <w:rsid w:val="00E6508D"/>
    <w:rsid w:val="00E65975"/>
    <w:rsid w:val="00E65F35"/>
    <w:rsid w:val="00E65F61"/>
    <w:rsid w:val="00E6714E"/>
    <w:rsid w:val="00E67610"/>
    <w:rsid w:val="00E67E44"/>
    <w:rsid w:val="00E7090A"/>
    <w:rsid w:val="00E712F7"/>
    <w:rsid w:val="00E71BBF"/>
    <w:rsid w:val="00E71BD4"/>
    <w:rsid w:val="00E71EF8"/>
    <w:rsid w:val="00E7218A"/>
    <w:rsid w:val="00E72E2F"/>
    <w:rsid w:val="00E72F6E"/>
    <w:rsid w:val="00E733A6"/>
    <w:rsid w:val="00E73A09"/>
    <w:rsid w:val="00E73A0E"/>
    <w:rsid w:val="00E73B9F"/>
    <w:rsid w:val="00E741D2"/>
    <w:rsid w:val="00E743CF"/>
    <w:rsid w:val="00E74804"/>
    <w:rsid w:val="00E74D2A"/>
    <w:rsid w:val="00E74E7D"/>
    <w:rsid w:val="00E74E8C"/>
    <w:rsid w:val="00E759C3"/>
    <w:rsid w:val="00E75AE4"/>
    <w:rsid w:val="00E76053"/>
    <w:rsid w:val="00E76298"/>
    <w:rsid w:val="00E76986"/>
    <w:rsid w:val="00E775AE"/>
    <w:rsid w:val="00E77E04"/>
    <w:rsid w:val="00E810C3"/>
    <w:rsid w:val="00E810CB"/>
    <w:rsid w:val="00E814EB"/>
    <w:rsid w:val="00E81C78"/>
    <w:rsid w:val="00E827D6"/>
    <w:rsid w:val="00E82872"/>
    <w:rsid w:val="00E82CFF"/>
    <w:rsid w:val="00E82DFF"/>
    <w:rsid w:val="00E82FDB"/>
    <w:rsid w:val="00E83394"/>
    <w:rsid w:val="00E83910"/>
    <w:rsid w:val="00E83D73"/>
    <w:rsid w:val="00E84950"/>
    <w:rsid w:val="00E85519"/>
    <w:rsid w:val="00E855A3"/>
    <w:rsid w:val="00E855B7"/>
    <w:rsid w:val="00E85705"/>
    <w:rsid w:val="00E857A7"/>
    <w:rsid w:val="00E85F3B"/>
    <w:rsid w:val="00E862DF"/>
    <w:rsid w:val="00E863D5"/>
    <w:rsid w:val="00E86A20"/>
    <w:rsid w:val="00E86B8B"/>
    <w:rsid w:val="00E86F32"/>
    <w:rsid w:val="00E9004E"/>
    <w:rsid w:val="00E90252"/>
    <w:rsid w:val="00E90685"/>
    <w:rsid w:val="00E90E61"/>
    <w:rsid w:val="00E91632"/>
    <w:rsid w:val="00E93392"/>
    <w:rsid w:val="00E93460"/>
    <w:rsid w:val="00E938F2"/>
    <w:rsid w:val="00E940E9"/>
    <w:rsid w:val="00E9432A"/>
    <w:rsid w:val="00E94E34"/>
    <w:rsid w:val="00E94F94"/>
    <w:rsid w:val="00E95A5A"/>
    <w:rsid w:val="00E95DA0"/>
    <w:rsid w:val="00E95F9D"/>
    <w:rsid w:val="00E966DB"/>
    <w:rsid w:val="00E96AC5"/>
    <w:rsid w:val="00E96BF5"/>
    <w:rsid w:val="00E979C6"/>
    <w:rsid w:val="00E97B72"/>
    <w:rsid w:val="00EA0306"/>
    <w:rsid w:val="00EA03D7"/>
    <w:rsid w:val="00EA0950"/>
    <w:rsid w:val="00EA0A63"/>
    <w:rsid w:val="00EA0B01"/>
    <w:rsid w:val="00EA15EF"/>
    <w:rsid w:val="00EA1769"/>
    <w:rsid w:val="00EA247C"/>
    <w:rsid w:val="00EA2743"/>
    <w:rsid w:val="00EA2833"/>
    <w:rsid w:val="00EA2865"/>
    <w:rsid w:val="00EA31CE"/>
    <w:rsid w:val="00EA3DDC"/>
    <w:rsid w:val="00EA423A"/>
    <w:rsid w:val="00EA44CB"/>
    <w:rsid w:val="00EA4B1E"/>
    <w:rsid w:val="00EA4F72"/>
    <w:rsid w:val="00EA520D"/>
    <w:rsid w:val="00EA5527"/>
    <w:rsid w:val="00EA5762"/>
    <w:rsid w:val="00EA5A37"/>
    <w:rsid w:val="00EA5B8D"/>
    <w:rsid w:val="00EA5CF2"/>
    <w:rsid w:val="00EA6FCF"/>
    <w:rsid w:val="00EA7023"/>
    <w:rsid w:val="00EA7104"/>
    <w:rsid w:val="00EA71D8"/>
    <w:rsid w:val="00EA7304"/>
    <w:rsid w:val="00EA7355"/>
    <w:rsid w:val="00EA7406"/>
    <w:rsid w:val="00EA789D"/>
    <w:rsid w:val="00EA7974"/>
    <w:rsid w:val="00EA7A24"/>
    <w:rsid w:val="00EA7BF3"/>
    <w:rsid w:val="00EB017E"/>
    <w:rsid w:val="00EB04CA"/>
    <w:rsid w:val="00EB127D"/>
    <w:rsid w:val="00EB2264"/>
    <w:rsid w:val="00EB237F"/>
    <w:rsid w:val="00EB241C"/>
    <w:rsid w:val="00EB3260"/>
    <w:rsid w:val="00EB348A"/>
    <w:rsid w:val="00EB34B8"/>
    <w:rsid w:val="00EB382D"/>
    <w:rsid w:val="00EB3C63"/>
    <w:rsid w:val="00EB3C96"/>
    <w:rsid w:val="00EB3E52"/>
    <w:rsid w:val="00EB432C"/>
    <w:rsid w:val="00EB469B"/>
    <w:rsid w:val="00EB4A63"/>
    <w:rsid w:val="00EB504F"/>
    <w:rsid w:val="00EB5275"/>
    <w:rsid w:val="00EB5599"/>
    <w:rsid w:val="00EB55B7"/>
    <w:rsid w:val="00EB6182"/>
    <w:rsid w:val="00EB6225"/>
    <w:rsid w:val="00EB6539"/>
    <w:rsid w:val="00EB6937"/>
    <w:rsid w:val="00EB70BA"/>
    <w:rsid w:val="00EB7151"/>
    <w:rsid w:val="00EB74F4"/>
    <w:rsid w:val="00EB75BF"/>
    <w:rsid w:val="00EB75F3"/>
    <w:rsid w:val="00EC075C"/>
    <w:rsid w:val="00EC0F10"/>
    <w:rsid w:val="00EC13FE"/>
    <w:rsid w:val="00EC16EF"/>
    <w:rsid w:val="00EC1E30"/>
    <w:rsid w:val="00EC1F31"/>
    <w:rsid w:val="00EC2402"/>
    <w:rsid w:val="00EC2BE8"/>
    <w:rsid w:val="00EC3223"/>
    <w:rsid w:val="00EC3B9E"/>
    <w:rsid w:val="00EC4137"/>
    <w:rsid w:val="00EC4362"/>
    <w:rsid w:val="00EC4AC9"/>
    <w:rsid w:val="00EC4D3E"/>
    <w:rsid w:val="00EC51E6"/>
    <w:rsid w:val="00EC54E2"/>
    <w:rsid w:val="00EC5D39"/>
    <w:rsid w:val="00EC5EEE"/>
    <w:rsid w:val="00EC6066"/>
    <w:rsid w:val="00EC6BAD"/>
    <w:rsid w:val="00EC6BD8"/>
    <w:rsid w:val="00EC6C23"/>
    <w:rsid w:val="00EC705F"/>
    <w:rsid w:val="00EC7106"/>
    <w:rsid w:val="00EC73B0"/>
    <w:rsid w:val="00EC78ED"/>
    <w:rsid w:val="00EC7DCA"/>
    <w:rsid w:val="00ED05E5"/>
    <w:rsid w:val="00ED1271"/>
    <w:rsid w:val="00ED14E7"/>
    <w:rsid w:val="00ED1A7B"/>
    <w:rsid w:val="00ED1C96"/>
    <w:rsid w:val="00ED1F42"/>
    <w:rsid w:val="00ED2A57"/>
    <w:rsid w:val="00ED2E20"/>
    <w:rsid w:val="00ED2E3B"/>
    <w:rsid w:val="00ED397D"/>
    <w:rsid w:val="00ED3D9B"/>
    <w:rsid w:val="00ED41E4"/>
    <w:rsid w:val="00ED4213"/>
    <w:rsid w:val="00ED4858"/>
    <w:rsid w:val="00ED65A6"/>
    <w:rsid w:val="00ED6B63"/>
    <w:rsid w:val="00ED6CB5"/>
    <w:rsid w:val="00ED6E0C"/>
    <w:rsid w:val="00ED6EBD"/>
    <w:rsid w:val="00ED7149"/>
    <w:rsid w:val="00ED7358"/>
    <w:rsid w:val="00ED7364"/>
    <w:rsid w:val="00ED74D7"/>
    <w:rsid w:val="00ED7E48"/>
    <w:rsid w:val="00EE0009"/>
    <w:rsid w:val="00EE0983"/>
    <w:rsid w:val="00EE1A96"/>
    <w:rsid w:val="00EE1B99"/>
    <w:rsid w:val="00EE1C5E"/>
    <w:rsid w:val="00EE1DEE"/>
    <w:rsid w:val="00EE219C"/>
    <w:rsid w:val="00EE232B"/>
    <w:rsid w:val="00EE236B"/>
    <w:rsid w:val="00EE29A9"/>
    <w:rsid w:val="00EE2CC4"/>
    <w:rsid w:val="00EE3254"/>
    <w:rsid w:val="00EE40A4"/>
    <w:rsid w:val="00EE41B4"/>
    <w:rsid w:val="00EE48DD"/>
    <w:rsid w:val="00EE4906"/>
    <w:rsid w:val="00EE4C62"/>
    <w:rsid w:val="00EE5DD9"/>
    <w:rsid w:val="00EE5ED8"/>
    <w:rsid w:val="00EE67D8"/>
    <w:rsid w:val="00EE6A77"/>
    <w:rsid w:val="00EE6DF1"/>
    <w:rsid w:val="00EE7646"/>
    <w:rsid w:val="00EE7779"/>
    <w:rsid w:val="00EE7DF9"/>
    <w:rsid w:val="00EE7F14"/>
    <w:rsid w:val="00EF0051"/>
    <w:rsid w:val="00EF0314"/>
    <w:rsid w:val="00EF089C"/>
    <w:rsid w:val="00EF0A37"/>
    <w:rsid w:val="00EF0CB4"/>
    <w:rsid w:val="00EF0F6E"/>
    <w:rsid w:val="00EF129C"/>
    <w:rsid w:val="00EF15DA"/>
    <w:rsid w:val="00EF1A8C"/>
    <w:rsid w:val="00EF1B10"/>
    <w:rsid w:val="00EF1C31"/>
    <w:rsid w:val="00EF1C42"/>
    <w:rsid w:val="00EF1DDA"/>
    <w:rsid w:val="00EF27FA"/>
    <w:rsid w:val="00EF34F9"/>
    <w:rsid w:val="00EF3A76"/>
    <w:rsid w:val="00EF3B2B"/>
    <w:rsid w:val="00EF3C58"/>
    <w:rsid w:val="00EF44BC"/>
    <w:rsid w:val="00EF4829"/>
    <w:rsid w:val="00EF4CD7"/>
    <w:rsid w:val="00EF510E"/>
    <w:rsid w:val="00EF534C"/>
    <w:rsid w:val="00EF5E8F"/>
    <w:rsid w:val="00EF5F94"/>
    <w:rsid w:val="00EF62A0"/>
    <w:rsid w:val="00EF6787"/>
    <w:rsid w:val="00EF6E2A"/>
    <w:rsid w:val="00EF75F0"/>
    <w:rsid w:val="00F002A0"/>
    <w:rsid w:val="00F006C5"/>
    <w:rsid w:val="00F00731"/>
    <w:rsid w:val="00F00A7D"/>
    <w:rsid w:val="00F01831"/>
    <w:rsid w:val="00F01A32"/>
    <w:rsid w:val="00F01F41"/>
    <w:rsid w:val="00F02325"/>
    <w:rsid w:val="00F02392"/>
    <w:rsid w:val="00F03481"/>
    <w:rsid w:val="00F035A2"/>
    <w:rsid w:val="00F03DE4"/>
    <w:rsid w:val="00F041E6"/>
    <w:rsid w:val="00F04665"/>
    <w:rsid w:val="00F04AAC"/>
    <w:rsid w:val="00F05228"/>
    <w:rsid w:val="00F05D8B"/>
    <w:rsid w:val="00F06455"/>
    <w:rsid w:val="00F06948"/>
    <w:rsid w:val="00F06B25"/>
    <w:rsid w:val="00F06B7D"/>
    <w:rsid w:val="00F0727B"/>
    <w:rsid w:val="00F079D4"/>
    <w:rsid w:val="00F07C34"/>
    <w:rsid w:val="00F1049F"/>
    <w:rsid w:val="00F108D4"/>
    <w:rsid w:val="00F11564"/>
    <w:rsid w:val="00F11B63"/>
    <w:rsid w:val="00F11FB1"/>
    <w:rsid w:val="00F12EC9"/>
    <w:rsid w:val="00F13439"/>
    <w:rsid w:val="00F141D6"/>
    <w:rsid w:val="00F14539"/>
    <w:rsid w:val="00F14E67"/>
    <w:rsid w:val="00F15217"/>
    <w:rsid w:val="00F1571D"/>
    <w:rsid w:val="00F15A34"/>
    <w:rsid w:val="00F1604B"/>
    <w:rsid w:val="00F1749D"/>
    <w:rsid w:val="00F205B9"/>
    <w:rsid w:val="00F2079A"/>
    <w:rsid w:val="00F20BF3"/>
    <w:rsid w:val="00F20C06"/>
    <w:rsid w:val="00F2136E"/>
    <w:rsid w:val="00F219DE"/>
    <w:rsid w:val="00F21E8B"/>
    <w:rsid w:val="00F226E0"/>
    <w:rsid w:val="00F22B59"/>
    <w:rsid w:val="00F2338B"/>
    <w:rsid w:val="00F2403C"/>
    <w:rsid w:val="00F24231"/>
    <w:rsid w:val="00F244EC"/>
    <w:rsid w:val="00F248FA"/>
    <w:rsid w:val="00F26539"/>
    <w:rsid w:val="00F269E9"/>
    <w:rsid w:val="00F26BDC"/>
    <w:rsid w:val="00F27063"/>
    <w:rsid w:val="00F27589"/>
    <w:rsid w:val="00F2769E"/>
    <w:rsid w:val="00F276BE"/>
    <w:rsid w:val="00F278AE"/>
    <w:rsid w:val="00F301C5"/>
    <w:rsid w:val="00F30C61"/>
    <w:rsid w:val="00F30D54"/>
    <w:rsid w:val="00F30E36"/>
    <w:rsid w:val="00F312C6"/>
    <w:rsid w:val="00F31BC4"/>
    <w:rsid w:val="00F3206F"/>
    <w:rsid w:val="00F32423"/>
    <w:rsid w:val="00F32631"/>
    <w:rsid w:val="00F32E77"/>
    <w:rsid w:val="00F331C3"/>
    <w:rsid w:val="00F33207"/>
    <w:rsid w:val="00F33255"/>
    <w:rsid w:val="00F33606"/>
    <w:rsid w:val="00F33681"/>
    <w:rsid w:val="00F346F9"/>
    <w:rsid w:val="00F34887"/>
    <w:rsid w:val="00F357F3"/>
    <w:rsid w:val="00F35831"/>
    <w:rsid w:val="00F35971"/>
    <w:rsid w:val="00F35C3F"/>
    <w:rsid w:val="00F36015"/>
    <w:rsid w:val="00F361D6"/>
    <w:rsid w:val="00F3621E"/>
    <w:rsid w:val="00F36730"/>
    <w:rsid w:val="00F36DAD"/>
    <w:rsid w:val="00F37135"/>
    <w:rsid w:val="00F37686"/>
    <w:rsid w:val="00F37D5E"/>
    <w:rsid w:val="00F401E8"/>
    <w:rsid w:val="00F4028F"/>
    <w:rsid w:val="00F40363"/>
    <w:rsid w:val="00F41049"/>
    <w:rsid w:val="00F4113A"/>
    <w:rsid w:val="00F41558"/>
    <w:rsid w:val="00F418AA"/>
    <w:rsid w:val="00F41964"/>
    <w:rsid w:val="00F41B5B"/>
    <w:rsid w:val="00F41E54"/>
    <w:rsid w:val="00F424FB"/>
    <w:rsid w:val="00F42D9B"/>
    <w:rsid w:val="00F431F6"/>
    <w:rsid w:val="00F432E6"/>
    <w:rsid w:val="00F43670"/>
    <w:rsid w:val="00F437BC"/>
    <w:rsid w:val="00F45314"/>
    <w:rsid w:val="00F453C1"/>
    <w:rsid w:val="00F466FA"/>
    <w:rsid w:val="00F46CD1"/>
    <w:rsid w:val="00F46E7B"/>
    <w:rsid w:val="00F472A3"/>
    <w:rsid w:val="00F47402"/>
    <w:rsid w:val="00F47697"/>
    <w:rsid w:val="00F479AB"/>
    <w:rsid w:val="00F503C2"/>
    <w:rsid w:val="00F50D66"/>
    <w:rsid w:val="00F51EFB"/>
    <w:rsid w:val="00F51F9A"/>
    <w:rsid w:val="00F52098"/>
    <w:rsid w:val="00F5225B"/>
    <w:rsid w:val="00F52CC0"/>
    <w:rsid w:val="00F52E42"/>
    <w:rsid w:val="00F52FDD"/>
    <w:rsid w:val="00F53304"/>
    <w:rsid w:val="00F53535"/>
    <w:rsid w:val="00F53576"/>
    <w:rsid w:val="00F537FA"/>
    <w:rsid w:val="00F53985"/>
    <w:rsid w:val="00F539D9"/>
    <w:rsid w:val="00F53AE9"/>
    <w:rsid w:val="00F53BCB"/>
    <w:rsid w:val="00F53CE4"/>
    <w:rsid w:val="00F53F33"/>
    <w:rsid w:val="00F53FE8"/>
    <w:rsid w:val="00F541D9"/>
    <w:rsid w:val="00F54647"/>
    <w:rsid w:val="00F54D98"/>
    <w:rsid w:val="00F55736"/>
    <w:rsid w:val="00F55D8C"/>
    <w:rsid w:val="00F57154"/>
    <w:rsid w:val="00F5742C"/>
    <w:rsid w:val="00F5745D"/>
    <w:rsid w:val="00F57730"/>
    <w:rsid w:val="00F5777C"/>
    <w:rsid w:val="00F57888"/>
    <w:rsid w:val="00F57D1C"/>
    <w:rsid w:val="00F57D30"/>
    <w:rsid w:val="00F57EC0"/>
    <w:rsid w:val="00F60620"/>
    <w:rsid w:val="00F609CF"/>
    <w:rsid w:val="00F615DC"/>
    <w:rsid w:val="00F617D8"/>
    <w:rsid w:val="00F61C39"/>
    <w:rsid w:val="00F61FB0"/>
    <w:rsid w:val="00F6217B"/>
    <w:rsid w:val="00F62923"/>
    <w:rsid w:val="00F62A02"/>
    <w:rsid w:val="00F633BC"/>
    <w:rsid w:val="00F6424A"/>
    <w:rsid w:val="00F64476"/>
    <w:rsid w:val="00F64991"/>
    <w:rsid w:val="00F64A65"/>
    <w:rsid w:val="00F65E43"/>
    <w:rsid w:val="00F66041"/>
    <w:rsid w:val="00F66C81"/>
    <w:rsid w:val="00F66CA3"/>
    <w:rsid w:val="00F66F90"/>
    <w:rsid w:val="00F67EBD"/>
    <w:rsid w:val="00F70478"/>
    <w:rsid w:val="00F705CF"/>
    <w:rsid w:val="00F70BA2"/>
    <w:rsid w:val="00F70CB3"/>
    <w:rsid w:val="00F7103B"/>
    <w:rsid w:val="00F71157"/>
    <w:rsid w:val="00F71A32"/>
    <w:rsid w:val="00F71B05"/>
    <w:rsid w:val="00F721EF"/>
    <w:rsid w:val="00F72548"/>
    <w:rsid w:val="00F72CFC"/>
    <w:rsid w:val="00F72D28"/>
    <w:rsid w:val="00F7313C"/>
    <w:rsid w:val="00F732C1"/>
    <w:rsid w:val="00F73382"/>
    <w:rsid w:val="00F738EE"/>
    <w:rsid w:val="00F73DEC"/>
    <w:rsid w:val="00F74C4E"/>
    <w:rsid w:val="00F75351"/>
    <w:rsid w:val="00F75407"/>
    <w:rsid w:val="00F76801"/>
    <w:rsid w:val="00F76B8E"/>
    <w:rsid w:val="00F76F09"/>
    <w:rsid w:val="00F76F93"/>
    <w:rsid w:val="00F76FA4"/>
    <w:rsid w:val="00F76FEF"/>
    <w:rsid w:val="00F76FFA"/>
    <w:rsid w:val="00F77392"/>
    <w:rsid w:val="00F775C7"/>
    <w:rsid w:val="00F77D99"/>
    <w:rsid w:val="00F80158"/>
    <w:rsid w:val="00F801A1"/>
    <w:rsid w:val="00F80815"/>
    <w:rsid w:val="00F80AC2"/>
    <w:rsid w:val="00F80CD8"/>
    <w:rsid w:val="00F80FAB"/>
    <w:rsid w:val="00F81076"/>
    <w:rsid w:val="00F8149E"/>
    <w:rsid w:val="00F819A0"/>
    <w:rsid w:val="00F81ABB"/>
    <w:rsid w:val="00F81C79"/>
    <w:rsid w:val="00F81D5B"/>
    <w:rsid w:val="00F81D9E"/>
    <w:rsid w:val="00F82262"/>
    <w:rsid w:val="00F82EE4"/>
    <w:rsid w:val="00F842B4"/>
    <w:rsid w:val="00F8472B"/>
    <w:rsid w:val="00F84AFA"/>
    <w:rsid w:val="00F84BC8"/>
    <w:rsid w:val="00F84CBC"/>
    <w:rsid w:val="00F84D46"/>
    <w:rsid w:val="00F85101"/>
    <w:rsid w:val="00F85326"/>
    <w:rsid w:val="00F85424"/>
    <w:rsid w:val="00F8555C"/>
    <w:rsid w:val="00F85660"/>
    <w:rsid w:val="00F85707"/>
    <w:rsid w:val="00F85C22"/>
    <w:rsid w:val="00F85EFD"/>
    <w:rsid w:val="00F85F30"/>
    <w:rsid w:val="00F864FC"/>
    <w:rsid w:val="00F87261"/>
    <w:rsid w:val="00F87C05"/>
    <w:rsid w:val="00F87C1E"/>
    <w:rsid w:val="00F87CE8"/>
    <w:rsid w:val="00F87EB9"/>
    <w:rsid w:val="00F900BF"/>
    <w:rsid w:val="00F908CB"/>
    <w:rsid w:val="00F90BD9"/>
    <w:rsid w:val="00F91669"/>
    <w:rsid w:val="00F9175E"/>
    <w:rsid w:val="00F9189F"/>
    <w:rsid w:val="00F91FAF"/>
    <w:rsid w:val="00F92FB8"/>
    <w:rsid w:val="00F9350F"/>
    <w:rsid w:val="00F935EF"/>
    <w:rsid w:val="00F93D06"/>
    <w:rsid w:val="00F93D1A"/>
    <w:rsid w:val="00F9413E"/>
    <w:rsid w:val="00F94351"/>
    <w:rsid w:val="00F945FF"/>
    <w:rsid w:val="00F9495A"/>
    <w:rsid w:val="00F94DCF"/>
    <w:rsid w:val="00F9565D"/>
    <w:rsid w:val="00F956E3"/>
    <w:rsid w:val="00F95A07"/>
    <w:rsid w:val="00F95C15"/>
    <w:rsid w:val="00F95DE9"/>
    <w:rsid w:val="00F95F1A"/>
    <w:rsid w:val="00F9611B"/>
    <w:rsid w:val="00F96139"/>
    <w:rsid w:val="00F9665F"/>
    <w:rsid w:val="00F96973"/>
    <w:rsid w:val="00F96A6B"/>
    <w:rsid w:val="00F96ACC"/>
    <w:rsid w:val="00F96D9D"/>
    <w:rsid w:val="00F97465"/>
    <w:rsid w:val="00F974E5"/>
    <w:rsid w:val="00F97A98"/>
    <w:rsid w:val="00FA00DB"/>
    <w:rsid w:val="00FA02FB"/>
    <w:rsid w:val="00FA0D39"/>
    <w:rsid w:val="00FA0D71"/>
    <w:rsid w:val="00FA1852"/>
    <w:rsid w:val="00FA2266"/>
    <w:rsid w:val="00FA229C"/>
    <w:rsid w:val="00FA22C9"/>
    <w:rsid w:val="00FA24DB"/>
    <w:rsid w:val="00FA2D03"/>
    <w:rsid w:val="00FA3570"/>
    <w:rsid w:val="00FA389D"/>
    <w:rsid w:val="00FA3A80"/>
    <w:rsid w:val="00FA4E66"/>
    <w:rsid w:val="00FA5067"/>
    <w:rsid w:val="00FA5192"/>
    <w:rsid w:val="00FA53B0"/>
    <w:rsid w:val="00FA5756"/>
    <w:rsid w:val="00FA57B3"/>
    <w:rsid w:val="00FA64C0"/>
    <w:rsid w:val="00FA6A88"/>
    <w:rsid w:val="00FB0A01"/>
    <w:rsid w:val="00FB0C7C"/>
    <w:rsid w:val="00FB0DD1"/>
    <w:rsid w:val="00FB2318"/>
    <w:rsid w:val="00FB293B"/>
    <w:rsid w:val="00FB2CFA"/>
    <w:rsid w:val="00FB2FEC"/>
    <w:rsid w:val="00FB3051"/>
    <w:rsid w:val="00FB326E"/>
    <w:rsid w:val="00FB3626"/>
    <w:rsid w:val="00FB3A04"/>
    <w:rsid w:val="00FB3B3B"/>
    <w:rsid w:val="00FB442C"/>
    <w:rsid w:val="00FB456A"/>
    <w:rsid w:val="00FB4A19"/>
    <w:rsid w:val="00FB4E50"/>
    <w:rsid w:val="00FB4EAE"/>
    <w:rsid w:val="00FB5035"/>
    <w:rsid w:val="00FB65CC"/>
    <w:rsid w:val="00FB6B7C"/>
    <w:rsid w:val="00FB6E09"/>
    <w:rsid w:val="00FB71BB"/>
    <w:rsid w:val="00FB76DD"/>
    <w:rsid w:val="00FB79F9"/>
    <w:rsid w:val="00FC0663"/>
    <w:rsid w:val="00FC0AD6"/>
    <w:rsid w:val="00FC0BDF"/>
    <w:rsid w:val="00FC141D"/>
    <w:rsid w:val="00FC14B6"/>
    <w:rsid w:val="00FC173A"/>
    <w:rsid w:val="00FC18B4"/>
    <w:rsid w:val="00FC18B5"/>
    <w:rsid w:val="00FC1CE0"/>
    <w:rsid w:val="00FC1FA2"/>
    <w:rsid w:val="00FC228C"/>
    <w:rsid w:val="00FC28D1"/>
    <w:rsid w:val="00FC298C"/>
    <w:rsid w:val="00FC2B97"/>
    <w:rsid w:val="00FC2CDF"/>
    <w:rsid w:val="00FC31FC"/>
    <w:rsid w:val="00FC3778"/>
    <w:rsid w:val="00FC3993"/>
    <w:rsid w:val="00FC4ACE"/>
    <w:rsid w:val="00FC505B"/>
    <w:rsid w:val="00FC52E5"/>
    <w:rsid w:val="00FC574B"/>
    <w:rsid w:val="00FC5986"/>
    <w:rsid w:val="00FC5A30"/>
    <w:rsid w:val="00FC5E51"/>
    <w:rsid w:val="00FC6043"/>
    <w:rsid w:val="00FC6872"/>
    <w:rsid w:val="00FC68F7"/>
    <w:rsid w:val="00FC6C45"/>
    <w:rsid w:val="00FC73F0"/>
    <w:rsid w:val="00FC763B"/>
    <w:rsid w:val="00FC76B3"/>
    <w:rsid w:val="00FC7851"/>
    <w:rsid w:val="00FD0060"/>
    <w:rsid w:val="00FD038D"/>
    <w:rsid w:val="00FD0F83"/>
    <w:rsid w:val="00FD1F52"/>
    <w:rsid w:val="00FD241D"/>
    <w:rsid w:val="00FD2720"/>
    <w:rsid w:val="00FD2F8E"/>
    <w:rsid w:val="00FD2FE9"/>
    <w:rsid w:val="00FD3547"/>
    <w:rsid w:val="00FD38D8"/>
    <w:rsid w:val="00FD414B"/>
    <w:rsid w:val="00FD4910"/>
    <w:rsid w:val="00FD4E39"/>
    <w:rsid w:val="00FD5262"/>
    <w:rsid w:val="00FD52E8"/>
    <w:rsid w:val="00FD567F"/>
    <w:rsid w:val="00FD6398"/>
    <w:rsid w:val="00FD66C4"/>
    <w:rsid w:val="00FD68EA"/>
    <w:rsid w:val="00FD7328"/>
    <w:rsid w:val="00FD772F"/>
    <w:rsid w:val="00FD77AF"/>
    <w:rsid w:val="00FE0364"/>
    <w:rsid w:val="00FE0EB1"/>
    <w:rsid w:val="00FE1327"/>
    <w:rsid w:val="00FE17F0"/>
    <w:rsid w:val="00FE1DDC"/>
    <w:rsid w:val="00FE2071"/>
    <w:rsid w:val="00FE2356"/>
    <w:rsid w:val="00FE367C"/>
    <w:rsid w:val="00FE3C32"/>
    <w:rsid w:val="00FE4207"/>
    <w:rsid w:val="00FE4306"/>
    <w:rsid w:val="00FE4A62"/>
    <w:rsid w:val="00FE4BCA"/>
    <w:rsid w:val="00FE526A"/>
    <w:rsid w:val="00FE5E65"/>
    <w:rsid w:val="00FE5EDF"/>
    <w:rsid w:val="00FE6973"/>
    <w:rsid w:val="00FE7651"/>
    <w:rsid w:val="00FE7728"/>
    <w:rsid w:val="00FE7B7B"/>
    <w:rsid w:val="00FE7D2C"/>
    <w:rsid w:val="00FF0074"/>
    <w:rsid w:val="00FF0186"/>
    <w:rsid w:val="00FF0573"/>
    <w:rsid w:val="00FF0B8B"/>
    <w:rsid w:val="00FF16F8"/>
    <w:rsid w:val="00FF2055"/>
    <w:rsid w:val="00FF28D1"/>
    <w:rsid w:val="00FF2B59"/>
    <w:rsid w:val="00FF2EEF"/>
    <w:rsid w:val="00FF351E"/>
    <w:rsid w:val="00FF37DD"/>
    <w:rsid w:val="00FF39C1"/>
    <w:rsid w:val="00FF3D19"/>
    <w:rsid w:val="00FF48B1"/>
    <w:rsid w:val="00FF5283"/>
    <w:rsid w:val="00FF54D6"/>
    <w:rsid w:val="00FF54DF"/>
    <w:rsid w:val="00FF563F"/>
    <w:rsid w:val="00FF5EED"/>
    <w:rsid w:val="00FF5F60"/>
    <w:rsid w:val="00FF6169"/>
    <w:rsid w:val="00FF61E7"/>
    <w:rsid w:val="00FF647B"/>
    <w:rsid w:val="00FF66FF"/>
    <w:rsid w:val="00FF6827"/>
    <w:rsid w:val="00FF6C07"/>
    <w:rsid w:val="00FF75E5"/>
    <w:rsid w:val="09279C31"/>
    <w:rsid w:val="0D6D60D0"/>
    <w:rsid w:val="1009D8DD"/>
    <w:rsid w:val="12A05C79"/>
    <w:rsid w:val="15B41B58"/>
    <w:rsid w:val="173974A0"/>
    <w:rsid w:val="1A6C9CF2"/>
    <w:rsid w:val="1B10D94D"/>
    <w:rsid w:val="267D91F1"/>
    <w:rsid w:val="26D23CDC"/>
    <w:rsid w:val="2B1A5111"/>
    <w:rsid w:val="2E2D1427"/>
    <w:rsid w:val="2E320E92"/>
    <w:rsid w:val="31556F2A"/>
    <w:rsid w:val="32911453"/>
    <w:rsid w:val="38EE295F"/>
    <w:rsid w:val="3CF683E9"/>
    <w:rsid w:val="3FF7589E"/>
    <w:rsid w:val="463198DC"/>
    <w:rsid w:val="4A8D5317"/>
    <w:rsid w:val="4BB2E5D4"/>
    <w:rsid w:val="4CE26CB8"/>
    <w:rsid w:val="4E238264"/>
    <w:rsid w:val="4EE84FC7"/>
    <w:rsid w:val="50A9FD72"/>
    <w:rsid w:val="5222B786"/>
    <w:rsid w:val="5323BF33"/>
    <w:rsid w:val="53A6EE7B"/>
    <w:rsid w:val="5DBB31AB"/>
    <w:rsid w:val="5EE44466"/>
    <w:rsid w:val="671075B2"/>
    <w:rsid w:val="6993BDF7"/>
    <w:rsid w:val="6FDA5F82"/>
    <w:rsid w:val="750978C6"/>
    <w:rsid w:val="7662D4CF"/>
    <w:rsid w:val="7B29C50C"/>
    <w:rsid w:val="7E489780"/>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7E00F"/>
  <w15:docId w15:val="{C91F6894-4AFA-465B-9950-CD181466A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32FB"/>
    <w:pPr>
      <w:spacing w:after="250" w:line="276" w:lineRule="auto"/>
      <w:jc w:val="both"/>
    </w:pPr>
    <w:rPr>
      <w:color w:val="181818" w:themeColor="background1" w:themeShade="1A"/>
      <w:sz w:val="22"/>
      <w:lang w:val="en-GB"/>
    </w:rPr>
  </w:style>
  <w:style w:type="paragraph" w:styleId="Titre1">
    <w:name w:val="heading 1"/>
    <w:basedOn w:val="Normal"/>
    <w:next w:val="Normal"/>
    <w:link w:val="Titre1Car"/>
    <w:uiPriority w:val="9"/>
    <w:qFormat/>
    <w:rsid w:val="0082744A"/>
    <w:pPr>
      <w:keepNext/>
      <w:keepLines/>
      <w:numPr>
        <w:numId w:val="1"/>
      </w:numPr>
      <w:spacing w:before="320"/>
      <w:ind w:left="431" w:hanging="431"/>
      <w:outlineLvl w:val="0"/>
    </w:pPr>
    <w:rPr>
      <w:rFonts w:asciiTheme="majorHAnsi" w:eastAsiaTheme="majorEastAsia" w:hAnsiTheme="majorHAnsi" w:cstheme="majorBidi"/>
      <w:b/>
      <w:color w:val="00379F" w:themeColor="text1"/>
      <w:sz w:val="32"/>
      <w:szCs w:val="32"/>
    </w:rPr>
  </w:style>
  <w:style w:type="paragraph" w:styleId="Titre2">
    <w:name w:val="heading 2"/>
    <w:basedOn w:val="Normal"/>
    <w:next w:val="Normal"/>
    <w:link w:val="Titre2Car"/>
    <w:uiPriority w:val="9"/>
    <w:unhideWhenUsed/>
    <w:qFormat/>
    <w:rsid w:val="0082744A"/>
    <w:pPr>
      <w:keepNext/>
      <w:keepLines/>
      <w:numPr>
        <w:ilvl w:val="1"/>
        <w:numId w:val="1"/>
      </w:numPr>
      <w:spacing w:before="320"/>
      <w:outlineLvl w:val="1"/>
    </w:pPr>
    <w:rPr>
      <w:rFonts w:asciiTheme="majorHAnsi" w:eastAsiaTheme="majorEastAsia" w:hAnsiTheme="majorHAnsi" w:cstheme="majorBidi"/>
      <w:b/>
      <w:color w:val="00379F" w:themeColor="text1"/>
      <w:sz w:val="28"/>
      <w:szCs w:val="28"/>
    </w:rPr>
  </w:style>
  <w:style w:type="paragraph" w:styleId="Titre3">
    <w:name w:val="heading 3"/>
    <w:basedOn w:val="Normal"/>
    <w:next w:val="Normal"/>
    <w:link w:val="Titre3Car"/>
    <w:uiPriority w:val="9"/>
    <w:unhideWhenUsed/>
    <w:qFormat/>
    <w:rsid w:val="00020300"/>
    <w:pPr>
      <w:keepNext/>
      <w:keepLines/>
      <w:numPr>
        <w:ilvl w:val="2"/>
        <w:numId w:val="1"/>
      </w:numPr>
      <w:spacing w:before="320"/>
      <w:outlineLvl w:val="2"/>
    </w:pPr>
    <w:rPr>
      <w:rFonts w:asciiTheme="majorHAnsi" w:eastAsiaTheme="majorEastAsia" w:hAnsiTheme="majorHAnsi" w:cstheme="majorBidi"/>
      <w:sz w:val="24"/>
      <w:szCs w:val="24"/>
    </w:rPr>
  </w:style>
  <w:style w:type="paragraph" w:styleId="Titre4">
    <w:name w:val="heading 4"/>
    <w:basedOn w:val="Normal"/>
    <w:next w:val="Normal"/>
    <w:link w:val="Titre4Car"/>
    <w:uiPriority w:val="9"/>
    <w:unhideWhenUsed/>
    <w:qFormat/>
    <w:rsid w:val="00020300"/>
    <w:pPr>
      <w:keepNext/>
      <w:keepLines/>
      <w:numPr>
        <w:ilvl w:val="3"/>
        <w:numId w:val="1"/>
      </w:numPr>
      <w:spacing w:before="320"/>
      <w:ind w:left="862" w:hanging="862"/>
      <w:outlineLvl w:val="3"/>
    </w:pPr>
    <w:rPr>
      <w:rFonts w:asciiTheme="majorHAnsi" w:eastAsiaTheme="majorEastAsia" w:hAnsiTheme="majorHAnsi" w:cstheme="majorBidi"/>
      <w:szCs w:val="22"/>
    </w:rPr>
  </w:style>
  <w:style w:type="paragraph" w:styleId="Titre5">
    <w:name w:val="heading 5"/>
    <w:basedOn w:val="Normal"/>
    <w:next w:val="Normal"/>
    <w:link w:val="Titre5Car"/>
    <w:uiPriority w:val="9"/>
    <w:unhideWhenUsed/>
    <w:qFormat/>
    <w:rsid w:val="007E7997"/>
    <w:pPr>
      <w:keepNext/>
      <w:keepLines/>
      <w:numPr>
        <w:numId w:val="2"/>
      </w:numPr>
      <w:spacing w:before="40" w:after="0"/>
      <w:outlineLvl w:val="4"/>
    </w:pPr>
    <w:rPr>
      <w:rFonts w:asciiTheme="majorHAnsi" w:eastAsiaTheme="majorEastAsia" w:hAnsiTheme="majorHAnsi" w:cstheme="majorBidi"/>
      <w:szCs w:val="22"/>
    </w:rPr>
  </w:style>
  <w:style w:type="paragraph" w:styleId="Titre6">
    <w:name w:val="heading 6"/>
    <w:basedOn w:val="Normal"/>
    <w:next w:val="Normal"/>
    <w:link w:val="Titre6Car"/>
    <w:uiPriority w:val="9"/>
    <w:semiHidden/>
    <w:unhideWhenUsed/>
    <w:rsid w:val="00AA054E"/>
    <w:pPr>
      <w:keepNext/>
      <w:keepLines/>
      <w:numPr>
        <w:ilvl w:val="5"/>
        <w:numId w:val="1"/>
      </w:numPr>
      <w:spacing w:before="40" w:after="0"/>
      <w:outlineLvl w:val="5"/>
    </w:pPr>
    <w:rPr>
      <w:rFonts w:asciiTheme="majorHAnsi" w:eastAsiaTheme="majorEastAsia" w:hAnsiTheme="majorHAnsi" w:cstheme="majorBidi"/>
      <w:i/>
      <w:iCs/>
      <w:color w:val="007EFF" w:themeColor="text2"/>
      <w:sz w:val="21"/>
      <w:szCs w:val="21"/>
    </w:rPr>
  </w:style>
  <w:style w:type="paragraph" w:styleId="Titre7">
    <w:name w:val="heading 7"/>
    <w:basedOn w:val="Normal"/>
    <w:next w:val="Normal"/>
    <w:link w:val="Titre7Car"/>
    <w:uiPriority w:val="9"/>
    <w:semiHidden/>
    <w:unhideWhenUsed/>
    <w:qFormat/>
    <w:rsid w:val="00AA054E"/>
    <w:pPr>
      <w:keepNext/>
      <w:keepLines/>
      <w:numPr>
        <w:ilvl w:val="6"/>
        <w:numId w:val="1"/>
      </w:numPr>
      <w:spacing w:before="40" w:after="0"/>
      <w:outlineLvl w:val="6"/>
    </w:pPr>
    <w:rPr>
      <w:rFonts w:asciiTheme="majorHAnsi" w:eastAsiaTheme="majorEastAsia" w:hAnsiTheme="majorHAnsi" w:cstheme="majorBidi"/>
      <w:i/>
      <w:iCs/>
      <w:color w:val="19004F" w:themeColor="accent1" w:themeShade="80"/>
      <w:sz w:val="21"/>
      <w:szCs w:val="21"/>
    </w:rPr>
  </w:style>
  <w:style w:type="paragraph" w:styleId="Titre8">
    <w:name w:val="heading 8"/>
    <w:basedOn w:val="Normal"/>
    <w:next w:val="Normal"/>
    <w:link w:val="Titre8Car"/>
    <w:uiPriority w:val="9"/>
    <w:semiHidden/>
    <w:unhideWhenUsed/>
    <w:qFormat/>
    <w:rsid w:val="00AA054E"/>
    <w:pPr>
      <w:keepNext/>
      <w:keepLines/>
      <w:numPr>
        <w:ilvl w:val="7"/>
        <w:numId w:val="1"/>
      </w:numPr>
      <w:spacing w:before="40" w:after="0"/>
      <w:outlineLvl w:val="7"/>
    </w:pPr>
    <w:rPr>
      <w:rFonts w:asciiTheme="majorHAnsi" w:eastAsiaTheme="majorEastAsia" w:hAnsiTheme="majorHAnsi" w:cstheme="majorBidi"/>
      <w:b/>
      <w:bCs/>
      <w:color w:val="007EFF" w:themeColor="text2"/>
    </w:rPr>
  </w:style>
  <w:style w:type="paragraph" w:styleId="Titre9">
    <w:name w:val="heading 9"/>
    <w:basedOn w:val="Normal"/>
    <w:next w:val="Normal"/>
    <w:link w:val="Titre9Car"/>
    <w:uiPriority w:val="9"/>
    <w:semiHidden/>
    <w:unhideWhenUsed/>
    <w:qFormat/>
    <w:rsid w:val="00AA054E"/>
    <w:pPr>
      <w:keepNext/>
      <w:keepLines/>
      <w:numPr>
        <w:ilvl w:val="8"/>
        <w:numId w:val="1"/>
      </w:numPr>
      <w:spacing w:before="40" w:after="0"/>
      <w:outlineLvl w:val="8"/>
    </w:pPr>
    <w:rPr>
      <w:rFonts w:asciiTheme="majorHAnsi" w:eastAsiaTheme="majorEastAsia" w:hAnsiTheme="majorHAnsi" w:cstheme="majorBidi"/>
      <w:b/>
      <w:bCs/>
      <w:i/>
      <w:iCs/>
      <w:color w:val="007EFF" w:themeColor="text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link w:val="SansinterligneCar"/>
    <w:uiPriority w:val="1"/>
    <w:qFormat/>
    <w:rsid w:val="005B6B12"/>
    <w:pPr>
      <w:spacing w:after="0" w:line="240" w:lineRule="auto"/>
    </w:pPr>
    <w:rPr>
      <w:lang w:val="en-GB"/>
    </w:rPr>
  </w:style>
  <w:style w:type="character" w:customStyle="1" w:styleId="Titre4Car">
    <w:name w:val="Titre 4 Car"/>
    <w:basedOn w:val="Policepardfaut"/>
    <w:link w:val="Titre4"/>
    <w:uiPriority w:val="9"/>
    <w:rsid w:val="00020300"/>
    <w:rPr>
      <w:rFonts w:asciiTheme="majorHAnsi" w:eastAsiaTheme="majorEastAsia" w:hAnsiTheme="majorHAnsi" w:cstheme="majorBidi"/>
      <w:color w:val="181818" w:themeColor="background1" w:themeShade="1A"/>
      <w:sz w:val="22"/>
      <w:szCs w:val="22"/>
      <w:lang w:val="en-GB"/>
    </w:rPr>
  </w:style>
  <w:style w:type="character" w:customStyle="1" w:styleId="Titre3Car">
    <w:name w:val="Titre 3 Car"/>
    <w:basedOn w:val="Policepardfaut"/>
    <w:link w:val="Titre3"/>
    <w:uiPriority w:val="9"/>
    <w:rsid w:val="00020300"/>
    <w:rPr>
      <w:rFonts w:asciiTheme="majorHAnsi" w:eastAsiaTheme="majorEastAsia" w:hAnsiTheme="majorHAnsi" w:cstheme="majorBidi"/>
      <w:color w:val="181818" w:themeColor="background1" w:themeShade="1A"/>
      <w:sz w:val="24"/>
      <w:szCs w:val="24"/>
      <w:lang w:val="en-GB"/>
    </w:rPr>
  </w:style>
  <w:style w:type="character" w:customStyle="1" w:styleId="Titre1Car">
    <w:name w:val="Titre 1 Car"/>
    <w:basedOn w:val="Policepardfaut"/>
    <w:link w:val="Titre1"/>
    <w:uiPriority w:val="9"/>
    <w:rsid w:val="0082744A"/>
    <w:rPr>
      <w:rFonts w:asciiTheme="majorHAnsi" w:eastAsiaTheme="majorEastAsia" w:hAnsiTheme="majorHAnsi" w:cstheme="majorBidi"/>
      <w:b/>
      <w:color w:val="00379F" w:themeColor="text1"/>
      <w:sz w:val="32"/>
      <w:szCs w:val="32"/>
      <w:lang w:val="en-GB"/>
    </w:rPr>
  </w:style>
  <w:style w:type="character" w:customStyle="1" w:styleId="Titre2Car">
    <w:name w:val="Titre 2 Car"/>
    <w:basedOn w:val="Policepardfaut"/>
    <w:link w:val="Titre2"/>
    <w:uiPriority w:val="9"/>
    <w:rsid w:val="0082744A"/>
    <w:rPr>
      <w:rFonts w:asciiTheme="majorHAnsi" w:eastAsiaTheme="majorEastAsia" w:hAnsiTheme="majorHAnsi" w:cstheme="majorBidi"/>
      <w:b/>
      <w:color w:val="00379F" w:themeColor="text1"/>
      <w:sz w:val="28"/>
      <w:szCs w:val="28"/>
      <w:lang w:val="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Policepardfaut"/>
    <w:link w:val="Subtitle1"/>
    <w:rsid w:val="003C4EB5"/>
    <w:rPr>
      <w:rFonts w:cs="Times New Roman"/>
      <w:b/>
      <w:sz w:val="20"/>
      <w:szCs w:val="24"/>
      <w:lang w:val="en-GB" w:eastAsia="de-DE"/>
    </w:rPr>
  </w:style>
  <w:style w:type="paragraph" w:customStyle="1" w:styleId="Title1">
    <w:name w:val="Title 1"/>
    <w:basedOn w:val="Paragraphedeliste"/>
    <w:link w:val="Title1Char"/>
    <w:qFormat/>
    <w:rsid w:val="00F205B9"/>
    <w:pPr>
      <w:numPr>
        <w:numId w:val="0"/>
      </w:numPr>
      <w:ind w:left="792" w:hanging="432"/>
    </w:pPr>
    <w:rPr>
      <w:b/>
      <w:color w:val="00379F" w:themeColor="text1"/>
      <w:sz w:val="28"/>
    </w:rPr>
  </w:style>
  <w:style w:type="character" w:customStyle="1" w:styleId="Title1Char">
    <w:name w:val="Title 1 Char"/>
    <w:basedOn w:val="Policepardfaut"/>
    <w:link w:val="Title1"/>
    <w:rsid w:val="00F205B9"/>
    <w:rPr>
      <w:rFonts w:asciiTheme="majorHAnsi" w:hAnsiTheme="majorHAnsi" w:cstheme="majorHAnsi"/>
      <w:b/>
      <w:color w:val="00379F" w:themeColor="text1"/>
      <w:sz w:val="28"/>
      <w:szCs w:val="22"/>
      <w:lang w:val="pt-PT"/>
    </w:rPr>
  </w:style>
  <w:style w:type="paragraph" w:styleId="Paragraphedeliste">
    <w:name w:val="List Paragraph"/>
    <w:aliases w:val="Paragraphe EI,Paragraphe de liste1,EC"/>
    <w:basedOn w:val="Normal"/>
    <w:link w:val="ParagraphedelisteCar"/>
    <w:autoRedefine/>
    <w:uiPriority w:val="34"/>
    <w:qFormat/>
    <w:rsid w:val="00EC6066"/>
    <w:pPr>
      <w:numPr>
        <w:numId w:val="11"/>
      </w:numPr>
    </w:pPr>
    <w:rPr>
      <w:rFonts w:asciiTheme="majorHAnsi" w:hAnsiTheme="majorHAnsi" w:cstheme="majorHAnsi"/>
      <w:szCs w:val="22"/>
      <w:lang w:val="pt-PT"/>
    </w:rPr>
  </w:style>
  <w:style w:type="paragraph" w:customStyle="1" w:styleId="Title3">
    <w:name w:val="Title 3"/>
    <w:basedOn w:val="Paragraphedeliste"/>
    <w:link w:val="Title3Char"/>
    <w:autoRedefine/>
    <w:rsid w:val="00F205B9"/>
    <w:pPr>
      <w:numPr>
        <w:ilvl w:val="3"/>
        <w:numId w:val="4"/>
      </w:numPr>
    </w:pPr>
  </w:style>
  <w:style w:type="character" w:customStyle="1" w:styleId="Title3Char">
    <w:name w:val="Title 3 Char"/>
    <w:basedOn w:val="Policepardfaut"/>
    <w:link w:val="Title3"/>
    <w:rsid w:val="003C4EB5"/>
    <w:rPr>
      <w:rFonts w:asciiTheme="majorHAnsi" w:hAnsiTheme="majorHAnsi" w:cstheme="majorHAnsi"/>
      <w:color w:val="181818" w:themeColor="background1" w:themeShade="1A"/>
      <w:sz w:val="22"/>
      <w:szCs w:val="22"/>
      <w:lang w:val="pt-PT"/>
    </w:rPr>
  </w:style>
  <w:style w:type="paragraph" w:customStyle="1" w:styleId="Title2">
    <w:name w:val="Title 2"/>
    <w:basedOn w:val="Title1"/>
    <w:link w:val="Title2Char"/>
    <w:autoRedefine/>
    <w:rsid w:val="00F205B9"/>
    <w:pPr>
      <w:spacing w:after="0"/>
    </w:pPr>
  </w:style>
  <w:style w:type="character" w:customStyle="1" w:styleId="Title2Char">
    <w:name w:val="Title 2 Char"/>
    <w:basedOn w:val="Title1Char"/>
    <w:link w:val="Title2"/>
    <w:rsid w:val="002574D1"/>
    <w:rPr>
      <w:rFonts w:asciiTheme="majorHAnsi" w:hAnsiTheme="majorHAnsi" w:cstheme="majorHAnsi"/>
      <w:b/>
      <w:color w:val="00379F" w:themeColor="text1"/>
      <w:sz w:val="28"/>
      <w:szCs w:val="22"/>
      <w:lang w:val="pt-PT"/>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hAnsiTheme="majorHAnsi" w:cstheme="majorHAnsi"/>
      <w:color w:val="181818" w:themeColor="background1" w:themeShade="1A"/>
      <w:sz w:val="22"/>
      <w:szCs w:val="22"/>
      <w:lang w:val="fr-BE"/>
    </w:rPr>
  </w:style>
  <w:style w:type="paragraph" w:customStyle="1" w:styleId="DocumentTitle">
    <w:name w:val="Document Title"/>
    <w:basedOn w:val="Normal"/>
    <w:link w:val="DocumentTitleChar"/>
    <w:qFormat/>
    <w:rsid w:val="00563C1F"/>
    <w:pPr>
      <w:framePr w:hSpace="8505" w:wrap="around" w:vAnchor="page" w:hAnchor="page" w:x="1248" w:y="4401"/>
      <w:spacing w:line="240" w:lineRule="auto"/>
    </w:pPr>
    <w:rPr>
      <w:rFonts w:asciiTheme="majorHAnsi" w:hAnsiTheme="majorHAnsi"/>
      <w:b/>
      <w:color w:val="2D4190"/>
      <w:sz w:val="48"/>
    </w:rPr>
  </w:style>
  <w:style w:type="character" w:customStyle="1" w:styleId="DocumentTitleChar">
    <w:name w:val="Document Title Char"/>
    <w:basedOn w:val="Policepardfaut"/>
    <w:link w:val="DocumentTitle"/>
    <w:rsid w:val="00563C1F"/>
    <w:rPr>
      <w:rFonts w:asciiTheme="majorHAnsi" w:hAnsiTheme="majorHAnsi"/>
      <w:b/>
      <w:color w:val="2D4190"/>
      <w:sz w:val="48"/>
      <w:lang w:val="en-GB"/>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Policepardfau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pPr>
      <w:spacing w:line="240" w:lineRule="auto"/>
    </w:pPr>
    <w:rPr>
      <w:rFonts w:asciiTheme="majorHAnsi" w:eastAsia="Times New Roman" w:hAnsiTheme="majorHAnsi" w:cs="Times New Roman"/>
      <w:b/>
      <w:sz w:val="28"/>
      <w:szCs w:val="24"/>
      <w:lang w:eastAsia="de-DE"/>
    </w:rPr>
  </w:style>
  <w:style w:type="character" w:customStyle="1" w:styleId="IntroductiontitleChar">
    <w:name w:val="Introduction title Char"/>
    <w:basedOn w:val="Policepardfau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eastAsia="Times New Roman" w:hAnsiTheme="majorHAnsi" w:cs="Times New Roman"/>
      <w:b/>
      <w:szCs w:val="24"/>
      <w:lang w:eastAsia="de-DE"/>
    </w:rPr>
  </w:style>
  <w:style w:type="character" w:customStyle="1" w:styleId="IntroductionsubtitleChar">
    <w:name w:val="Introduction subtitle Char"/>
    <w:basedOn w:val="Policepardfau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rFonts w:eastAsia="Times New Roman" w:cs="Times New Roman"/>
      <w:b/>
      <w:sz w:val="28"/>
      <w:szCs w:val="24"/>
      <w:lang w:eastAsia="de-DE"/>
    </w:rPr>
  </w:style>
  <w:style w:type="character" w:customStyle="1" w:styleId="IntroductionheadingChar">
    <w:name w:val="Introduction heading Char"/>
    <w:basedOn w:val="Policepardfaut"/>
    <w:link w:val="Introductionheading"/>
    <w:rsid w:val="00044C5A"/>
    <w:rPr>
      <w:rFonts w:ascii="Arial" w:eastAsia="Times New Roman" w:hAnsi="Arial" w:cs="Times New Roman"/>
      <w:b/>
      <w:sz w:val="28"/>
      <w:szCs w:val="24"/>
      <w:lang w:val="en-GB" w:eastAsia="de-DE"/>
    </w:rPr>
  </w:style>
  <w:style w:type="character" w:customStyle="1" w:styleId="Titre5Car">
    <w:name w:val="Titre 5 Car"/>
    <w:basedOn w:val="Policepardfaut"/>
    <w:link w:val="Titre5"/>
    <w:uiPriority w:val="9"/>
    <w:rsid w:val="007E7997"/>
    <w:rPr>
      <w:rFonts w:asciiTheme="majorHAnsi" w:eastAsiaTheme="majorEastAsia" w:hAnsiTheme="majorHAnsi" w:cstheme="majorBidi"/>
      <w:color w:val="181818" w:themeColor="background1" w:themeShade="1A"/>
      <w:sz w:val="22"/>
      <w:szCs w:val="22"/>
      <w:lang w:val="en-GB"/>
    </w:rPr>
  </w:style>
  <w:style w:type="paragraph" w:styleId="Corpsdetexte">
    <w:name w:val="Body Text"/>
    <w:basedOn w:val="Normal"/>
    <w:link w:val="CorpsdetexteCar"/>
    <w:uiPriority w:val="99"/>
    <w:semiHidden/>
    <w:unhideWhenUsed/>
    <w:rsid w:val="00044C5A"/>
  </w:style>
  <w:style w:type="character" w:customStyle="1" w:styleId="CorpsdetexteCar">
    <w:name w:val="Corps de texte Car"/>
    <w:basedOn w:val="Policepardfaut"/>
    <w:link w:val="Corpsdetexte"/>
    <w:uiPriority w:val="99"/>
    <w:semiHidden/>
    <w:rsid w:val="00044C5A"/>
    <w:rPr>
      <w:rFonts w:ascii="Arial" w:eastAsiaTheme="minorEastAsia" w:hAnsi="Arial"/>
    </w:rPr>
  </w:style>
  <w:style w:type="paragraph" w:styleId="Retrait1religne">
    <w:name w:val="Body Text First Indent"/>
    <w:basedOn w:val="Corpsdetexte"/>
    <w:link w:val="Retrait1religneCar"/>
    <w:uiPriority w:val="99"/>
    <w:semiHidden/>
    <w:unhideWhenUsed/>
    <w:rsid w:val="00044C5A"/>
    <w:pPr>
      <w:spacing w:after="0"/>
      <w:ind w:firstLine="360"/>
    </w:pPr>
  </w:style>
  <w:style w:type="character" w:customStyle="1" w:styleId="Retrait1religneCar">
    <w:name w:val="Retrait 1re ligne Car"/>
    <w:basedOn w:val="CorpsdetexteCar"/>
    <w:link w:val="Retrait1religne"/>
    <w:uiPriority w:val="99"/>
    <w:semiHidden/>
    <w:rsid w:val="00044C5A"/>
    <w:rPr>
      <w:rFonts w:ascii="Arial" w:eastAsiaTheme="minorEastAsia" w:hAnsi="Arial"/>
    </w:rPr>
  </w:style>
  <w:style w:type="character" w:customStyle="1" w:styleId="Titre6Car">
    <w:name w:val="Titre 6 Car"/>
    <w:basedOn w:val="Policepardfaut"/>
    <w:link w:val="Titre6"/>
    <w:uiPriority w:val="9"/>
    <w:semiHidden/>
    <w:rsid w:val="00AA054E"/>
    <w:rPr>
      <w:rFonts w:asciiTheme="majorHAnsi" w:eastAsiaTheme="majorEastAsia" w:hAnsiTheme="majorHAnsi" w:cstheme="majorBidi"/>
      <w:i/>
      <w:iCs/>
      <w:color w:val="007EFF" w:themeColor="text2"/>
      <w:sz w:val="21"/>
      <w:szCs w:val="21"/>
      <w:lang w:val="en-GB"/>
    </w:rPr>
  </w:style>
  <w:style w:type="paragraph" w:styleId="Titre">
    <w:name w:val="Title"/>
    <w:basedOn w:val="Normal"/>
    <w:next w:val="Normal"/>
    <w:link w:val="TitreCar"/>
    <w:uiPriority w:val="10"/>
    <w:qFormat/>
    <w:rsid w:val="00516CBA"/>
    <w:pPr>
      <w:spacing w:after="240" w:line="240" w:lineRule="auto"/>
      <w:contextualSpacing/>
    </w:pPr>
    <w:rPr>
      <w:rFonts w:asciiTheme="majorHAnsi" w:eastAsiaTheme="majorEastAsia" w:hAnsiTheme="majorHAnsi" w:cstheme="majorBidi"/>
      <w:b/>
      <w:color w:val="00379F" w:themeColor="text1"/>
      <w:spacing w:val="-10"/>
      <w:sz w:val="56"/>
      <w:szCs w:val="56"/>
    </w:rPr>
  </w:style>
  <w:style w:type="character" w:customStyle="1" w:styleId="TitreCar">
    <w:name w:val="Titre Car"/>
    <w:basedOn w:val="Policepardfaut"/>
    <w:link w:val="Titre"/>
    <w:uiPriority w:val="10"/>
    <w:rsid w:val="00516CBA"/>
    <w:rPr>
      <w:rFonts w:asciiTheme="majorHAnsi" w:eastAsiaTheme="majorEastAsia" w:hAnsiTheme="majorHAnsi" w:cstheme="majorBidi"/>
      <w:b/>
      <w:color w:val="00379F" w:themeColor="text1"/>
      <w:spacing w:val="-10"/>
      <w:sz w:val="56"/>
      <w:szCs w:val="56"/>
      <w:lang w:val="en-GB"/>
    </w:rPr>
  </w:style>
  <w:style w:type="paragraph" w:styleId="Sous-titre">
    <w:name w:val="Subtitle"/>
    <w:basedOn w:val="Normal"/>
    <w:next w:val="Normal"/>
    <w:link w:val="Sous-titreCar"/>
    <w:uiPriority w:val="11"/>
    <w:qFormat/>
    <w:rsid w:val="0082744A"/>
    <w:pPr>
      <w:numPr>
        <w:ilvl w:val="1"/>
      </w:numPr>
      <w:spacing w:line="240" w:lineRule="auto"/>
    </w:pPr>
    <w:rPr>
      <w:rFonts w:asciiTheme="majorHAnsi" w:eastAsiaTheme="majorEastAsia" w:hAnsiTheme="majorHAnsi" w:cstheme="majorBidi"/>
      <w:sz w:val="28"/>
      <w:szCs w:val="24"/>
    </w:rPr>
  </w:style>
  <w:style w:type="character" w:customStyle="1" w:styleId="Sous-titreCar">
    <w:name w:val="Sous-titre Car"/>
    <w:basedOn w:val="Policepardfaut"/>
    <w:link w:val="Sous-titre"/>
    <w:uiPriority w:val="11"/>
    <w:rsid w:val="0082744A"/>
    <w:rPr>
      <w:rFonts w:asciiTheme="majorHAnsi" w:eastAsiaTheme="majorEastAsia" w:hAnsiTheme="majorHAnsi" w:cstheme="majorBidi"/>
      <w:sz w:val="28"/>
      <w:szCs w:val="24"/>
      <w:lang w:val="en-GB"/>
    </w:rPr>
  </w:style>
  <w:style w:type="character" w:customStyle="1" w:styleId="Titre7Car">
    <w:name w:val="Titre 7 Car"/>
    <w:basedOn w:val="Policepardfaut"/>
    <w:link w:val="Titre7"/>
    <w:uiPriority w:val="9"/>
    <w:semiHidden/>
    <w:rsid w:val="00AA054E"/>
    <w:rPr>
      <w:rFonts w:asciiTheme="majorHAnsi" w:eastAsiaTheme="majorEastAsia" w:hAnsiTheme="majorHAnsi" w:cstheme="majorBidi"/>
      <w:i/>
      <w:iCs/>
      <w:color w:val="19004F" w:themeColor="accent1" w:themeShade="80"/>
      <w:sz w:val="21"/>
      <w:szCs w:val="21"/>
      <w:lang w:val="en-GB"/>
    </w:rPr>
  </w:style>
  <w:style w:type="character" w:customStyle="1" w:styleId="Titre8Car">
    <w:name w:val="Titre 8 Car"/>
    <w:basedOn w:val="Policepardfaut"/>
    <w:link w:val="Titre8"/>
    <w:uiPriority w:val="9"/>
    <w:semiHidden/>
    <w:rsid w:val="00AA054E"/>
    <w:rPr>
      <w:rFonts w:asciiTheme="majorHAnsi" w:eastAsiaTheme="majorEastAsia" w:hAnsiTheme="majorHAnsi" w:cstheme="majorBidi"/>
      <w:b/>
      <w:bCs/>
      <w:color w:val="007EFF" w:themeColor="text2"/>
      <w:sz w:val="22"/>
      <w:lang w:val="en-GB"/>
    </w:rPr>
  </w:style>
  <w:style w:type="character" w:customStyle="1" w:styleId="Titre9Car">
    <w:name w:val="Titre 9 Car"/>
    <w:basedOn w:val="Policepardfaut"/>
    <w:link w:val="Titre9"/>
    <w:uiPriority w:val="9"/>
    <w:semiHidden/>
    <w:rsid w:val="00AA054E"/>
    <w:rPr>
      <w:rFonts w:asciiTheme="majorHAnsi" w:eastAsiaTheme="majorEastAsia" w:hAnsiTheme="majorHAnsi" w:cstheme="majorBidi"/>
      <w:b/>
      <w:bCs/>
      <w:i/>
      <w:iCs/>
      <w:color w:val="007EFF" w:themeColor="text2"/>
      <w:sz w:val="22"/>
      <w:lang w:val="en-GB"/>
    </w:rPr>
  </w:style>
  <w:style w:type="paragraph" w:styleId="Lgende">
    <w:name w:val="caption"/>
    <w:basedOn w:val="Normal"/>
    <w:next w:val="Normal"/>
    <w:uiPriority w:val="35"/>
    <w:semiHidden/>
    <w:unhideWhenUsed/>
    <w:qFormat/>
    <w:rsid w:val="00AA054E"/>
    <w:pPr>
      <w:spacing w:line="240" w:lineRule="auto"/>
    </w:pPr>
    <w:rPr>
      <w:b/>
      <w:bCs/>
      <w:smallCaps/>
      <w:color w:val="1A69FF" w:themeColor="text1" w:themeTint="A6"/>
      <w:spacing w:val="6"/>
    </w:rPr>
  </w:style>
  <w:style w:type="character" w:styleId="lev">
    <w:name w:val="Strong"/>
    <w:basedOn w:val="Policepardfaut"/>
    <w:uiPriority w:val="22"/>
    <w:qFormat/>
    <w:rsid w:val="00AA054E"/>
    <w:rPr>
      <w:b/>
      <w:bCs/>
    </w:rPr>
  </w:style>
  <w:style w:type="character" w:styleId="Accentuation">
    <w:name w:val="Emphasis"/>
    <w:basedOn w:val="Policepardfaut"/>
    <w:uiPriority w:val="20"/>
    <w:qFormat/>
    <w:rsid w:val="00AA054E"/>
    <w:rPr>
      <w:i/>
      <w:iCs/>
    </w:rPr>
  </w:style>
  <w:style w:type="paragraph" w:styleId="Citation">
    <w:name w:val="Quote"/>
    <w:basedOn w:val="Normal"/>
    <w:next w:val="Normal"/>
    <w:link w:val="CitationCar"/>
    <w:uiPriority w:val="29"/>
    <w:qFormat/>
    <w:rsid w:val="00AA054E"/>
    <w:pPr>
      <w:spacing w:before="160"/>
      <w:ind w:left="720" w:right="720"/>
    </w:pPr>
    <w:rPr>
      <w:i/>
      <w:iCs/>
      <w:color w:val="0055F7" w:themeColor="text1" w:themeTint="BF"/>
    </w:rPr>
  </w:style>
  <w:style w:type="character" w:customStyle="1" w:styleId="CitationCar">
    <w:name w:val="Citation Car"/>
    <w:basedOn w:val="Policepardfaut"/>
    <w:link w:val="Citation"/>
    <w:uiPriority w:val="29"/>
    <w:rsid w:val="00AA054E"/>
    <w:rPr>
      <w:i/>
      <w:iCs/>
      <w:color w:val="0055F7" w:themeColor="text1" w:themeTint="BF"/>
    </w:rPr>
  </w:style>
  <w:style w:type="paragraph" w:styleId="Citationintense">
    <w:name w:val="Intense Quote"/>
    <w:basedOn w:val="Normal"/>
    <w:next w:val="Normal"/>
    <w:link w:val="CitationintenseCar"/>
    <w:uiPriority w:val="30"/>
    <w:qFormat/>
    <w:rsid w:val="00AA054E"/>
    <w:pPr>
      <w:pBdr>
        <w:left w:val="single" w:sz="18" w:space="12" w:color="34009F" w:themeColor="accent1"/>
      </w:pBdr>
      <w:spacing w:before="100" w:beforeAutospacing="1" w:line="300" w:lineRule="auto"/>
      <w:ind w:left="1224" w:right="1224"/>
    </w:pPr>
    <w:rPr>
      <w:rFonts w:asciiTheme="majorHAnsi" w:eastAsiaTheme="majorEastAsia" w:hAnsiTheme="majorHAnsi" w:cstheme="majorBidi"/>
      <w:color w:val="34009F" w:themeColor="accent1"/>
      <w:sz w:val="28"/>
      <w:szCs w:val="28"/>
    </w:rPr>
  </w:style>
  <w:style w:type="character" w:customStyle="1" w:styleId="CitationintenseCar">
    <w:name w:val="Citation intense Car"/>
    <w:basedOn w:val="Policepardfaut"/>
    <w:link w:val="Citationintense"/>
    <w:uiPriority w:val="30"/>
    <w:rsid w:val="00AA054E"/>
    <w:rPr>
      <w:rFonts w:asciiTheme="majorHAnsi" w:eastAsiaTheme="majorEastAsia" w:hAnsiTheme="majorHAnsi" w:cstheme="majorBidi"/>
      <w:color w:val="34009F" w:themeColor="accent1"/>
      <w:sz w:val="28"/>
      <w:szCs w:val="28"/>
    </w:rPr>
  </w:style>
  <w:style w:type="character" w:styleId="Accentuationlgre">
    <w:name w:val="Subtle Emphasis"/>
    <w:basedOn w:val="Policepardfaut"/>
    <w:uiPriority w:val="19"/>
    <w:qFormat/>
    <w:rsid w:val="00AA054E"/>
    <w:rPr>
      <w:i/>
      <w:iCs/>
      <w:color w:val="0055F7" w:themeColor="text1" w:themeTint="BF"/>
    </w:rPr>
  </w:style>
  <w:style w:type="character" w:styleId="Accentuationintense">
    <w:name w:val="Intense Emphasis"/>
    <w:basedOn w:val="Policepardfaut"/>
    <w:uiPriority w:val="21"/>
    <w:qFormat/>
    <w:rsid w:val="00AA054E"/>
    <w:rPr>
      <w:b/>
      <w:bCs/>
      <w:i/>
      <w:iCs/>
    </w:rPr>
  </w:style>
  <w:style w:type="character" w:styleId="Rfrencelgre">
    <w:name w:val="Subtle Reference"/>
    <w:basedOn w:val="Policepardfaut"/>
    <w:uiPriority w:val="31"/>
    <w:qFormat/>
    <w:rsid w:val="00AA054E"/>
    <w:rPr>
      <w:smallCaps/>
      <w:color w:val="0055F7" w:themeColor="text1" w:themeTint="BF"/>
      <w:u w:val="single" w:color="4E8BFF" w:themeColor="text1" w:themeTint="80"/>
    </w:rPr>
  </w:style>
  <w:style w:type="character" w:styleId="Rfrenceintense">
    <w:name w:val="Intense Reference"/>
    <w:basedOn w:val="Policepardfaut"/>
    <w:uiPriority w:val="32"/>
    <w:qFormat/>
    <w:rsid w:val="00AA054E"/>
    <w:rPr>
      <w:b/>
      <w:bCs/>
      <w:smallCaps/>
      <w:spacing w:val="5"/>
      <w:u w:val="single"/>
    </w:rPr>
  </w:style>
  <w:style w:type="character" w:styleId="Titredulivre">
    <w:name w:val="Book Title"/>
    <w:basedOn w:val="Policepardfaut"/>
    <w:uiPriority w:val="33"/>
    <w:qFormat/>
    <w:rsid w:val="00AA054E"/>
    <w:rPr>
      <w:b/>
      <w:bCs/>
      <w:smallCaps/>
    </w:rPr>
  </w:style>
  <w:style w:type="paragraph" w:styleId="En-ttedetabledesmatires">
    <w:name w:val="TOC Heading"/>
    <w:basedOn w:val="Titre1"/>
    <w:next w:val="Normal"/>
    <w:uiPriority w:val="39"/>
    <w:unhideWhenUsed/>
    <w:qFormat/>
    <w:rsid w:val="00F205B9"/>
    <w:pPr>
      <w:numPr>
        <w:numId w:val="0"/>
      </w:numPr>
      <w:outlineLvl w:val="9"/>
    </w:pPr>
  </w:style>
  <w:style w:type="character" w:customStyle="1" w:styleId="SansinterligneCar">
    <w:name w:val="Sans interligne Car"/>
    <w:basedOn w:val="Policepardfaut"/>
    <w:link w:val="Sansinterligne"/>
    <w:uiPriority w:val="1"/>
    <w:rsid w:val="005B6B12"/>
    <w:rPr>
      <w:lang w:val="en-GB"/>
    </w:rPr>
  </w:style>
  <w:style w:type="paragraph" w:styleId="En-tte">
    <w:name w:val="header"/>
    <w:basedOn w:val="Normal"/>
    <w:link w:val="En-tteCar"/>
    <w:unhideWhenUsed/>
    <w:qFormat/>
    <w:rsid w:val="00AF6B1E"/>
    <w:pPr>
      <w:tabs>
        <w:tab w:val="center" w:pos="4513"/>
        <w:tab w:val="right" w:pos="9026"/>
      </w:tabs>
      <w:spacing w:after="0" w:line="240" w:lineRule="auto"/>
      <w:jc w:val="right"/>
    </w:pPr>
    <w:rPr>
      <w:color w:val="001B4F" w:themeColor="text1" w:themeShade="80"/>
      <w:sz w:val="16"/>
    </w:rPr>
  </w:style>
  <w:style w:type="character" w:customStyle="1" w:styleId="En-tteCar">
    <w:name w:val="En-tête Car"/>
    <w:basedOn w:val="Policepardfaut"/>
    <w:link w:val="En-tte"/>
    <w:rsid w:val="00AF6B1E"/>
    <w:rPr>
      <w:color w:val="001B4F" w:themeColor="text1" w:themeShade="80"/>
      <w:sz w:val="16"/>
      <w:lang w:val="en-GB"/>
    </w:rPr>
  </w:style>
  <w:style w:type="paragraph" w:styleId="Pieddepage">
    <w:name w:val="footer"/>
    <w:basedOn w:val="Normal"/>
    <w:link w:val="PieddepageCar"/>
    <w:uiPriority w:val="99"/>
    <w:unhideWhenUsed/>
    <w:qFormat/>
    <w:rsid w:val="004E5FF8"/>
    <w:pPr>
      <w:tabs>
        <w:tab w:val="center" w:pos="4536"/>
        <w:tab w:val="right" w:pos="9072"/>
      </w:tabs>
      <w:spacing w:line="240" w:lineRule="auto"/>
      <w:jc w:val="left"/>
    </w:pPr>
    <w:rPr>
      <w:color w:val="001B4F" w:themeColor="text1" w:themeShade="80"/>
      <w:sz w:val="16"/>
    </w:rPr>
  </w:style>
  <w:style w:type="character" w:customStyle="1" w:styleId="PieddepageCar">
    <w:name w:val="Pied de page Car"/>
    <w:basedOn w:val="Policepardfaut"/>
    <w:link w:val="Pieddepage"/>
    <w:uiPriority w:val="99"/>
    <w:rsid w:val="004E5FF8"/>
    <w:rPr>
      <w:color w:val="001B4F" w:themeColor="text1" w:themeShade="80"/>
      <w:sz w:val="16"/>
      <w:lang w:val="en-GB"/>
    </w:rPr>
  </w:style>
  <w:style w:type="paragraph" w:customStyle="1" w:styleId="00aPagenumber">
    <w:name w:val="00a_Page number"/>
    <w:basedOn w:val="Normal"/>
    <w:rsid w:val="007E7997"/>
    <w:pPr>
      <w:spacing w:line="280" w:lineRule="atLeast"/>
      <w:jc w:val="right"/>
    </w:pPr>
    <w:rPr>
      <w:rFonts w:ascii="Georgia" w:eastAsia="Times New Roman" w:hAnsi="Georgia" w:cs="Times New Roman"/>
      <w:color w:val="000000"/>
      <w:szCs w:val="24"/>
      <w:lang w:eastAsia="de-DE"/>
    </w:rPr>
  </w:style>
  <w:style w:type="paragraph" w:customStyle="1" w:styleId="02Date">
    <w:name w:val="02_Date"/>
    <w:basedOn w:val="Normal"/>
    <w:qFormat/>
    <w:rsid w:val="00D77369"/>
    <w:pPr>
      <w:spacing w:after="0" w:line="220" w:lineRule="exact"/>
      <w:jc w:val="right"/>
    </w:pPr>
    <w:rPr>
      <w:rFonts w:eastAsia="Times New Roman" w:cs="Times New Roman"/>
      <w:color w:val="001B4F" w:themeColor="text1" w:themeShade="80"/>
      <w:sz w:val="17"/>
      <w:szCs w:val="24"/>
      <w:lang w:eastAsia="de-DE"/>
    </w:rPr>
  </w:style>
  <w:style w:type="paragraph" w:styleId="TM1">
    <w:name w:val="toc 1"/>
    <w:basedOn w:val="Normal"/>
    <w:next w:val="Normal"/>
    <w:uiPriority w:val="39"/>
    <w:unhideWhenUsed/>
    <w:qFormat/>
    <w:rsid w:val="00F205B9"/>
    <w:pPr>
      <w:framePr w:hSpace="180" w:wrap="around" w:vAnchor="text" w:hAnchor="margin" w:y="115"/>
      <w:tabs>
        <w:tab w:val="left" w:pos="440"/>
        <w:tab w:val="right" w:leader="dot" w:pos="9062"/>
      </w:tabs>
      <w:spacing w:after="100"/>
    </w:pPr>
  </w:style>
  <w:style w:type="paragraph" w:styleId="TM2">
    <w:name w:val="toc 2"/>
    <w:basedOn w:val="TM1"/>
    <w:next w:val="Normal"/>
    <w:uiPriority w:val="39"/>
    <w:unhideWhenUsed/>
    <w:qFormat/>
    <w:rsid w:val="00F205B9"/>
    <w:pPr>
      <w:framePr w:wrap="around"/>
      <w:tabs>
        <w:tab w:val="right" w:leader="dot" w:pos="440"/>
      </w:tabs>
      <w:ind w:left="220"/>
    </w:pPr>
  </w:style>
  <w:style w:type="paragraph" w:styleId="TM3">
    <w:name w:val="toc 3"/>
    <w:basedOn w:val="TM1"/>
    <w:next w:val="Normal"/>
    <w:uiPriority w:val="39"/>
    <w:unhideWhenUsed/>
    <w:qFormat/>
    <w:rsid w:val="00AD0B10"/>
    <w:pPr>
      <w:framePr w:wrap="around"/>
      <w:ind w:left="442"/>
    </w:pPr>
  </w:style>
  <w:style w:type="character" w:styleId="Lienhypertexte">
    <w:name w:val="Hyperlink"/>
    <w:basedOn w:val="Policepardfaut"/>
    <w:uiPriority w:val="99"/>
    <w:unhideWhenUsed/>
    <w:qFormat/>
    <w:rsid w:val="000C1E78"/>
    <w:rPr>
      <w:color w:val="005EBF" w:themeColor="text2" w:themeShade="BF"/>
      <w:u w:val="single"/>
    </w:rPr>
  </w:style>
  <w:style w:type="paragraph" w:customStyle="1" w:styleId="Questionstyle">
    <w:name w:val="Question style"/>
    <w:basedOn w:val="Normal"/>
    <w:next w:val="Normal"/>
    <w:link w:val="QuestionstyleChar"/>
    <w:autoRedefine/>
    <w:qFormat/>
    <w:rsid w:val="00C5469A"/>
    <w:pPr>
      <w:tabs>
        <w:tab w:val="left" w:pos="567"/>
      </w:tabs>
      <w:ind w:hanging="360"/>
      <w:contextualSpacing/>
    </w:pPr>
    <w:rPr>
      <w:b/>
    </w:rPr>
  </w:style>
  <w:style w:type="character" w:customStyle="1" w:styleId="QuestionstyleChar">
    <w:name w:val="Question style Char"/>
    <w:basedOn w:val="Policepardfaut"/>
    <w:link w:val="Questionstyle"/>
    <w:rsid w:val="00C5469A"/>
    <w:rPr>
      <w:b/>
      <w:color w:val="181818" w:themeColor="background1" w:themeShade="1A"/>
      <w:sz w:val="22"/>
      <w:lang w:val="en-GB"/>
    </w:rPr>
  </w:style>
  <w:style w:type="paragraph" w:customStyle="1" w:styleId="Listing2">
    <w:name w:val="Listing2"/>
    <w:basedOn w:val="Normal"/>
    <w:link w:val="Listing2Char"/>
    <w:autoRedefine/>
    <w:rsid w:val="00DF3785"/>
  </w:style>
  <w:style w:type="character" w:customStyle="1" w:styleId="Listing2Char">
    <w:name w:val="Listing2 Char"/>
    <w:basedOn w:val="Policepardfaut"/>
    <w:link w:val="Listing2"/>
    <w:rsid w:val="00DF3785"/>
    <w:rPr>
      <w:lang w:val="en-GB"/>
    </w:rPr>
  </w:style>
  <w:style w:type="table" w:styleId="Grilledutableau">
    <w:name w:val="Table Grid"/>
    <w:basedOn w:val="TableauNorma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fin">
    <w:name w:val="endnote text"/>
    <w:basedOn w:val="Normal"/>
    <w:link w:val="NotedefinCar"/>
    <w:uiPriority w:val="99"/>
    <w:semiHidden/>
    <w:unhideWhenUsed/>
    <w:rsid w:val="00B50534"/>
    <w:pPr>
      <w:spacing w:after="0" w:line="240" w:lineRule="auto"/>
    </w:pPr>
  </w:style>
  <w:style w:type="character" w:customStyle="1" w:styleId="NotedefinCar">
    <w:name w:val="Note de fin Car"/>
    <w:basedOn w:val="Policepardfaut"/>
    <w:link w:val="Notedefin"/>
    <w:uiPriority w:val="99"/>
    <w:semiHidden/>
    <w:rsid w:val="00B50534"/>
    <w:rPr>
      <w:lang w:val="en-GB"/>
    </w:rPr>
  </w:style>
  <w:style w:type="character" w:styleId="Appeldenotedefin">
    <w:name w:val="endnote reference"/>
    <w:basedOn w:val="Policepardfaut"/>
    <w:uiPriority w:val="99"/>
    <w:semiHidden/>
    <w:unhideWhenUsed/>
    <w:rsid w:val="00B50534"/>
    <w:rPr>
      <w:vertAlign w:val="superscript"/>
    </w:rPr>
  </w:style>
  <w:style w:type="paragraph" w:styleId="Notedebasdepage">
    <w:name w:val="footnote text"/>
    <w:basedOn w:val="Normal"/>
    <w:link w:val="NotedebasdepageCar"/>
    <w:autoRedefine/>
    <w:uiPriority w:val="99"/>
    <w:unhideWhenUsed/>
    <w:qFormat/>
    <w:rsid w:val="007A1A9D"/>
    <w:pPr>
      <w:spacing w:after="0" w:line="240" w:lineRule="auto"/>
    </w:pPr>
    <w:rPr>
      <w:sz w:val="16"/>
    </w:rPr>
  </w:style>
  <w:style w:type="character" w:customStyle="1" w:styleId="NotedebasdepageCar">
    <w:name w:val="Note de bas de page Car"/>
    <w:basedOn w:val="Policepardfaut"/>
    <w:link w:val="Notedebasdepage"/>
    <w:uiPriority w:val="99"/>
    <w:rsid w:val="007A1A9D"/>
    <w:rPr>
      <w:color w:val="181818" w:themeColor="background1" w:themeShade="1A"/>
      <w:sz w:val="16"/>
      <w:lang w:val="en-GB"/>
    </w:rPr>
  </w:style>
  <w:style w:type="character" w:styleId="Appelnotedebasdep">
    <w:name w:val="footnote reference"/>
    <w:basedOn w:val="Policepardfaut"/>
    <w:uiPriority w:val="99"/>
    <w:semiHidden/>
    <w:unhideWhenUsed/>
    <w:qFormat/>
    <w:rsid w:val="00A91D91"/>
    <w:rPr>
      <w:rFonts w:asciiTheme="majorHAnsi" w:hAnsiTheme="majorHAnsi"/>
      <w:sz w:val="16"/>
      <w:vertAlign w:val="superscript"/>
    </w:rPr>
  </w:style>
  <w:style w:type="paragraph" w:customStyle="1" w:styleId="Footnote">
    <w:name w:val="Footnote"/>
    <w:basedOn w:val="Notedebasdepage"/>
    <w:link w:val="FootnoteChar"/>
    <w:qFormat/>
    <w:rsid w:val="00672C04"/>
    <w:pPr>
      <w:ind w:left="454" w:hanging="454"/>
    </w:pPr>
    <w:rPr>
      <w:lang w:val="nl-BE"/>
    </w:rPr>
  </w:style>
  <w:style w:type="character" w:customStyle="1" w:styleId="FootnoteChar">
    <w:name w:val="Footnote Char"/>
    <w:basedOn w:val="NotedebasdepageCar"/>
    <w:link w:val="Footnote"/>
    <w:rsid w:val="00672C04"/>
    <w:rPr>
      <w:color w:val="181818" w:themeColor="background1" w:themeShade="1A"/>
      <w:sz w:val="16"/>
      <w:lang w:val="en-GB"/>
    </w:rPr>
  </w:style>
  <w:style w:type="table" w:customStyle="1" w:styleId="GridTable4-Accent11">
    <w:name w:val="Grid Table 4 - Accent 11"/>
    <w:basedOn w:val="TableauNormal"/>
    <w:uiPriority w:val="49"/>
    <w:rsid w:val="00B15C0B"/>
    <w:pPr>
      <w:spacing w:after="0" w:line="240" w:lineRule="auto"/>
    </w:pPr>
    <w:tblPr>
      <w:tblStyleRowBandSize w:val="1"/>
      <w:tblStyleColBandSize w:val="1"/>
      <w:tblBorders>
        <w:top w:val="single" w:sz="4" w:space="0" w:color="702CFF" w:themeColor="accent1" w:themeTint="99"/>
        <w:left w:val="single" w:sz="4" w:space="0" w:color="702CFF" w:themeColor="accent1" w:themeTint="99"/>
        <w:bottom w:val="single" w:sz="4" w:space="0" w:color="702CFF" w:themeColor="accent1" w:themeTint="99"/>
        <w:right w:val="single" w:sz="4" w:space="0" w:color="702CFF" w:themeColor="accent1" w:themeTint="99"/>
        <w:insideH w:val="single" w:sz="4" w:space="0" w:color="702CFF" w:themeColor="accent1" w:themeTint="99"/>
        <w:insideV w:val="single" w:sz="4" w:space="0" w:color="702CFF" w:themeColor="accent1" w:themeTint="99"/>
      </w:tblBorders>
    </w:tblPr>
    <w:tblStylePr w:type="firstRow">
      <w:rPr>
        <w:b/>
        <w:bCs/>
        <w:color w:val="F0F0F0" w:themeColor="background1"/>
      </w:rPr>
      <w:tblPr/>
      <w:tcPr>
        <w:tcBorders>
          <w:top w:val="single" w:sz="4" w:space="0" w:color="34009F" w:themeColor="accent1"/>
          <w:left w:val="single" w:sz="4" w:space="0" w:color="34009F" w:themeColor="accent1"/>
          <w:bottom w:val="single" w:sz="4" w:space="0" w:color="34009F" w:themeColor="accent1"/>
          <w:right w:val="single" w:sz="4" w:space="0" w:color="34009F" w:themeColor="accent1"/>
          <w:insideH w:val="nil"/>
          <w:insideV w:val="nil"/>
        </w:tcBorders>
        <w:shd w:val="clear" w:color="auto" w:fill="34009F" w:themeFill="accent1"/>
      </w:tcPr>
    </w:tblStylePr>
    <w:tblStylePr w:type="lastRow">
      <w:rPr>
        <w:b/>
        <w:bCs/>
      </w:rPr>
      <w:tblPr/>
      <w:tcPr>
        <w:tcBorders>
          <w:top w:val="double" w:sz="4" w:space="0" w:color="34009F" w:themeColor="accent1"/>
        </w:tcBorders>
      </w:tcPr>
    </w:tblStylePr>
    <w:tblStylePr w:type="firstCol">
      <w:rPr>
        <w:b/>
        <w:bCs/>
      </w:rPr>
    </w:tblStylePr>
    <w:tblStylePr w:type="lastCol">
      <w:rPr>
        <w:b/>
        <w:bCs/>
      </w:rPr>
    </w:tblStylePr>
    <w:tblStylePr w:type="band1Vert">
      <w:tblPr/>
      <w:tcPr>
        <w:shd w:val="clear" w:color="auto" w:fill="CFB8FF" w:themeFill="accent1" w:themeFillTint="33"/>
      </w:tcPr>
    </w:tblStylePr>
    <w:tblStylePr w:type="band1Horz">
      <w:tblPr/>
      <w:tcPr>
        <w:shd w:val="clear" w:color="auto" w:fill="CFB8FF" w:themeFill="accent1" w:themeFillTint="33"/>
      </w:tcPr>
    </w:tblStylePr>
  </w:style>
  <w:style w:type="paragraph" w:styleId="Textedebulles">
    <w:name w:val="Balloon Text"/>
    <w:basedOn w:val="Normal"/>
    <w:link w:val="TextedebullesCar"/>
    <w:uiPriority w:val="99"/>
    <w:semiHidden/>
    <w:unhideWhenUsed/>
    <w:rsid w:val="007151B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151BF"/>
    <w:rPr>
      <w:rFonts w:ascii="Tahoma" w:hAnsi="Tahoma" w:cs="Tahoma"/>
      <w:sz w:val="16"/>
      <w:szCs w:val="16"/>
      <w:lang w:val="en-GB"/>
    </w:rPr>
  </w:style>
  <w:style w:type="paragraph" w:styleId="TM4">
    <w:name w:val="toc 4"/>
    <w:basedOn w:val="TM1"/>
    <w:next w:val="Normal"/>
    <w:uiPriority w:val="39"/>
    <w:unhideWhenUsed/>
    <w:qFormat/>
    <w:rsid w:val="00F205B9"/>
    <w:pPr>
      <w:framePr w:wrap="around"/>
      <w:ind w:left="660"/>
    </w:pPr>
  </w:style>
  <w:style w:type="character" w:styleId="Marquedecommentaire">
    <w:name w:val="annotation reference"/>
    <w:basedOn w:val="Policepardfaut"/>
    <w:uiPriority w:val="99"/>
    <w:semiHidden/>
    <w:unhideWhenUsed/>
    <w:rsid w:val="00D33C31"/>
    <w:rPr>
      <w:sz w:val="16"/>
      <w:szCs w:val="16"/>
    </w:rPr>
  </w:style>
  <w:style w:type="paragraph" w:styleId="Commentaire">
    <w:name w:val="annotation text"/>
    <w:basedOn w:val="Normal"/>
    <w:link w:val="CommentaireCar"/>
    <w:uiPriority w:val="99"/>
    <w:unhideWhenUsed/>
    <w:rsid w:val="00D33C31"/>
    <w:pPr>
      <w:spacing w:line="240" w:lineRule="auto"/>
    </w:pPr>
    <w:rPr>
      <w:sz w:val="20"/>
    </w:rPr>
  </w:style>
  <w:style w:type="character" w:customStyle="1" w:styleId="CommentaireCar">
    <w:name w:val="Commentaire Car"/>
    <w:basedOn w:val="Policepardfaut"/>
    <w:link w:val="Commentaire"/>
    <w:uiPriority w:val="99"/>
    <w:rsid w:val="00D33C31"/>
    <w:rPr>
      <w:lang w:val="en-GB"/>
    </w:rPr>
  </w:style>
  <w:style w:type="paragraph" w:styleId="Objetducommentaire">
    <w:name w:val="annotation subject"/>
    <w:basedOn w:val="Commentaire"/>
    <w:next w:val="Commentaire"/>
    <w:link w:val="ObjetducommentaireCar"/>
    <w:uiPriority w:val="99"/>
    <w:semiHidden/>
    <w:unhideWhenUsed/>
    <w:rsid w:val="00D33C31"/>
    <w:rPr>
      <w:b/>
      <w:bCs/>
    </w:rPr>
  </w:style>
  <w:style w:type="character" w:customStyle="1" w:styleId="ObjetducommentaireCar">
    <w:name w:val="Objet du commentaire Car"/>
    <w:basedOn w:val="CommentaireCar"/>
    <w:link w:val="Objetducommentaire"/>
    <w:uiPriority w:val="99"/>
    <w:semiHidden/>
    <w:rsid w:val="00D33C31"/>
    <w:rPr>
      <w:b/>
      <w:bCs/>
      <w:lang w:val="en-GB"/>
    </w:rPr>
  </w:style>
  <w:style w:type="character" w:styleId="Mentionnonrsolue">
    <w:name w:val="Unresolved Mention"/>
    <w:basedOn w:val="Policepardfaut"/>
    <w:uiPriority w:val="99"/>
    <w:semiHidden/>
    <w:unhideWhenUsed/>
    <w:rsid w:val="004E5FF8"/>
    <w:rPr>
      <w:color w:val="605E5C"/>
      <w:shd w:val="clear" w:color="auto" w:fill="E1DFDD"/>
    </w:rPr>
  </w:style>
  <w:style w:type="numbering" w:customStyle="1" w:styleId="CurrentList1">
    <w:name w:val="Current List1"/>
    <w:uiPriority w:val="99"/>
    <w:rsid w:val="00672010"/>
    <w:pPr>
      <w:numPr>
        <w:numId w:val="3"/>
      </w:numPr>
    </w:pPr>
  </w:style>
  <w:style w:type="character" w:customStyle="1" w:styleId="ESMAConfidentialRestricted">
    <w:name w:val="ESMA Confidential/Restricted"/>
    <w:basedOn w:val="lev"/>
    <w:uiPriority w:val="1"/>
    <w:qFormat/>
    <w:rsid w:val="008858FE"/>
    <w:rPr>
      <w:b w:val="0"/>
      <w:bCs/>
      <w:caps/>
      <w:smallCaps w:val="0"/>
      <w:color w:val="FF0000" w:themeColor="accent6"/>
      <w:sz w:val="22"/>
    </w:rPr>
  </w:style>
  <w:style w:type="paragraph" w:customStyle="1" w:styleId="Disclaimer">
    <w:name w:val="Disclaimer"/>
    <w:basedOn w:val="Normal"/>
    <w:qFormat/>
    <w:rsid w:val="00906D18"/>
    <w:rPr>
      <w:i/>
      <w:iCs/>
      <w:sz w:val="18"/>
      <w:szCs w:val="18"/>
    </w:rPr>
  </w:style>
  <w:style w:type="paragraph" w:customStyle="1" w:styleId="ESMAHeader">
    <w:name w:val="ESMA Header"/>
    <w:basedOn w:val="En-tte"/>
    <w:qFormat/>
    <w:rsid w:val="00AF6B1E"/>
  </w:style>
  <w:style w:type="paragraph" w:customStyle="1" w:styleId="Pageheader">
    <w:name w:val="Page header"/>
    <w:basedOn w:val="En-tte"/>
    <w:next w:val="En-tte"/>
    <w:qFormat/>
    <w:rsid w:val="00AF6B1E"/>
  </w:style>
  <w:style w:type="character" w:customStyle="1" w:styleId="ESMARegularuse">
    <w:name w:val="ESMA Regular use"/>
    <w:basedOn w:val="ESMAConfidentialRestricted"/>
    <w:uiPriority w:val="1"/>
    <w:qFormat/>
    <w:rsid w:val="002A0C3C"/>
    <w:rPr>
      <w:b w:val="0"/>
      <w:bCs/>
      <w:caps/>
      <w:smallCaps w:val="0"/>
      <w:color w:val="007EFF" w:themeColor="text2"/>
      <w:sz w:val="22"/>
    </w:rPr>
  </w:style>
  <w:style w:type="paragraph" w:customStyle="1" w:styleId="References">
    <w:name w:val="References"/>
    <w:basedOn w:val="Normal"/>
    <w:qFormat/>
    <w:rsid w:val="00F205B9"/>
    <w:rPr>
      <w:rFonts w:ascii="Arial" w:eastAsia="Times New Roman" w:hAnsi="Arial" w:cs="Arial"/>
      <w:sz w:val="18"/>
      <w:szCs w:val="18"/>
      <w:lang w:eastAsia="de-DE"/>
    </w:rPr>
  </w:style>
  <w:style w:type="paragraph" w:styleId="TM5">
    <w:name w:val="toc 5"/>
    <w:basedOn w:val="Normal"/>
    <w:next w:val="Normal"/>
    <w:uiPriority w:val="39"/>
    <w:semiHidden/>
    <w:unhideWhenUsed/>
    <w:qFormat/>
    <w:rsid w:val="00F205B9"/>
    <w:pPr>
      <w:spacing w:after="100"/>
      <w:ind w:left="880"/>
    </w:pPr>
  </w:style>
  <w:style w:type="paragraph" w:styleId="TM6">
    <w:name w:val="toc 6"/>
    <w:basedOn w:val="Normal"/>
    <w:next w:val="Normal"/>
    <w:uiPriority w:val="39"/>
    <w:semiHidden/>
    <w:unhideWhenUsed/>
    <w:qFormat/>
    <w:rsid w:val="00F205B9"/>
    <w:pPr>
      <w:spacing w:after="100"/>
      <w:ind w:left="1100"/>
    </w:pPr>
  </w:style>
  <w:style w:type="paragraph" w:styleId="TM7">
    <w:name w:val="toc 7"/>
    <w:basedOn w:val="Normal"/>
    <w:next w:val="Normal"/>
    <w:uiPriority w:val="39"/>
    <w:semiHidden/>
    <w:unhideWhenUsed/>
    <w:qFormat/>
    <w:rsid w:val="00F205B9"/>
    <w:pPr>
      <w:spacing w:after="100"/>
      <w:ind w:left="1320"/>
    </w:pPr>
  </w:style>
  <w:style w:type="paragraph" w:styleId="TM8">
    <w:name w:val="toc 8"/>
    <w:basedOn w:val="Normal"/>
    <w:next w:val="Normal"/>
    <w:uiPriority w:val="39"/>
    <w:semiHidden/>
    <w:unhideWhenUsed/>
    <w:qFormat/>
    <w:rsid w:val="00F205B9"/>
    <w:pPr>
      <w:spacing w:after="100"/>
      <w:ind w:left="1540"/>
    </w:pPr>
  </w:style>
  <w:style w:type="paragraph" w:styleId="TM9">
    <w:name w:val="toc 9"/>
    <w:basedOn w:val="Normal"/>
    <w:next w:val="Normal"/>
    <w:uiPriority w:val="39"/>
    <w:semiHidden/>
    <w:unhideWhenUsed/>
    <w:qFormat/>
    <w:rsid w:val="00F205B9"/>
    <w:pPr>
      <w:spacing w:after="100"/>
      <w:ind w:left="1760"/>
    </w:pPr>
  </w:style>
  <w:style w:type="character" w:styleId="Lienhypertextesuivivisit">
    <w:name w:val="FollowedHyperlink"/>
    <w:basedOn w:val="Policepardfaut"/>
    <w:uiPriority w:val="99"/>
    <w:semiHidden/>
    <w:unhideWhenUsed/>
    <w:rsid w:val="0043139E"/>
    <w:rPr>
      <w:color w:val="0174AF" w:themeColor="followedHyperlink"/>
      <w:u w:val="single"/>
    </w:rPr>
  </w:style>
  <w:style w:type="character" w:customStyle="1" w:styleId="ParagraphedelisteCar">
    <w:name w:val="Paragraphe de liste Car"/>
    <w:aliases w:val="Paragraphe EI Car,Paragraphe de liste1 Car,EC Car"/>
    <w:link w:val="Paragraphedeliste"/>
    <w:uiPriority w:val="34"/>
    <w:locked/>
    <w:rsid w:val="00EC6066"/>
    <w:rPr>
      <w:rFonts w:asciiTheme="majorHAnsi" w:hAnsiTheme="majorHAnsi" w:cstheme="majorHAnsi"/>
      <w:color w:val="181818" w:themeColor="background1" w:themeShade="1A"/>
      <w:sz w:val="22"/>
      <w:szCs w:val="22"/>
      <w:lang w:val="pt-PT"/>
    </w:rPr>
  </w:style>
  <w:style w:type="paragraph" w:styleId="Rvision">
    <w:name w:val="Revision"/>
    <w:hidden/>
    <w:uiPriority w:val="99"/>
    <w:semiHidden/>
    <w:rsid w:val="004D5513"/>
    <w:pPr>
      <w:spacing w:after="0" w:line="240" w:lineRule="auto"/>
    </w:pPr>
    <w:rPr>
      <w:color w:val="181818" w:themeColor="background1" w:themeShade="1A"/>
      <w:sz w:val="22"/>
      <w:lang w:val="en-GB"/>
    </w:rPr>
  </w:style>
  <w:style w:type="paragraph" w:customStyle="1" w:styleId="pf0">
    <w:name w:val="pf0"/>
    <w:basedOn w:val="Normal"/>
    <w:rsid w:val="00061F32"/>
    <w:pPr>
      <w:spacing w:before="100" w:beforeAutospacing="1" w:after="100" w:afterAutospacing="1" w:line="240" w:lineRule="auto"/>
      <w:jc w:val="left"/>
    </w:pPr>
    <w:rPr>
      <w:rFonts w:ascii="Times New Roman" w:eastAsia="Times New Roman" w:hAnsi="Times New Roman" w:cs="Times New Roman"/>
      <w:color w:val="auto"/>
      <w:sz w:val="24"/>
      <w:szCs w:val="24"/>
      <w:lang w:eastAsia="en-GB"/>
    </w:rPr>
  </w:style>
  <w:style w:type="character" w:customStyle="1" w:styleId="cf01">
    <w:name w:val="cf01"/>
    <w:basedOn w:val="Policepardfaut"/>
    <w:rsid w:val="00061F32"/>
    <w:rPr>
      <w:rFonts w:ascii="Segoe UI" w:hAnsi="Segoe UI" w:cs="Segoe UI" w:hint="default"/>
      <w:sz w:val="18"/>
      <w:szCs w:val="18"/>
    </w:rPr>
  </w:style>
  <w:style w:type="character" w:customStyle="1" w:styleId="cf11">
    <w:name w:val="cf11"/>
    <w:basedOn w:val="Policepardfaut"/>
    <w:rsid w:val="00061F32"/>
    <w:rPr>
      <w:rFonts w:ascii="Segoe UI" w:hAnsi="Segoe UI" w:cs="Segoe UI" w:hint="default"/>
      <w:color w:val="333333"/>
      <w:sz w:val="18"/>
      <w:szCs w:val="18"/>
      <w:shd w:val="clear" w:color="auto" w:fill="FFFFFF"/>
    </w:rPr>
  </w:style>
  <w:style w:type="character" w:styleId="Mention">
    <w:name w:val="Mention"/>
    <w:basedOn w:val="Policepardfaut"/>
    <w:uiPriority w:val="99"/>
    <w:unhideWhenUsed/>
    <w:rsid w:val="00251F26"/>
    <w:rPr>
      <w:color w:val="2B579A"/>
      <w:shd w:val="clear" w:color="auto" w:fill="E1DFDD"/>
    </w:rPr>
  </w:style>
  <w:style w:type="character" w:styleId="Textedelespacerserv">
    <w:name w:val="Placeholder Text"/>
    <w:basedOn w:val="Policepardfaut"/>
    <w:uiPriority w:val="99"/>
    <w:semiHidden/>
    <w:rsid w:val="00635BCA"/>
    <w:rPr>
      <w:color w:val="808080"/>
    </w:rPr>
  </w:style>
  <w:style w:type="paragraph" w:customStyle="1" w:styleId="1AMAFI">
    <w:name w:val="1 AMAFI"/>
    <w:basedOn w:val="Normal"/>
    <w:link w:val="1AMAFICar"/>
    <w:qFormat/>
    <w:rsid w:val="003676A0"/>
    <w:pPr>
      <w:numPr>
        <w:numId w:val="16"/>
      </w:numPr>
      <w:suppressAutoHyphens/>
      <w:spacing w:after="0" w:line="240" w:lineRule="atLeast"/>
    </w:pPr>
    <w:rPr>
      <w:rFonts w:ascii="Arial" w:eastAsia="Times New Roman" w:hAnsi="Arial" w:cs="Arial"/>
      <w:color w:val="auto"/>
      <w:sz w:val="20"/>
      <w:lang w:val="fr-FR" w:eastAsia="ar-SA"/>
    </w:rPr>
  </w:style>
  <w:style w:type="character" w:customStyle="1" w:styleId="1AMAFICar">
    <w:name w:val="1 AMAFI Car"/>
    <w:basedOn w:val="Policepardfaut"/>
    <w:link w:val="1AMAFI"/>
    <w:rsid w:val="003676A0"/>
    <w:rPr>
      <w:rFonts w:ascii="Arial" w:eastAsia="Times New Roman" w:hAnsi="Arial" w:cs="Arial"/>
      <w:lang w:val="fr-FR" w:eastAsia="ar-SA"/>
    </w:rPr>
  </w:style>
  <w:style w:type="paragraph" w:customStyle="1" w:styleId="xelementtoproof">
    <w:name w:val="x_elementtoproof"/>
    <w:basedOn w:val="Normal"/>
    <w:rsid w:val="003676A0"/>
    <w:pPr>
      <w:spacing w:before="100" w:beforeAutospacing="1" w:after="100" w:afterAutospacing="1" w:line="240" w:lineRule="auto"/>
      <w:jc w:val="left"/>
    </w:pPr>
    <w:rPr>
      <w:rFonts w:ascii="Times New Roman" w:eastAsia="Times New Roman" w:hAnsi="Times New Roman" w:cs="Times New Roman"/>
      <w:color w:val="auto"/>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850870">
      <w:bodyDiv w:val="1"/>
      <w:marLeft w:val="0"/>
      <w:marRight w:val="0"/>
      <w:marTop w:val="0"/>
      <w:marBottom w:val="0"/>
      <w:divBdr>
        <w:top w:val="none" w:sz="0" w:space="0" w:color="auto"/>
        <w:left w:val="none" w:sz="0" w:space="0" w:color="auto"/>
        <w:bottom w:val="none" w:sz="0" w:space="0" w:color="auto"/>
        <w:right w:val="none" w:sz="0" w:space="0" w:color="auto"/>
      </w:divBdr>
    </w:div>
    <w:div w:id="133721471">
      <w:bodyDiv w:val="1"/>
      <w:marLeft w:val="0"/>
      <w:marRight w:val="0"/>
      <w:marTop w:val="0"/>
      <w:marBottom w:val="0"/>
      <w:divBdr>
        <w:top w:val="none" w:sz="0" w:space="0" w:color="auto"/>
        <w:left w:val="none" w:sz="0" w:space="0" w:color="auto"/>
        <w:bottom w:val="none" w:sz="0" w:space="0" w:color="auto"/>
        <w:right w:val="none" w:sz="0" w:space="0" w:color="auto"/>
      </w:divBdr>
    </w:div>
    <w:div w:id="290206457">
      <w:bodyDiv w:val="1"/>
      <w:marLeft w:val="0"/>
      <w:marRight w:val="0"/>
      <w:marTop w:val="0"/>
      <w:marBottom w:val="0"/>
      <w:divBdr>
        <w:top w:val="none" w:sz="0" w:space="0" w:color="auto"/>
        <w:left w:val="none" w:sz="0" w:space="0" w:color="auto"/>
        <w:bottom w:val="none" w:sz="0" w:space="0" w:color="auto"/>
        <w:right w:val="none" w:sz="0" w:space="0" w:color="auto"/>
      </w:divBdr>
    </w:div>
    <w:div w:id="325936776">
      <w:bodyDiv w:val="1"/>
      <w:marLeft w:val="0"/>
      <w:marRight w:val="0"/>
      <w:marTop w:val="0"/>
      <w:marBottom w:val="0"/>
      <w:divBdr>
        <w:top w:val="none" w:sz="0" w:space="0" w:color="auto"/>
        <w:left w:val="none" w:sz="0" w:space="0" w:color="auto"/>
        <w:bottom w:val="none" w:sz="0" w:space="0" w:color="auto"/>
        <w:right w:val="none" w:sz="0" w:space="0" w:color="auto"/>
      </w:divBdr>
    </w:div>
    <w:div w:id="381683110">
      <w:bodyDiv w:val="1"/>
      <w:marLeft w:val="0"/>
      <w:marRight w:val="0"/>
      <w:marTop w:val="0"/>
      <w:marBottom w:val="0"/>
      <w:divBdr>
        <w:top w:val="none" w:sz="0" w:space="0" w:color="auto"/>
        <w:left w:val="none" w:sz="0" w:space="0" w:color="auto"/>
        <w:bottom w:val="none" w:sz="0" w:space="0" w:color="auto"/>
        <w:right w:val="none" w:sz="0" w:space="0" w:color="auto"/>
      </w:divBdr>
      <w:divsChild>
        <w:div w:id="331496546">
          <w:marLeft w:val="0"/>
          <w:marRight w:val="0"/>
          <w:marTop w:val="0"/>
          <w:marBottom w:val="0"/>
          <w:divBdr>
            <w:top w:val="none" w:sz="0" w:space="0" w:color="auto"/>
            <w:left w:val="none" w:sz="0" w:space="0" w:color="auto"/>
            <w:bottom w:val="none" w:sz="0" w:space="0" w:color="auto"/>
            <w:right w:val="none" w:sz="0" w:space="0" w:color="auto"/>
          </w:divBdr>
        </w:div>
        <w:div w:id="1396322328">
          <w:marLeft w:val="0"/>
          <w:marRight w:val="0"/>
          <w:marTop w:val="0"/>
          <w:marBottom w:val="0"/>
          <w:divBdr>
            <w:top w:val="none" w:sz="0" w:space="0" w:color="auto"/>
            <w:left w:val="none" w:sz="0" w:space="0" w:color="auto"/>
            <w:bottom w:val="none" w:sz="0" w:space="0" w:color="auto"/>
            <w:right w:val="none" w:sz="0" w:space="0" w:color="auto"/>
          </w:divBdr>
        </w:div>
      </w:divsChild>
    </w:div>
    <w:div w:id="429936613">
      <w:bodyDiv w:val="1"/>
      <w:marLeft w:val="0"/>
      <w:marRight w:val="0"/>
      <w:marTop w:val="0"/>
      <w:marBottom w:val="0"/>
      <w:divBdr>
        <w:top w:val="none" w:sz="0" w:space="0" w:color="auto"/>
        <w:left w:val="none" w:sz="0" w:space="0" w:color="auto"/>
        <w:bottom w:val="none" w:sz="0" w:space="0" w:color="auto"/>
        <w:right w:val="none" w:sz="0" w:space="0" w:color="auto"/>
      </w:divBdr>
    </w:div>
    <w:div w:id="438109127">
      <w:bodyDiv w:val="1"/>
      <w:marLeft w:val="0"/>
      <w:marRight w:val="0"/>
      <w:marTop w:val="0"/>
      <w:marBottom w:val="0"/>
      <w:divBdr>
        <w:top w:val="none" w:sz="0" w:space="0" w:color="auto"/>
        <w:left w:val="none" w:sz="0" w:space="0" w:color="auto"/>
        <w:bottom w:val="none" w:sz="0" w:space="0" w:color="auto"/>
        <w:right w:val="none" w:sz="0" w:space="0" w:color="auto"/>
      </w:divBdr>
    </w:div>
    <w:div w:id="512767110">
      <w:bodyDiv w:val="1"/>
      <w:marLeft w:val="0"/>
      <w:marRight w:val="0"/>
      <w:marTop w:val="0"/>
      <w:marBottom w:val="0"/>
      <w:divBdr>
        <w:top w:val="none" w:sz="0" w:space="0" w:color="auto"/>
        <w:left w:val="none" w:sz="0" w:space="0" w:color="auto"/>
        <w:bottom w:val="none" w:sz="0" w:space="0" w:color="auto"/>
        <w:right w:val="none" w:sz="0" w:space="0" w:color="auto"/>
      </w:divBdr>
    </w:div>
    <w:div w:id="667440317">
      <w:bodyDiv w:val="1"/>
      <w:marLeft w:val="0"/>
      <w:marRight w:val="0"/>
      <w:marTop w:val="0"/>
      <w:marBottom w:val="0"/>
      <w:divBdr>
        <w:top w:val="none" w:sz="0" w:space="0" w:color="auto"/>
        <w:left w:val="none" w:sz="0" w:space="0" w:color="auto"/>
        <w:bottom w:val="none" w:sz="0" w:space="0" w:color="auto"/>
        <w:right w:val="none" w:sz="0" w:space="0" w:color="auto"/>
      </w:divBdr>
    </w:div>
    <w:div w:id="752361583">
      <w:bodyDiv w:val="1"/>
      <w:marLeft w:val="0"/>
      <w:marRight w:val="0"/>
      <w:marTop w:val="0"/>
      <w:marBottom w:val="0"/>
      <w:divBdr>
        <w:top w:val="none" w:sz="0" w:space="0" w:color="auto"/>
        <w:left w:val="none" w:sz="0" w:space="0" w:color="auto"/>
        <w:bottom w:val="none" w:sz="0" w:space="0" w:color="auto"/>
        <w:right w:val="none" w:sz="0" w:space="0" w:color="auto"/>
      </w:divBdr>
    </w:div>
    <w:div w:id="807629099">
      <w:bodyDiv w:val="1"/>
      <w:marLeft w:val="0"/>
      <w:marRight w:val="0"/>
      <w:marTop w:val="0"/>
      <w:marBottom w:val="0"/>
      <w:divBdr>
        <w:top w:val="none" w:sz="0" w:space="0" w:color="auto"/>
        <w:left w:val="none" w:sz="0" w:space="0" w:color="auto"/>
        <w:bottom w:val="none" w:sz="0" w:space="0" w:color="auto"/>
        <w:right w:val="none" w:sz="0" w:space="0" w:color="auto"/>
      </w:divBdr>
    </w:div>
    <w:div w:id="865211900">
      <w:bodyDiv w:val="1"/>
      <w:marLeft w:val="0"/>
      <w:marRight w:val="0"/>
      <w:marTop w:val="0"/>
      <w:marBottom w:val="0"/>
      <w:divBdr>
        <w:top w:val="none" w:sz="0" w:space="0" w:color="auto"/>
        <w:left w:val="none" w:sz="0" w:space="0" w:color="auto"/>
        <w:bottom w:val="none" w:sz="0" w:space="0" w:color="auto"/>
        <w:right w:val="none" w:sz="0" w:space="0" w:color="auto"/>
      </w:divBdr>
    </w:div>
    <w:div w:id="985351573">
      <w:bodyDiv w:val="1"/>
      <w:marLeft w:val="0"/>
      <w:marRight w:val="0"/>
      <w:marTop w:val="0"/>
      <w:marBottom w:val="0"/>
      <w:divBdr>
        <w:top w:val="none" w:sz="0" w:space="0" w:color="auto"/>
        <w:left w:val="none" w:sz="0" w:space="0" w:color="auto"/>
        <w:bottom w:val="none" w:sz="0" w:space="0" w:color="auto"/>
        <w:right w:val="none" w:sz="0" w:space="0" w:color="auto"/>
      </w:divBdr>
    </w:div>
    <w:div w:id="1192916529">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426878366">
      <w:bodyDiv w:val="1"/>
      <w:marLeft w:val="0"/>
      <w:marRight w:val="0"/>
      <w:marTop w:val="0"/>
      <w:marBottom w:val="0"/>
      <w:divBdr>
        <w:top w:val="none" w:sz="0" w:space="0" w:color="auto"/>
        <w:left w:val="none" w:sz="0" w:space="0" w:color="auto"/>
        <w:bottom w:val="none" w:sz="0" w:space="0" w:color="auto"/>
        <w:right w:val="none" w:sz="0" w:space="0" w:color="auto"/>
      </w:divBdr>
    </w:div>
    <w:div w:id="1565680347">
      <w:bodyDiv w:val="1"/>
      <w:marLeft w:val="0"/>
      <w:marRight w:val="0"/>
      <w:marTop w:val="0"/>
      <w:marBottom w:val="0"/>
      <w:divBdr>
        <w:top w:val="none" w:sz="0" w:space="0" w:color="auto"/>
        <w:left w:val="none" w:sz="0" w:space="0" w:color="auto"/>
        <w:bottom w:val="none" w:sz="0" w:space="0" w:color="auto"/>
        <w:right w:val="none" w:sz="0" w:space="0" w:color="auto"/>
      </w:divBdr>
    </w:div>
    <w:div w:id="1635792617">
      <w:bodyDiv w:val="1"/>
      <w:marLeft w:val="0"/>
      <w:marRight w:val="0"/>
      <w:marTop w:val="0"/>
      <w:marBottom w:val="0"/>
      <w:divBdr>
        <w:top w:val="none" w:sz="0" w:space="0" w:color="auto"/>
        <w:left w:val="none" w:sz="0" w:space="0" w:color="auto"/>
        <w:bottom w:val="none" w:sz="0" w:space="0" w:color="auto"/>
        <w:right w:val="none" w:sz="0" w:space="0" w:color="auto"/>
      </w:divBdr>
    </w:div>
    <w:div w:id="1688021496">
      <w:bodyDiv w:val="1"/>
      <w:marLeft w:val="0"/>
      <w:marRight w:val="0"/>
      <w:marTop w:val="0"/>
      <w:marBottom w:val="0"/>
      <w:divBdr>
        <w:top w:val="none" w:sz="0" w:space="0" w:color="auto"/>
        <w:left w:val="none" w:sz="0" w:space="0" w:color="auto"/>
        <w:bottom w:val="none" w:sz="0" w:space="0" w:color="auto"/>
        <w:right w:val="none" w:sz="0" w:space="0" w:color="auto"/>
      </w:divBdr>
    </w:div>
    <w:div w:id="194441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7" Type="http://schemas.openxmlformats.org/officeDocument/2006/relationships/hyperlink" Target="https://www.esma.europa.eu/about-esma/data-protection"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www.esma.europa.eu"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0FF21738C1433DBAFB661809AC1F87"/>
        <w:category>
          <w:name w:val="General"/>
          <w:gallery w:val="placeholder"/>
        </w:category>
        <w:types>
          <w:type w:val="bbPlcHdr"/>
        </w:types>
        <w:behaviors>
          <w:behavior w:val="content"/>
        </w:behaviors>
        <w:guid w:val="{BB6B11A5-903E-4592-B246-560AA99ABD93}"/>
      </w:docPartPr>
      <w:docPartBody>
        <w:p w:rsidR="009B6B9C" w:rsidRDefault="00B22006" w:rsidP="00B22006">
          <w:pPr>
            <w:pStyle w:val="2B0FF21738C1433DBAFB661809AC1F87"/>
          </w:pPr>
          <w:r w:rsidRPr="00DA1A90">
            <w:rPr>
              <w:rStyle w:val="Textedelespacerserv"/>
            </w:rPr>
            <w:t>Click or tap here to enter text.</w:t>
          </w:r>
        </w:p>
      </w:docPartBody>
    </w:docPart>
    <w:docPart>
      <w:docPartPr>
        <w:name w:val="9CC931E39FC74FAF9E2DD0BCDDF3C57E"/>
        <w:category>
          <w:name w:val="General"/>
          <w:gallery w:val="placeholder"/>
        </w:category>
        <w:types>
          <w:type w:val="bbPlcHdr"/>
        </w:types>
        <w:behaviors>
          <w:behavior w:val="content"/>
        </w:behaviors>
        <w:guid w:val="{717BAD26-F38A-44D4-9E3D-11CE2A826DB6}"/>
      </w:docPartPr>
      <w:docPartBody>
        <w:p w:rsidR="009B6B9C" w:rsidRDefault="00B22006" w:rsidP="00B22006">
          <w:pPr>
            <w:pStyle w:val="9CC931E39FC74FAF9E2DD0BCDDF3C57E"/>
          </w:pPr>
          <w:r w:rsidRPr="00DA1A90">
            <w:rPr>
              <w:rStyle w:val="Textedelespacerserv"/>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006"/>
    <w:rsid w:val="004E4CF9"/>
    <w:rsid w:val="006B1575"/>
    <w:rsid w:val="007C0DE0"/>
    <w:rsid w:val="00813189"/>
    <w:rsid w:val="008222A0"/>
    <w:rsid w:val="00836D47"/>
    <w:rsid w:val="009B6B9C"/>
    <w:rsid w:val="00B2200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B22006"/>
    <w:rPr>
      <w:color w:val="808080"/>
    </w:rPr>
  </w:style>
  <w:style w:type="paragraph" w:customStyle="1" w:styleId="2B0FF21738C1433DBAFB661809AC1F87">
    <w:name w:val="2B0FF21738C1433DBAFB661809AC1F87"/>
    <w:rsid w:val="00B22006"/>
  </w:style>
  <w:style w:type="paragraph" w:customStyle="1" w:styleId="9CC931E39FC74FAF9E2DD0BCDDF3C57E">
    <w:name w:val="9CC931E39FC74FAF9E2DD0BCDDF3C57E"/>
    <w:rsid w:val="00B220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ESMA DEF">
      <a:dk1>
        <a:srgbClr val="00379F"/>
      </a:dk1>
      <a:lt1>
        <a:srgbClr val="F0F0F0"/>
      </a:lt1>
      <a:dk2>
        <a:srgbClr val="007EFF"/>
      </a:dk2>
      <a:lt2>
        <a:srgbClr val="7BD200"/>
      </a:lt2>
      <a:accent1>
        <a:srgbClr val="34009F"/>
      </a:accent1>
      <a:accent2>
        <a:srgbClr val="DB5700"/>
      </a:accent2>
      <a:accent3>
        <a:srgbClr val="C1C1DE"/>
      </a:accent3>
      <a:accent4>
        <a:srgbClr val="BBD649"/>
      </a:accent4>
      <a:accent5>
        <a:srgbClr val="0174AF"/>
      </a:accent5>
      <a:accent6>
        <a:srgbClr val="FF0000"/>
      </a:accent6>
      <a:hlink>
        <a:srgbClr val="34009F"/>
      </a:hlink>
      <a:folHlink>
        <a:srgbClr val="0174A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8320B9F464054FA2FE653719241A07" ma:contentTypeVersion="17" ma:contentTypeDescription="Crée un document." ma:contentTypeScope="" ma:versionID="3b946b181c539c217434bca86d415089">
  <xsd:schema xmlns:xsd="http://www.w3.org/2001/XMLSchema" xmlns:xs="http://www.w3.org/2001/XMLSchema" xmlns:p="http://schemas.microsoft.com/office/2006/metadata/properties" xmlns:ns2="3493d938-54dc-49ea-ae3a-391a3c000925" xmlns:ns3="e625a815-686b-482d-b72d-0b41b8d86113" targetNamespace="http://schemas.microsoft.com/office/2006/metadata/properties" ma:root="true" ma:fieldsID="d20f6a6cdb3b9367a927fb47f13d9ac8" ns2:_="" ns3:_="">
    <xsd:import namespace="3493d938-54dc-49ea-ae3a-391a3c000925"/>
    <xsd:import namespace="e625a815-686b-482d-b72d-0b41b8d861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93d938-54dc-49ea-ae3a-391a3c0009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c6fcd274-55c3-4557-831b-7bdee9f67b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25a815-686b-482d-b72d-0b41b8d86113"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246819a0-7736-4bc7-9165-e63c51e794ea}" ma:internalName="TaxCatchAll" ma:showField="CatchAllData" ma:web="e625a815-686b-482d-b72d-0b41b8d861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625a815-686b-482d-b72d-0b41b8d86113">
      <Value>282</Value>
      <Value>9</Value>
      <Value>6</Value>
      <Value>158</Value>
      <Value>324</Value>
      <Value>323</Value>
    </TaxCatchAll>
    <SharedWithUsers xmlns="e625a815-686b-482d-b72d-0b41b8d86113">
      <UserInfo>
        <DisplayName>Kian Navid</DisplayName>
        <AccountId>329</AccountId>
        <AccountType/>
      </UserInfo>
      <UserInfo>
        <DisplayName>Christian Winkler</DisplayName>
        <AccountId>215</AccountId>
        <AccountType/>
      </UserInfo>
      <UserInfo>
        <DisplayName>Iris Hude</DisplayName>
        <AccountId>186</AccountId>
        <AccountType/>
      </UserInfo>
    </SharedWithUsers>
    <lcf76f155ced4ddcb4097134ff3c332f xmlns="3493d938-54dc-49ea-ae3a-391a3c00092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A8C881-81AC-4CD7-B2B8-F0BC837097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93d938-54dc-49ea-ae3a-391a3c000925"/>
    <ds:schemaRef ds:uri="e625a815-686b-482d-b72d-0b41b8d861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46212F-5043-4D90-84A4-4A69539C8640}">
  <ds:schemaRefs>
    <ds:schemaRef ds:uri="http://schemas.microsoft.com/sharepoint/v3/contenttype/forms"/>
  </ds:schemaRefs>
</ds:datastoreItem>
</file>

<file path=customXml/itemProps3.xml><?xml version="1.0" encoding="utf-8"?>
<ds:datastoreItem xmlns:ds="http://schemas.openxmlformats.org/officeDocument/2006/customXml" ds:itemID="{4AE7858C-3128-45EF-AE36-4A7D702B3BF5}">
  <ds:schemaRefs>
    <ds:schemaRef ds:uri="http://schemas.microsoft.com/office/2006/metadata/properties"/>
    <ds:schemaRef ds:uri="http://schemas.microsoft.com/office/infopath/2007/PartnerControls"/>
    <ds:schemaRef ds:uri="e625a815-686b-482d-b72d-0b41b8d86113"/>
    <ds:schemaRef ds:uri="3493d938-54dc-49ea-ae3a-391a3c000925"/>
  </ds:schemaRefs>
</ds:datastoreItem>
</file>

<file path=customXml/itemProps4.xml><?xml version="1.0" encoding="utf-8"?>
<ds:datastoreItem xmlns:ds="http://schemas.openxmlformats.org/officeDocument/2006/customXml" ds:itemID="{D45E8DB7-9625-4A6C-BC69-4BD924304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3556</Words>
  <Characters>19558</Characters>
  <Application>Microsoft Office Word</Application>
  <DocSecurity>8</DocSecurity>
  <Lines>162</Lines>
  <Paragraphs>46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ESMA</dc:creator>
  <cp:keywords/>
  <cp:lastModifiedBy>Emmanuel de Fournoux</cp:lastModifiedBy>
  <cp:revision>2</cp:revision>
  <cp:lastPrinted>2023-09-08T15:53:00Z</cp:lastPrinted>
  <dcterms:created xsi:type="dcterms:W3CDTF">2023-12-15T16:32:00Z</dcterms:created>
  <dcterms:modified xsi:type="dcterms:W3CDTF">2023-12-15T16:32:00Z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0x0101008D9E5D2C101BA04B85C7EB08C6516E40070063E1B3F6A3CBC848AC72876EC74C30A0</vt:lpwstr>
  </property>
  <property fmtid="{D5CDD505-2E9C-101B-9397-08002B2CF9AE}" pid="3" name="mf50acab3f6949599688191e8740e810">
    <vt:lpwstr>Regular|07f1e362-856b-423d-bea6-a14079762141</vt:lpwstr>
  </property>
  <property fmtid="{D5CDD505-2E9C-101B-9397-08002B2CF9AE}" pid="4" name="n84bf37b4eaf4fd99e887816221de8a8">
    <vt:lpwstr>EN|f7e7f686-dfa7-4032-a218-a5881e990598</vt:lpwstr>
  </property>
  <property fmtid="{D5CDD505-2E9C-101B-9397-08002B2CF9AE}" pid="5" name="ESMATemplatesConfidentialityLevel">
    <vt:lpwstr>17;#Public|a0c619ff-bd46-48f0-b213-6b7c03fe156d</vt:lpwstr>
  </property>
  <property fmtid="{D5CDD505-2E9C-101B-9397-08002B2CF9AE}" pid="6" name="ESMATemplatesTopic">
    <vt:lpwstr>58;#Report|066a9501-23d0-4103-814a-86d99d41b931</vt:lpwstr>
  </property>
  <property fmtid="{D5CDD505-2E9C-101B-9397-08002B2CF9AE}" pid="7" name="_dlc_DocIdItemGuid">
    <vt:lpwstr>19652987-5c33-4005-9194-eecf50ceef6c</vt:lpwstr>
  </property>
  <property fmtid="{D5CDD505-2E9C-101B-9397-08002B2CF9AE}" pid="8" name="EsmaAudience">
    <vt:lpwstr>158;#Post-Trading Standing Committee|b4466ad1-2610-4bb4-b77e-13cd08e75663</vt:lpwstr>
  </property>
  <property fmtid="{D5CDD505-2E9C-101B-9397-08002B2CF9AE}" pid="9" name="Topic">
    <vt:lpwstr>324;#CSDR Policy - General|db21dc18-4aa6-45e7-9a71-d37b675b6713</vt:lpwstr>
  </property>
  <property fmtid="{D5CDD505-2E9C-101B-9397-08002B2CF9AE}" pid="10" name="ConfidentialityLevel">
    <vt:lpwstr>6;#Regular|07f1e362-856b-423d-bea6-a14079762141</vt:lpwstr>
  </property>
  <property fmtid="{D5CDD505-2E9C-101B-9397-08002B2CF9AE}" pid="11" name="DocumentType">
    <vt:lpwstr>282;#Call for Evidence|4dd13041-d074-4513-b0c9-9d450ea451f0</vt:lpwstr>
  </property>
  <property fmtid="{D5CDD505-2E9C-101B-9397-08002B2CF9AE}" pid="12" name="Order">
    <vt:r8>52000</vt:r8>
  </property>
  <property fmtid="{D5CDD505-2E9C-101B-9397-08002B2CF9AE}" pid="13" name="DocumentSetDescription">
    <vt:lpwstr/>
  </property>
  <property fmtid="{D5CDD505-2E9C-101B-9397-08002B2CF9AE}" pid="14" name="TeamName">
    <vt:lpwstr>9;#Trading Unit|0cda11c1-7d91-4d51-b3a1-339122a07b73</vt:lpwstr>
  </property>
  <property fmtid="{D5CDD505-2E9C-101B-9397-08002B2CF9AE}" pid="15" name="SubTopic">
    <vt:lpwstr>323;#CSDR General - T + 1|a5a376d4-84eb-4354-ab81-b0766b380093</vt:lpwstr>
  </property>
</Properties>
</file>