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el"/>
          </w:pPr>
          <w:r>
            <w:t>Reply form</w:t>
          </w:r>
        </w:p>
        <w:p w14:paraId="031F2108" w14:textId="314EEC9D" w:rsidR="007E7997" w:rsidRDefault="00D77369" w:rsidP="00D77369">
          <w:pPr>
            <w:pStyle w:val="Undertitel"/>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Undertitel"/>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eafsnit"/>
          </w:pPr>
          <w:r w:rsidRPr="00E13D25">
            <w:t>respond to the question stated;</w:t>
          </w:r>
        </w:p>
        <w:p w14:paraId="72FD40F6" w14:textId="77777777" w:rsidR="002533FC" w:rsidRPr="00E13D25" w:rsidRDefault="002533FC" w:rsidP="00EC6066">
          <w:pPr>
            <w:pStyle w:val="Listeafsnit"/>
          </w:pPr>
          <w:r w:rsidRPr="00E13D25">
            <w:t>indicate the specific question to which the comment relates;</w:t>
          </w:r>
        </w:p>
        <w:p w14:paraId="78B206B7" w14:textId="77777777" w:rsidR="002533FC" w:rsidRPr="00E13D25" w:rsidRDefault="002533FC" w:rsidP="00EC6066">
          <w:pPr>
            <w:pStyle w:val="Listeafsnit"/>
          </w:pPr>
          <w:r w:rsidRPr="00E13D25">
            <w:t>contain a clear rationale; and</w:t>
          </w:r>
        </w:p>
        <w:p w14:paraId="60B8834E" w14:textId="77777777" w:rsidR="002533FC" w:rsidRPr="00E13D25" w:rsidRDefault="002533FC" w:rsidP="00EC6066">
          <w:pPr>
            <w:pStyle w:val="Listeafsnit"/>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Undertitel"/>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Overskrift1"/>
        <w:rPr>
          <w:lang w:val="fr-BE"/>
        </w:rPr>
      </w:pPr>
      <w:r>
        <w:rPr>
          <w:lang w:val="fr-BE"/>
        </w:rPr>
        <w:lastRenderedPageBreak/>
        <w:t xml:space="preserve">General information about </w:t>
      </w:r>
      <w:r w:rsidRPr="00501EF4">
        <w:t>respondent</w:t>
      </w:r>
    </w:p>
    <w:tbl>
      <w:tblPr>
        <w:tblStyle w:val="Tabel-Gitter"/>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53337D8F" w:rsidR="00635BCA" w:rsidRPr="00557BD2" w:rsidRDefault="000E1F72" w:rsidP="00D21C35">
                <w:r>
                  <w:t>Finance Denmark</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3211EC21" w:rsidR="00635BCA" w:rsidRPr="00557BD2" w:rsidRDefault="00493A41"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30144FBB" w:rsidR="00635BCA" w:rsidRPr="00557BD2" w:rsidRDefault="00493A41"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34FBBA4C" w:rsidR="00635BCA" w:rsidRPr="00557BD2" w:rsidRDefault="00493A41" w:rsidP="00D21C35">
                <w:r>
                  <w:t>Denmark</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Overskrift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eafsnit"/>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eafsnit"/>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39333A52" w14:textId="77777777" w:rsidR="00C430C5" w:rsidRDefault="00C430C5" w:rsidP="00C430C5">
      <w:permStart w:id="1228560568" w:edGrp="everyone"/>
      <w:r>
        <w:t>Introduction remark on securities settlement in Denmark:</w:t>
      </w:r>
    </w:p>
    <w:p w14:paraId="2C195A7A" w14:textId="77777777" w:rsidR="00C430C5" w:rsidRDefault="00C430C5" w:rsidP="00C430C5">
      <w:r>
        <w:t xml:space="preserve">Denmark migrated to the T2S platform for DKK and EUR settlement back in 2018 which means that many processes at CSD level are harmonised according to European T2S standards. </w:t>
      </w:r>
    </w:p>
    <w:p w14:paraId="63B0C6AC" w14:textId="0A8A033E" w:rsidR="00C430C5" w:rsidRDefault="00C430C5" w:rsidP="00C430C5">
      <w:r>
        <w:t xml:space="preserve">However, considering the Danish market practise of having a segregated account structure rather than an omnibus account structure at CSD level (which is more common in the European securities settlement landscape), it was decided - at the time of migration to the T2S platform - that the securities accounts belonging to retails clients and the securities settlement of retail </w:t>
      </w:r>
      <w:r>
        <w:lastRenderedPageBreak/>
        <w:t xml:space="preserve">clients were to remain on the original </w:t>
      </w:r>
      <w:r w:rsidR="001F54F9">
        <w:t>proprietary</w:t>
      </w:r>
      <w:r>
        <w:t xml:space="preserve"> platform in the Danish CSD and to settle accordingly on this platform. An ECB derogation was granted allowing up to 5 % of total settlement volume to be settle on the </w:t>
      </w:r>
      <w:r w:rsidR="001F54F9">
        <w:t>proprietary</w:t>
      </w:r>
      <w:r>
        <w:t xml:space="preserve"> platform.</w:t>
      </w:r>
    </w:p>
    <w:p w14:paraId="3661F1BF" w14:textId="1F9010C3" w:rsidR="00C430C5" w:rsidRDefault="00C430C5" w:rsidP="00C430C5">
      <w:r>
        <w:t xml:space="preserve">Hence, there are two settlement platforms for securities settlements in Denmark, i) the T2S platform with settlement cycles, ii) the </w:t>
      </w:r>
      <w:r w:rsidR="001F54F9">
        <w:t>proprietary</w:t>
      </w:r>
      <w:r>
        <w:t xml:space="preserve"> platform referred to as the 'Classic' platform with batch settlement. Both platforms are operated by the Danish CSD, Euronext Securities Copenhagen. </w:t>
      </w:r>
    </w:p>
    <w:p w14:paraId="719694C0" w14:textId="77777777" w:rsidR="00C430C5" w:rsidRDefault="00C430C5" w:rsidP="00C430C5">
      <w:r>
        <w:t xml:space="preserve">Note: Settlement on the Classic platform is supported in DKK, </w:t>
      </w:r>
      <w:proofErr w:type="gramStart"/>
      <w:r>
        <w:t>EUR</w:t>
      </w:r>
      <w:proofErr w:type="gramEnd"/>
      <w:r>
        <w:t xml:space="preserve"> and SEK. For settlement in either of the three currencies you must as a participant of the Danish CSD have access to liquidity of relevant currency either directly yourself or via a payment bank. </w:t>
      </w:r>
    </w:p>
    <w:p w14:paraId="6F2EF498" w14:textId="77777777" w:rsidR="00C430C5" w:rsidRDefault="00C430C5" w:rsidP="00C430C5">
      <w:r>
        <w:t>Issues in relation to shortening of settlement circle may differ depending on which platform the transaction is settling.</w:t>
      </w:r>
    </w:p>
    <w:p w14:paraId="1CCCF983" w14:textId="776A6559" w:rsidR="00C5469A" w:rsidRDefault="00C430C5" w:rsidP="00C430C5">
      <w:r>
        <w:t>Comments in the following text, will generally be referring the T2S platform unless otherwise is stated.</w:t>
      </w:r>
    </w:p>
    <w:p w14:paraId="6271224C" w14:textId="68636CD9" w:rsidR="005E4ADF" w:rsidRDefault="005E4ADF" w:rsidP="00C430C5">
      <w:r>
        <w:t xml:space="preserve">(i) </w:t>
      </w:r>
    </w:p>
    <w:p w14:paraId="433E2803" w14:textId="77777777" w:rsidR="001F54F9" w:rsidRDefault="001F54F9" w:rsidP="001F54F9">
      <w:r>
        <w:t>Late trading will challenge the possibility to settle T+1. Suggestion will be to close the Stock Exchange earlier than today.</w:t>
      </w:r>
    </w:p>
    <w:p w14:paraId="6EA2ABA4" w14:textId="77777777" w:rsidR="001F54F9" w:rsidRDefault="001F54F9" w:rsidP="001F54F9">
      <w:r>
        <w:t xml:space="preserve">Shortening the settlement time on T2S in DKK will be possible with a minimum of changes; but the problem will be to get the liquidity in time, especially where customer use another bank to cover liquidity than the one used for settlement in T2S. The Danish market have an 'interbank agreement', with a cut-off for liquidity moves </w:t>
      </w:r>
      <w:proofErr w:type="spellStart"/>
      <w:r>
        <w:t>betwen</w:t>
      </w:r>
      <w:proofErr w:type="spellEnd"/>
      <w:r>
        <w:t xml:space="preserve"> the banks and its customers.</w:t>
      </w:r>
    </w:p>
    <w:p w14:paraId="3C5DA138" w14:textId="2D5930F1" w:rsidR="001F54F9" w:rsidRDefault="001F54F9" w:rsidP="001F54F9">
      <w:r>
        <w:t xml:space="preserve">When it comes to the post trade processing on behalf of custodians and foreign investors, we do have some observations </w:t>
      </w:r>
      <w:proofErr w:type="gramStart"/>
      <w:r>
        <w:t>in regards to</w:t>
      </w:r>
      <w:proofErr w:type="gramEnd"/>
      <w:r>
        <w:t xml:space="preserve"> the timing of which all aspects can be managed. Settlement needs to be compressed </w:t>
      </w:r>
      <w:proofErr w:type="spellStart"/>
      <w:proofErr w:type="gramStart"/>
      <w:r>
        <w:t>ie</w:t>
      </w:r>
      <w:proofErr w:type="spellEnd"/>
      <w:proofErr w:type="gramEnd"/>
      <w:r>
        <w:t xml:space="preserve"> Instructions for match and settlement need to enter the market sooner, liquidity and cash funding for settlement purposes depend on reporting abilities between the market, CSD/T2S, the agent/</w:t>
      </w:r>
      <w:proofErr w:type="spellStart"/>
      <w:r>
        <w:t>subcustodian</w:t>
      </w:r>
      <w:proofErr w:type="spellEnd"/>
      <w:r>
        <w:t>, the global custodian(s) and possible the fund manager or others acting either as investor or investors representative. The window within which, the custodian receives matching status from the agent/</w:t>
      </w:r>
      <w:proofErr w:type="spellStart"/>
      <w:r>
        <w:t>subcustodian</w:t>
      </w:r>
      <w:proofErr w:type="spellEnd"/>
      <w:r>
        <w:t xml:space="preserve"> enabling adequate assessment and consequent payment instructions, for funding of the related cash account at agent level narrows down. There may even be a need for trading </w:t>
      </w:r>
      <w:proofErr w:type="spellStart"/>
      <w:r>
        <w:t>fx</w:t>
      </w:r>
      <w:proofErr w:type="spellEnd"/>
      <w:r>
        <w:t xml:space="preserve"> in between. Furthermore, custodians operate on a global scale, and may be impacted by differences in time zone between market and operations. If operation or </w:t>
      </w:r>
      <w:proofErr w:type="gramStart"/>
      <w:r>
        <w:t>back office</w:t>
      </w:r>
      <w:proofErr w:type="gramEnd"/>
      <w:r>
        <w:t xml:space="preserve"> functions lie east to the market, this window may narrow even further. At least on short term we will probably see a </w:t>
      </w:r>
      <w:r>
        <w:lastRenderedPageBreak/>
        <w:t>decrease of a</w:t>
      </w:r>
      <w:r>
        <w:t xml:space="preserve"> </w:t>
      </w:r>
      <w:r>
        <w:t>settlement ratio (increased fails) a higher demand for securities lending, cash penalties etc.</w:t>
      </w:r>
    </w:p>
    <w:p w14:paraId="7A194FAC" w14:textId="46EF9FC8" w:rsidR="00173374" w:rsidRDefault="00173374" w:rsidP="001F54F9">
      <w:r>
        <w:t>(ii)</w:t>
      </w:r>
    </w:p>
    <w:p w14:paraId="1A11D4B4" w14:textId="2D3F9D55" w:rsidR="00173374" w:rsidRDefault="00173374" w:rsidP="00173374">
      <w:r>
        <w:t xml:space="preserve">For T+0: Missing local </w:t>
      </w:r>
      <w:proofErr w:type="spellStart"/>
      <w:r>
        <w:t>infrastrucure</w:t>
      </w:r>
      <w:proofErr w:type="spellEnd"/>
      <w:r>
        <w:t xml:space="preserve"> support on mass settlement, </w:t>
      </w:r>
      <w:r w:rsidR="00593CA0">
        <w:t>e.g.,</w:t>
      </w:r>
      <w:r>
        <w:t xml:space="preserve"> seen in settlement of dividends, which has a limit of maximum 2.500 linked settlement transactions in same ISIN. A T2S change is needed and will be a prerequisite for shortening the settlement cycle. </w:t>
      </w:r>
    </w:p>
    <w:p w14:paraId="0F4D073A" w14:textId="5E823F4F" w:rsidR="00173374" w:rsidRDefault="00173374" w:rsidP="00173374">
      <w:r>
        <w:t xml:space="preserve">In a Cross Border </w:t>
      </w:r>
      <w:r w:rsidR="00593CA0">
        <w:t>environment,</w:t>
      </w:r>
      <w:r>
        <w:t xml:space="preserve"> </w:t>
      </w:r>
      <w:r w:rsidR="00593CA0">
        <w:t>several</w:t>
      </w:r>
      <w:r>
        <w:t xml:space="preserve"> challenges arise. Different market structures, different rules between </w:t>
      </w:r>
      <w:proofErr w:type="spellStart"/>
      <w:proofErr w:type="gramStart"/>
      <w:r>
        <w:t>f.ex</w:t>
      </w:r>
      <w:proofErr w:type="spellEnd"/>
      <w:proofErr w:type="gramEnd"/>
      <w:r>
        <w:t xml:space="preserve"> US and EU. A few examples of differences; Cut off times not mandatory in DTC per se, late matching penalties not applicable in US compared to EU CSDR. US is based on penalizing </w:t>
      </w:r>
      <w:proofErr w:type="spellStart"/>
      <w:r>
        <w:t>inefficincies</w:t>
      </w:r>
      <w:proofErr w:type="spellEnd"/>
      <w:r>
        <w:t xml:space="preserve"> through additional costs. There's no US equivalent to the EU Settlement Finality Directive (SFD). Processing wise cross border transactions are not handled STP, volumes are low in comparison, however important to mention.</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76EBB537" w:rsidR="00C5469A" w:rsidRDefault="00E22F20" w:rsidP="00C5469A">
      <w:permStart w:id="45707097" w:edGrp="everyone"/>
      <w:r w:rsidRPr="00E22F20">
        <w:t xml:space="preserve">We support information from ICMA and AFME. For non-EUR countries there is a need for </w:t>
      </w:r>
      <w:r w:rsidR="00593CA0" w:rsidRPr="00E22F20">
        <w:t>more currency</w:t>
      </w:r>
      <w:r w:rsidRPr="00E22F20">
        <w:t xml:space="preserve"> exchanges with shorter settlement to follow the security settlement cycle. This will most likely put a pressure on the operational processes and lead to more expensive currency trading.</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lastRenderedPageBreak/>
        <w:t>&lt;ESMA_QUESTION_SETT_3&gt;</w:t>
      </w:r>
    </w:p>
    <w:p w14:paraId="0A8B20FE" w14:textId="02172DCB" w:rsidR="00C54490" w:rsidRDefault="00C54490" w:rsidP="00C54490">
      <w:permStart w:id="1188046948" w:edGrp="everyone"/>
      <w:r>
        <w:t xml:space="preserve">We assess STP (Strait Through Processing) as the level of automation and not as settlement efficiency, which is something else. It is difficult to estimate a general STP ratio for the Danish market as this often depend on type of instrument, underlying customer sending the original transaction/swift and intermediary institution(s) forwarding the instruction to the CSD/T2S for settlement. Our rough estimate is that we are well above 95% and base this on very high-level input from a large part of the membership banks in Denmark. This said our experience is that the level of STP is a bit higher on national transactions than on transactions that involves custodian transactions or cross-border </w:t>
      </w:r>
      <w:r>
        <w:t>transactions,</w:t>
      </w:r>
      <w:r>
        <w:t xml:space="preserve"> and our guess is that this is due to a longer chain and in general our experience is that STP rates goes down the further from the CSD that we are in the transaction chain. But STP rates also vary between the different institutions and the different clients.     </w:t>
      </w:r>
    </w:p>
    <w:p w14:paraId="6670AB80" w14:textId="77777777" w:rsidR="00C54490" w:rsidRDefault="00C54490" w:rsidP="00C54490">
      <w:r>
        <w:t xml:space="preserve">Regarding settlement efficiency: </w:t>
      </w:r>
    </w:p>
    <w:p w14:paraId="0B704D1B" w14:textId="77777777" w:rsidR="00C54490" w:rsidRDefault="00C54490" w:rsidP="00C54490">
      <w:r>
        <w:t>ES-CPH Danish CSD advised that the settlement rate in October 2023 was 97.6% and the T2S settlement was 97.9%. The batch flow punctuality was 99.0%. In October two batches were delayed due to minor disturbances.</w:t>
      </w:r>
    </w:p>
    <w:p w14:paraId="2119D8B5" w14:textId="32731E69" w:rsidR="00C5469A" w:rsidRDefault="00C54490" w:rsidP="00C54490">
      <w:r>
        <w:t>In November, the ES-CPH settlement rate was 98.9% and the T2S settlement was 98.0</w:t>
      </w:r>
      <w:proofErr w:type="gramStart"/>
      <w:r>
        <w:t>%.The</w:t>
      </w:r>
      <w:proofErr w:type="gramEnd"/>
      <w:r>
        <w:t xml:space="preserve"> batch flow punctuality was 98.5%.</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667588BF" w14:textId="5273F90D" w:rsidR="006A1B54" w:rsidRDefault="006A1B54" w:rsidP="006A1B54">
      <w:permStart w:id="19423711" w:edGrp="everyone"/>
      <w:r>
        <w:t xml:space="preserve">Customers who buy/sell from own bank (inhouse) is </w:t>
      </w:r>
      <w:r>
        <w:t>extremely effective</w:t>
      </w:r>
      <w:r>
        <w:t xml:space="preserve"> in Denmark. But when it comes to third party trading the settlement include more participants, with respective processes that can delay instruction and settlement in the Post Trade chain.  </w:t>
      </w:r>
    </w:p>
    <w:p w14:paraId="5794F5A4" w14:textId="5216D0DE" w:rsidR="00C5469A" w:rsidRDefault="006A1B54" w:rsidP="006A1B54">
      <w:r>
        <w:t>Non-inhouse settlement consequently increases the complexity rate for each external party in the Post Trade chain which on the other hand decreases the STP rate.</w:t>
      </w:r>
    </w:p>
    <w:permEnd w:id="19423711"/>
    <w:p w14:paraId="08A0832D" w14:textId="77777777" w:rsidR="00C5469A" w:rsidRDefault="00C5469A" w:rsidP="00C5469A">
      <w:r>
        <w:lastRenderedPageBreak/>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EA48A43" w14:textId="17E1926D" w:rsidR="00C5469A" w:rsidRDefault="00BF0DB9" w:rsidP="00C5469A">
      <w:permStart w:id="1238857977" w:edGrp="everyone"/>
      <w:r w:rsidRPr="00BF0DB9">
        <w:t xml:space="preserve">Costs would be contingent on the roadmap and timeline that is ultimately </w:t>
      </w:r>
      <w:r w:rsidRPr="00BF0DB9">
        <w:t>agreed but</w:t>
      </w:r>
      <w:r w:rsidRPr="00BF0DB9">
        <w:t xml:space="preserve"> are generally expected to be accrued in the short-term. Costs will not be borne equally, and we need to consider that smaller market participants may generally have to undertake more significant levels of preparation for T+1 thus incurring greater </w:t>
      </w:r>
      <w:r w:rsidRPr="00BF0DB9">
        <w:t>costs. One</w:t>
      </w:r>
      <w:r w:rsidRPr="00BF0DB9">
        <w:t xml:space="preserve">-off costs would involve making operational changes like additional staff if required and technical changes like process optimization, 100% </w:t>
      </w:r>
      <w:r w:rsidR="004008EC" w:rsidRPr="00BF0DB9">
        <w:t>automation, to</w:t>
      </w:r>
      <w:r w:rsidRPr="00BF0DB9">
        <w:t xml:space="preserve"> cater to T+1 and eventually T+0 scenario in EU. On-going cost could be the requirement of additional staff should the level of unmatched or unsettled trades not return to previous levels after introduction of a shorted settlement cycle.</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7FD56D0" w14:textId="7457DB85" w:rsidR="00C5469A" w:rsidRDefault="00643C5C" w:rsidP="00C5469A">
      <w:permStart w:id="367399486" w:edGrp="everyone"/>
      <w:r w:rsidRPr="00643C5C">
        <w:t xml:space="preserve">We expect with the introduction </w:t>
      </w:r>
      <w:r w:rsidRPr="00643C5C">
        <w:t>of shorter</w:t>
      </w:r>
      <w:r w:rsidRPr="00643C5C">
        <w:t xml:space="preserve"> settlement cycles that settlement fails would increase at the </w:t>
      </w:r>
      <w:r w:rsidRPr="00643C5C">
        <w:t>initial</w:t>
      </w:r>
      <w:r w:rsidRPr="00643C5C">
        <w:t xml:space="preserve"> introduction and </w:t>
      </w:r>
      <w:r w:rsidRPr="00643C5C">
        <w:t>startup</w:t>
      </w:r>
      <w:r w:rsidRPr="00643C5C">
        <w:t xml:space="preserve"> phase by roughly 25% since the biggest issue today is lack of securities which we anticipate will increase with a shorter settlement cycle. We would expect a rise in penalties </w:t>
      </w:r>
      <w:r w:rsidRPr="00643C5C">
        <w:t>especially</w:t>
      </w:r>
      <w:r w:rsidRPr="00643C5C">
        <w:t xml:space="preserve"> related to late matching. After the introduction period it is our assumption that these numbers would begin to decrease. We also expect a change in the penalties moving from Late Settlement to more penalties being received for Late Matching. With reduced settlement cycles reduced time frames are available whereby counterparties would have less time to agree on SSI's and general trade details. Should T+0 come into play </w:t>
      </w:r>
      <w:r w:rsidRPr="00643C5C">
        <w:lastRenderedPageBreak/>
        <w:t>the risk for late matching and settlement would increase as any delay from counterparties would relate in late matching and subsequent late settlement.</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1498C47B" w:rsidR="00C5469A" w:rsidRDefault="00F25BF8" w:rsidP="00C5469A">
      <w:permStart w:id="1217420632" w:edGrp="everyone"/>
      <w:r w:rsidRPr="00F25BF8">
        <w:t xml:space="preserve">Based on our experience from the T+3 to T+2 move we would expect that in the short term the number of matching fails could increase, especially if the market has a short time to adapt to shortened settlement cycles. We expect that the actual settlement fails impact would be more limited. In the longer term we would expect the number of </w:t>
      </w:r>
      <w:proofErr w:type="gramStart"/>
      <w:r w:rsidRPr="00F25BF8">
        <w:t>settlement</w:t>
      </w:r>
      <w:proofErr w:type="gramEnd"/>
      <w:r w:rsidRPr="00F25BF8">
        <w:t xml:space="preserve"> fails to decrease. This requires that market participants </w:t>
      </w:r>
      <w:proofErr w:type="gramStart"/>
      <w:r w:rsidRPr="00F25BF8">
        <w:t>are able to</w:t>
      </w:r>
      <w:proofErr w:type="gramEnd"/>
      <w:r w:rsidRPr="00F25BF8">
        <w:t xml:space="preserve"> speed-up their processes for trade allocations and related instruction processes. If the number of matching fails could be reduced that would also have positive impact on settlement fails. In most cases settlement fails are inventory issues due to high interlinkage of trades, </w:t>
      </w:r>
      <w:r w:rsidR="00B4759D" w:rsidRPr="00F25BF8">
        <w:t>i.e.,</w:t>
      </w:r>
      <w:r w:rsidRPr="00F25BF8">
        <w:t xml:space="preserve"> one is not able to deliver, because he has not received the securities as scheduled.</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232DB738" w:rsidR="00C5469A" w:rsidRDefault="00120203" w:rsidP="00C5469A">
      <w:permStart w:id="736563321" w:edGrp="everyone"/>
      <w:r w:rsidRPr="00120203">
        <w:t xml:space="preserve">As we have seen with the introduction of T+1 in U.S and Canada for the EU markets, Asset Managers and other intermediaries outside European time zones may need to adapt their location or working hours to accommodate shortened processing times. The FX trading could require a change of working hours for relevant staff and a change of cut-off times in national </w:t>
      </w:r>
      <w:r w:rsidRPr="00120203">
        <w:t>banks.</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16E9D00B" w:rsidR="00C5469A" w:rsidRDefault="006E1B90" w:rsidP="00C5469A">
      <w:permStart w:id="1982556193" w:edGrp="everyone"/>
      <w:r w:rsidRPr="006E1B90">
        <w:t xml:space="preserve">Yes, we agree with the named benefits of reduced counterparty risk and related collateral needs. In </w:t>
      </w:r>
      <w:r w:rsidR="004008EC" w:rsidRPr="006E1B90">
        <w:t>addition,</w:t>
      </w:r>
      <w:r w:rsidRPr="006E1B90">
        <w:t xml:space="preserve"> the requirement of more automated solutions to achieve T+1 and T+0 Settlement will bring benefit to the operational processing space with the potential reduction of manual intervention and potential cost savings.</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5EF4BE2F" w:rsidR="00C5469A" w:rsidRDefault="00264875" w:rsidP="00C5469A">
      <w:permStart w:id="639642393" w:edGrp="everyone"/>
      <w:r w:rsidRPr="00264875">
        <w:t xml:space="preserve">We hope that long term cost savings would arise from lower collateral requirements and improved settlement efficiency in the processes related to the post trade </w:t>
      </w:r>
      <w:r w:rsidRPr="00264875">
        <w:t>environment</w:t>
      </w:r>
      <w:r w:rsidRPr="00264875">
        <w:t>.</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24C8D150" w:rsidR="00C5469A" w:rsidRDefault="008F1AD3" w:rsidP="00C5469A">
      <w:permStart w:id="78006216" w:edGrp="everyone"/>
      <w:r w:rsidRPr="008F1AD3">
        <w:lastRenderedPageBreak/>
        <w:t xml:space="preserve">Too early to provide estimates of the benefits from moving to shorter settlement cycle. We may be in a better position to share this once T+1 is live in </w:t>
      </w:r>
      <w:r>
        <w:t>North America.</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0B813DB0" w:rsidR="00C5469A" w:rsidRDefault="00AE74FD" w:rsidP="00C5469A">
      <w:permStart w:id="27267923" w:edGrp="everyone"/>
      <w:r w:rsidRPr="00AE74FD">
        <w:t xml:space="preserve">Shortening settlement cycle from T+3 to T+2 had some positive effects adding liquidity generally in the market. Accelerating the settlement period to T+1 or T+0 should have a similar effect. Similar effect could be seen for banks and other investors at large. However, we expect the impact on liquidity being minor. Further there might be a rebalancing of activity that has moved to the US </w:t>
      </w:r>
      <w:proofErr w:type="gramStart"/>
      <w:r w:rsidRPr="00AE74FD">
        <w:t>as a consequence of</w:t>
      </w:r>
      <w:proofErr w:type="gramEnd"/>
      <w:r w:rsidRPr="00AE74FD">
        <w:t xml:space="preserve"> the US T+1 move, some of that activity might move back to the EU.</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019E0E12" w14:textId="5A6DC732" w:rsidR="00C5469A" w:rsidRDefault="001D2EB6" w:rsidP="00C5469A">
      <w:permStart w:id="75696228" w:edGrp="everyone"/>
      <w:r w:rsidRPr="001D2EB6">
        <w:t xml:space="preserve">Retail investors would receive securities or cash from their transactions earlier. </w:t>
      </w:r>
      <w:r w:rsidRPr="001D2EB6">
        <w:t>Also,</w:t>
      </w:r>
      <w:r w:rsidRPr="001D2EB6">
        <w:t xml:space="preserve"> likely that interest and dividend payment cycles would be shortened respectively. This would be in line with the expectations of more "instant" services from the retail customer base.</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619FEDE9" w14:textId="27D48606" w:rsidR="00790C58" w:rsidRDefault="00790C58" w:rsidP="00790C58">
      <w:permStart w:id="1702320082" w:edGrp="everyone"/>
      <w:r>
        <w:t xml:space="preserve">We see the main benefit of a shorter settlement cycle being a more automated process along the value chain. </w:t>
      </w:r>
      <w:proofErr w:type="gramStart"/>
      <w:r>
        <w:t>In order to</w:t>
      </w:r>
      <w:proofErr w:type="gramEnd"/>
      <w:r>
        <w:t xml:space="preserve"> achieve cost savings automation for processing would be required </w:t>
      </w:r>
      <w:r>
        <w:lastRenderedPageBreak/>
        <w:t xml:space="preserve">along the whole value chain thus improving processing from an operational perspective and hopefully reducing cost by removing manual processes such as trade input and corrections. Although we expect to see an increase in penalties in the </w:t>
      </w:r>
      <w:r>
        <w:t>initial</w:t>
      </w:r>
      <w:r>
        <w:t xml:space="preserve"> phases due to late matching and </w:t>
      </w:r>
      <w:r>
        <w:t>settlement,</w:t>
      </w:r>
      <w:r>
        <w:t xml:space="preserve"> we would expect these to reduce to normal levels within a short time frame after introduction. It is hard to list benefits in relation to T+0 at this time as better automated solutions would be required by all parties to </w:t>
      </w:r>
      <w:r>
        <w:t>achieve</w:t>
      </w:r>
      <w:r>
        <w:t xml:space="preserve"> a </w:t>
      </w:r>
      <w:r>
        <w:t>seamless</w:t>
      </w:r>
      <w:r>
        <w:t xml:space="preserve"> processing flow which </w:t>
      </w:r>
      <w:r w:rsidR="00ED3242">
        <w:t>entails</w:t>
      </w:r>
      <w:r>
        <w:t xml:space="preserve"> additional </w:t>
      </w:r>
      <w:r w:rsidR="00ED3242">
        <w:t>startup</w:t>
      </w:r>
      <w:r>
        <w:t xml:space="preserve"> costs. Benefits </w:t>
      </w:r>
      <w:r w:rsidR="00ED3242">
        <w:t>achieved</w:t>
      </w:r>
      <w:r>
        <w:t xml:space="preserve"> from a move to T+1 would need to be </w:t>
      </w:r>
      <w:r w:rsidR="00ED3242">
        <w:t>analysed</w:t>
      </w:r>
      <w:r>
        <w:t xml:space="preserve"> prior to moving to T+0 to ensure cost </w:t>
      </w:r>
      <w:r w:rsidR="00ED3242">
        <w:t>efficiency</w:t>
      </w:r>
      <w:r>
        <w:t>.</w:t>
      </w:r>
    </w:p>
    <w:p w14:paraId="3240CBCD" w14:textId="221B01AE" w:rsidR="00C5469A" w:rsidRDefault="00790C58" w:rsidP="00790C58">
      <w:r>
        <w:t>On the cost side we expect increased cost for developing automation in a T+1 scenario while T+0 scenario will require a new and different infrastructure which will be very costly.</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1B4A32E5" w14:textId="77777777" w:rsidR="004C1D1A" w:rsidRDefault="004C1D1A" w:rsidP="004C1D1A">
      <w:permStart w:id="1673478500" w:edGrp="everyone"/>
      <w:r>
        <w:t xml:space="preserve">In our opinion first step before even talking about shortening settlement cycles, should be working on a higher settlement efficiency. Not particularly in Denmark, but across Europe. If this is not taken in consideration before moving to T+1, the settlement fails would most likely increase. We are aware that UK might be moving to T+1 in 2026 but that should not lead to a forced or hastily implementation in EU. We would prefer an alignment with UK go-live if UK would be willing to wait for EU which is a more complex market.  </w:t>
      </w:r>
    </w:p>
    <w:p w14:paraId="7CA15261" w14:textId="77777777" w:rsidR="004C1D1A" w:rsidRDefault="004C1D1A" w:rsidP="004C1D1A">
      <w:r>
        <w:t xml:space="preserve">With that said the first step should be for the legislators to incorporate T+1 in a common European regulation, </w:t>
      </w:r>
      <w:proofErr w:type="spellStart"/>
      <w:r>
        <w:t>f.ex</w:t>
      </w:r>
      <w:proofErr w:type="spellEnd"/>
      <w:r>
        <w:t xml:space="preserve">. CSDR which also implemented moving from T+3 to T+2. To see that European Countries implement at the same time. Implementing one country at a time would be chaotic. </w:t>
      </w:r>
    </w:p>
    <w:p w14:paraId="2A4969A1" w14:textId="661903CB" w:rsidR="00C5469A" w:rsidRDefault="004C1D1A" w:rsidP="004C1D1A">
      <w:r>
        <w:t xml:space="preserve">A timeline could </w:t>
      </w:r>
      <w:r w:rsidR="00DE57D2">
        <w:t>be</w:t>
      </w:r>
      <w:r>
        <w:t xml:space="preserve"> </w:t>
      </w:r>
      <w:r w:rsidR="00DE57D2">
        <w:t>a</w:t>
      </w:r>
      <w:r>
        <w:t xml:space="preserve"> legislation draft is made and proposed end 2024 - </w:t>
      </w:r>
      <w:r w:rsidR="00DE57D2">
        <w:t>beginning</w:t>
      </w:r>
      <w:r>
        <w:t xml:space="preserve"> of 2025. Evaluation and review during 2025, final legislation </w:t>
      </w:r>
      <w:r w:rsidR="00DE57D2">
        <w:t>beginning</w:t>
      </w:r>
      <w:r>
        <w:t xml:space="preserve"> of 2026 and Implementation date 18 months later. </w:t>
      </w:r>
      <w:r w:rsidR="00DE57D2">
        <w:t>Beginning</w:t>
      </w:r>
      <w:r>
        <w:t xml:space="preserve"> of 2027 at the earliest. 2028 is probably more </w:t>
      </w:r>
      <w:r w:rsidR="00DE57D2">
        <w:t>feasible</w:t>
      </w:r>
      <w:r>
        <w:t xml:space="preserve"> due to the work that needs to be in place.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lastRenderedPageBreak/>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5C14DB6C" w14:textId="2B844CC9" w:rsidR="00A17377" w:rsidRDefault="00A17377" w:rsidP="00A17377">
      <w:permStart w:id="1134712045" w:edGrp="everyone"/>
      <w:r>
        <w:t xml:space="preserve">In Denmark and in the Nordics markets we believe that we could </w:t>
      </w:r>
      <w:r>
        <w:t>be</w:t>
      </w:r>
      <w:r>
        <w:t xml:space="preserve"> ready for T+1 in a rather short time, as trading and settlement have a high STP rate and settlement efficiency. But that is if we are talking about domestic trades i DKK. The </w:t>
      </w:r>
      <w:r>
        <w:t>cross-border</w:t>
      </w:r>
      <w:r>
        <w:t xml:space="preserve"> settlement would require more time for adaption. </w:t>
      </w:r>
    </w:p>
    <w:p w14:paraId="5C7C5180" w14:textId="14BB77D6" w:rsidR="00A17377" w:rsidRDefault="00A17377" w:rsidP="00A17377">
      <w:r>
        <w:t xml:space="preserve">A way to </w:t>
      </w:r>
      <w:r w:rsidR="00AA2FA9">
        <w:t>ensure</w:t>
      </w:r>
      <w:r>
        <w:t xml:space="preserve"> quality and a high settlement rate could be to implement the use of pre-matching more broadly in Europe. Less time for manual handling requires more automation. Implementing this requires time. We would need at least 1,5 to 2 years after final </w:t>
      </w:r>
      <w:r w:rsidR="00AA2FA9">
        <w:t>decision</w:t>
      </w:r>
      <w:r>
        <w:t xml:space="preserve">. </w:t>
      </w:r>
    </w:p>
    <w:p w14:paraId="1BAFD56E" w14:textId="12CA9BD5" w:rsidR="00C5469A" w:rsidRDefault="00A17377" w:rsidP="00A17377">
      <w:r>
        <w:t xml:space="preserve">Moving to T+0 either </w:t>
      </w:r>
      <w:r w:rsidR="00AA2FA9">
        <w:t>immediately</w:t>
      </w:r>
      <w:r>
        <w:t xml:space="preserve"> from T+2 or shortly after T+1, would be very challenging and it is not possible as it would </w:t>
      </w:r>
      <w:proofErr w:type="gramStart"/>
      <w:r w:rsidR="00AA2FA9">
        <w:t>definitely</w:t>
      </w:r>
      <w:r>
        <w:t xml:space="preserve"> require</w:t>
      </w:r>
      <w:proofErr w:type="gramEnd"/>
      <w:r>
        <w:t xml:space="preserve"> full STP and automation. In other </w:t>
      </w:r>
      <w:r w:rsidR="00AA2FA9">
        <w:t>words,</w:t>
      </w:r>
      <w:r>
        <w:t xml:space="preserve"> a completely different settlement system with </w:t>
      </w:r>
      <w:proofErr w:type="gramStart"/>
      <w:r>
        <w:t>no</w:t>
      </w:r>
      <w:proofErr w:type="gramEnd"/>
      <w:r>
        <w:t xml:space="preserve"> manually </w:t>
      </w:r>
      <w:r w:rsidR="00AA2FA9">
        <w:t>handling</w:t>
      </w:r>
      <w:r>
        <w:t xml:space="preserve"> of settlement issues, as there wouldn't be enough time for it.</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213BA156" w:rsidR="00C5469A" w:rsidRDefault="00EB42CB" w:rsidP="00C5469A">
      <w:permStart w:id="1013345542" w:edGrp="everyone"/>
      <w:r w:rsidRPr="00EB42CB">
        <w:t>Yes,</w:t>
      </w:r>
      <w:r w:rsidRPr="00EB42CB">
        <w:t xml:space="preserve"> we do think the scope in the CSDR is adequate. But </w:t>
      </w:r>
      <w:r w:rsidRPr="00EB42CB">
        <w:t>it</w:t>
      </w:r>
      <w:r w:rsidRPr="00EB42CB">
        <w:t xml:space="preserve"> would be preferable if derivatives and FX trading moved standard spot settlement towards T+1 as well.  Even if standard settlement cycle for FX is not a rule but a convention, it should be considered. In a T+1 scenario for security transactions the market participants will have to trade their liquidity earlier </w:t>
      </w:r>
      <w:r w:rsidR="00831404" w:rsidRPr="00EB42CB">
        <w:t>(T</w:t>
      </w:r>
      <w:r w:rsidRPr="00EB42CB">
        <w:t xml:space="preserve">+0 or T+1) to avoid misalignment and increased CSDR penalties due to lack of cash. </w:t>
      </w:r>
      <w:proofErr w:type="gramStart"/>
      <w:r w:rsidRPr="00EB42CB">
        <w:t>As long as</w:t>
      </w:r>
      <w:proofErr w:type="gramEnd"/>
      <w:r w:rsidRPr="00EB42CB">
        <w:t xml:space="preserve"> the convention or market practice on FX spot is T+2, FX trading will be more expensive.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8F16CCF" w14:textId="6B8A3BA9" w:rsidR="00C5469A" w:rsidRDefault="008E1F47" w:rsidP="00C5469A">
      <w:permStart w:id="254495919" w:edGrp="everyone"/>
      <w:r>
        <w:t>From</w:t>
      </w:r>
      <w:r w:rsidRPr="008E1F47">
        <w:t xml:space="preserve"> a settlement point of </w:t>
      </w:r>
      <w:r w:rsidRPr="008E1F47">
        <w:t>view,</w:t>
      </w:r>
      <w:r w:rsidRPr="008E1F47">
        <w:t xml:space="preserve"> it is not </w:t>
      </w:r>
      <w:r w:rsidRPr="008E1F47">
        <w:t>feasible</w:t>
      </w:r>
      <w:r w:rsidRPr="008E1F47">
        <w:t>. The misalignment would cause more problems than benefits. To take some of the financial instruments from CSDR Scope out and not move it to T+1 would in our opinion create an unfortunate misalignment and we see no advantages.</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7C627577" w:rsidR="00C5469A" w:rsidRDefault="00F71FB5" w:rsidP="00C5469A">
      <w:permStart w:id="1982605857" w:edGrp="everyone"/>
      <w:r w:rsidRPr="00F71FB5">
        <w:t>We do not see any instruments or transaction and we would advise not to have different migration times for different products</w:t>
      </w:r>
      <w:r>
        <w:t xml:space="preserve"> as </w:t>
      </w:r>
      <w:r w:rsidR="00C31D66">
        <w:t>e</w:t>
      </w:r>
      <w:r w:rsidRPr="00F71FB5">
        <w:t>xplained above in our reply to Q18.</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4E9FD76A" w:rsidR="00C5469A" w:rsidRDefault="00C31D66" w:rsidP="00C5469A">
      <w:permStart w:id="558774206" w:edGrp="everyone"/>
      <w:r w:rsidRPr="00C31D66">
        <w:t>We do not believe that it would be any advantage to begin to regulate the transactions out of scope in CSDR art. 5. They should remain out of scope.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65A82CC6" w14:textId="77777777" w:rsidR="00601278" w:rsidRDefault="00601278" w:rsidP="00601278">
      <w:permStart w:id="6054277" w:edGrp="everyone"/>
      <w:r>
        <w:t xml:space="preserve">The most significant challenge is the timing misalignment between the different jurisdictions. The market participants in EU will need to deal with a compressed time window between trade execution and settlement. This will create operational complexities, especially for FX transactions, cross-border </w:t>
      </w:r>
      <w:proofErr w:type="gramStart"/>
      <w:r>
        <w:t>trades</w:t>
      </w:r>
      <w:proofErr w:type="gramEnd"/>
      <w:r>
        <w:t xml:space="preserve"> and liquidity management. </w:t>
      </w:r>
    </w:p>
    <w:p w14:paraId="1BB6D426" w14:textId="1745CFB7" w:rsidR="00C5469A" w:rsidRDefault="00601278" w:rsidP="00601278">
      <w:r>
        <w:t>Also, if the EU remains at T+2 whereas other markets move to T+1, investment funds would face a significant impact. More specifically, investment fund would experience UCITS breaches in relation to subscriptions and redemptions. For subscription the funds will for larger subscriptions breach current 10% limit of overdraft. For larger redemptions the funds will risk breaching 20% of cash allocation limits. This will be a direct consequence if the EU does not move to T+1 when other larger markets do, which would increase costs from overdrafts and operational complexity.</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60C9DF06" w:rsidR="00C5469A" w:rsidRDefault="008C3936" w:rsidP="00C5469A">
      <w:permStart w:id="1778254877" w:edGrp="everyone"/>
      <w:r w:rsidRPr="008C3936">
        <w:t xml:space="preserve">Inspired by the US, the impact of the move to T+1 in third countries might be reduced by </w:t>
      </w:r>
      <w:proofErr w:type="gramStart"/>
      <w:r w:rsidRPr="008C3936">
        <w:t>a</w:t>
      </w:r>
      <w:proofErr w:type="gramEnd"/>
      <w:r w:rsidRPr="008C3936">
        <w:t xml:space="preserve"> EU regulatory demand for pre-matching of trades for EU based investment firms. Implementing mandatory pre-matching would most likely reduce operational risk for both misaligned cycles and for a transition for the EU to a shorter settlement cycle. This would also increase the </w:t>
      </w:r>
      <w:r w:rsidRPr="008C3936">
        <w:lastRenderedPageBreak/>
        <w:t xml:space="preserve">settlement efficiency rate in the EU which would be a good step in preparing the EU for a T+1 settlement cycle, see also our response to </w:t>
      </w:r>
      <w:r w:rsidR="00DD3436" w:rsidRPr="008C3936">
        <w:t>Q15.</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EFCD4DE" w14:textId="30B46F51" w:rsidR="00C5469A" w:rsidRDefault="00DD3436" w:rsidP="00C5469A">
      <w:permStart w:id="1174998131" w:edGrp="everyone"/>
      <w:r w:rsidRPr="00DD3436">
        <w:t xml:space="preserve">Standardizing settlement cycles with </w:t>
      </w:r>
      <w:r w:rsidRPr="00DD3436">
        <w:t>e.g.,</w:t>
      </w:r>
      <w:r w:rsidRPr="00DD3436">
        <w:t xml:space="preserve"> USA will bring many benefits to EU Capital Markets. It will streamline the operational processes and reduce the complexity for EU participants when trading with US based participants. Furthermore, if the two most liquid capital markets are aligned once again, we should expect the smaller Non-EU Jurisdictions to follow, leading to a higher harmonization degree for EU participants. We would also expect some </w:t>
      </w:r>
      <w:r w:rsidRPr="00DD3436">
        <w:t>rebalancing</w:t>
      </w:r>
      <w:r w:rsidRPr="00DD3436">
        <w:t xml:space="preserve"> of activity and alignment of cash to happen, pls. see also responses to Q12 and Q21.</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62CF8689" w:rsidR="00C5469A" w:rsidRDefault="00AD1F1E" w:rsidP="00C5469A">
      <w:permStart w:id="2138049322" w:edGrp="everyone"/>
      <w:r w:rsidRPr="00AD1F1E">
        <w:t>An increase market efficiency will lead to an increase in liquidity in EU. Faster allocation of capital and quicker access to funds for investors would improve the attractiveness of the EU Capital Markets compared to T+2 jurisdictions. Moving from T+2 to T+1, will also decrease the time the participants are exposed to potential counterpart defaults.</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lastRenderedPageBreak/>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1F6A87EE" w:rsidR="00C5469A" w:rsidRDefault="003B5A7B" w:rsidP="003B5A7B">
      <w:permStart w:id="1765815298" w:edGrp="everyone"/>
      <w:r>
        <w:t>Adapting to the shorter settlement cycles in other jurisdictions would mean changes to the settlement processes to facilitate the shorter settlement cycle of the jurisdictions in question. The implemented changes to the settlement process will most likely be the exact same changes needed for a general adaption of T+1, thus, lowering the extra cost of operating in markets with shorter settlement cycles.</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35EC91A" w14:textId="45B914BB" w:rsidR="00C5469A" w:rsidRDefault="003B5A7B" w:rsidP="003B5A7B">
      <w:permStart w:id="1934034529" w:edGrp="everyone"/>
      <w:r>
        <w:t xml:space="preserve">Different settlement cycles across the EU and non-EU jurisdictions will create operational complexities, especially for FX transactions, cross-border </w:t>
      </w:r>
      <w:proofErr w:type="gramStart"/>
      <w:r>
        <w:t>trades</w:t>
      </w:r>
      <w:proofErr w:type="gramEnd"/>
      <w:r>
        <w:t xml:space="preserve"> and liquidity management. The option of differing settlement cycles as a permanent state would lead to complex and costly settlement procedures since the procedures would differ between the different settlement cycles. We would expect a permanent loss of competition for EU institutions to happen in a case a where EU would keep the T+2 settlement cycle while most other jurisdictions would be on a T+1 settlement cycle and no </w:t>
      </w:r>
      <w:r w:rsidR="00757444">
        <w:t>rebalancing</w:t>
      </w:r>
      <w:r>
        <w:t xml:space="preserve"> of activity would happen as well.</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243DAA1A" w:rsidR="00C5469A" w:rsidRDefault="00757444" w:rsidP="00C5469A">
      <w:permStart w:id="1617899118" w:edGrp="everyone"/>
      <w:r w:rsidRPr="00757444">
        <w:t xml:space="preserve">We would highly prefer and recommend a T+1 solution to a T+0 solution since that would be a very complex move that we do not see possible currently. We strongly recommend that a </w:t>
      </w:r>
      <w:r w:rsidRPr="00757444">
        <w:t>potential</w:t>
      </w:r>
      <w:r w:rsidRPr="00757444">
        <w:t xml:space="preserve"> move to T+1 in EU is done after </w:t>
      </w:r>
      <w:proofErr w:type="gramStart"/>
      <w:r w:rsidRPr="00757444">
        <w:t>an</w:t>
      </w:r>
      <w:proofErr w:type="gramEnd"/>
      <w:r w:rsidRPr="00757444">
        <w:t xml:space="preserve"> thoroughly investigation of processes and </w:t>
      </w:r>
      <w:r w:rsidRPr="00757444">
        <w:t>potential</w:t>
      </w:r>
      <w:r w:rsidRPr="00757444">
        <w:t xml:space="preserve"> </w:t>
      </w:r>
      <w:r w:rsidRPr="00757444">
        <w:lastRenderedPageBreak/>
        <w:t xml:space="preserve">impacts and taking into consideration the complexity of the EU market. Any decision should also be based on the </w:t>
      </w:r>
      <w:r w:rsidRPr="00757444">
        <w:t>experiences</w:t>
      </w:r>
      <w:r w:rsidRPr="00757444">
        <w:t xml:space="preserve"> and lessons learned from the US T+1 move and not be rushed in a chase for alignment as fast as possible.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F265" w14:textId="77777777" w:rsidR="00582588" w:rsidRDefault="00582588" w:rsidP="007E7997">
      <w:pPr>
        <w:spacing w:line="240" w:lineRule="auto"/>
      </w:pPr>
      <w:r>
        <w:separator/>
      </w:r>
    </w:p>
  </w:endnote>
  <w:endnote w:type="continuationSeparator" w:id="0">
    <w:p w14:paraId="0DB68E98" w14:textId="77777777" w:rsidR="00582588" w:rsidRDefault="00582588" w:rsidP="007E7997">
      <w:pPr>
        <w:spacing w:line="240" w:lineRule="auto"/>
      </w:pPr>
      <w:r>
        <w:continuationSeparator/>
      </w:r>
    </w:p>
  </w:endnote>
  <w:endnote w:type="continuationNotice" w:id="1">
    <w:p w14:paraId="36A6019B" w14:textId="77777777" w:rsidR="00582588" w:rsidRDefault="0058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Sidefod"/>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Sidefod"/>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9590" w14:textId="77777777" w:rsidR="00582588" w:rsidRDefault="00582588" w:rsidP="007E7997">
      <w:pPr>
        <w:spacing w:line="240" w:lineRule="auto"/>
      </w:pPr>
      <w:r>
        <w:separator/>
      </w:r>
    </w:p>
  </w:footnote>
  <w:footnote w:type="continuationSeparator" w:id="0">
    <w:p w14:paraId="72020CCD" w14:textId="77777777" w:rsidR="00582588" w:rsidRDefault="00582588" w:rsidP="007E7997">
      <w:pPr>
        <w:spacing w:line="240" w:lineRule="auto"/>
      </w:pPr>
      <w:r>
        <w:continuationSeparator/>
      </w:r>
    </w:p>
  </w:footnote>
  <w:footnote w:type="continuationNotice" w:id="1">
    <w:p w14:paraId="6FE75894" w14:textId="77777777" w:rsidR="00582588" w:rsidRDefault="00582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Sidehoved"/>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432712871" name="Billede 43271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Sidehoved"/>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Sidehoved"/>
    </w:pPr>
  </w:p>
  <w:p w14:paraId="6A43EA5E" w14:textId="4A830C83" w:rsidR="00AD0B10" w:rsidRDefault="00AD0B10" w:rsidP="0043139E">
    <w:pPr>
      <w:pStyle w:val="Sidehoved"/>
    </w:pPr>
  </w:p>
  <w:p w14:paraId="2083DACE" w14:textId="77777777" w:rsidR="00AD0B10" w:rsidRPr="0043139E" w:rsidRDefault="00AD0B10" w:rsidP="0043139E">
    <w:pPr>
      <w:pStyle w:val="Sidehoved"/>
    </w:pPr>
  </w:p>
  <w:p w14:paraId="140A363C" w14:textId="77777777" w:rsidR="006A44DA" w:rsidRPr="0043139E" w:rsidRDefault="006A44DA" w:rsidP="0043139E">
    <w:pPr>
      <w:pStyle w:val="Sidehoved"/>
    </w:pPr>
  </w:p>
  <w:p w14:paraId="66CF4BF9" w14:textId="4F625EE8" w:rsidR="006A44DA" w:rsidRPr="0043139E" w:rsidRDefault="008858FE" w:rsidP="0043139E">
    <w:pPr>
      <w:pStyle w:val="Sidehoved"/>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438223142" name="Billede 43822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Sidehoved"/>
    </w:pPr>
  </w:p>
  <w:p w14:paraId="70942C9C" w14:textId="77777777" w:rsidR="00672010" w:rsidRPr="0043139E" w:rsidRDefault="00672010" w:rsidP="0043139E">
    <w:pPr>
      <w:pStyle w:val="Sidehoved"/>
    </w:pPr>
  </w:p>
  <w:p w14:paraId="7F8040EC" w14:textId="77777777" w:rsidR="0018540C" w:rsidRPr="0043139E" w:rsidRDefault="0018540C" w:rsidP="0043139E">
    <w:pPr>
      <w:pStyle w:val="Sidehoved"/>
    </w:pPr>
  </w:p>
  <w:p w14:paraId="76479F6F" w14:textId="77777777" w:rsidR="00CA565A" w:rsidRPr="0043139E" w:rsidRDefault="00CA565A" w:rsidP="0043139E">
    <w:pPr>
      <w:pStyle w:val="Sidehoved"/>
    </w:pPr>
  </w:p>
  <w:p w14:paraId="34BC4F59" w14:textId="77777777" w:rsidR="00CA565A" w:rsidRPr="0043139E" w:rsidRDefault="00CA565A" w:rsidP="0043139E">
    <w:pPr>
      <w:pStyle w:val="Sidehoved"/>
    </w:pPr>
  </w:p>
  <w:p w14:paraId="373CE412" w14:textId="77777777" w:rsidR="0018540C" w:rsidRPr="0043139E" w:rsidRDefault="0018540C" w:rsidP="0043139E">
    <w:pPr>
      <w:pStyle w:val="Sidehoved"/>
    </w:pPr>
  </w:p>
  <w:p w14:paraId="36065F1B" w14:textId="154438DA" w:rsidR="0018540C" w:rsidRDefault="0018540C" w:rsidP="0043139E">
    <w:pPr>
      <w:pStyle w:val="Sidehoved"/>
    </w:pPr>
  </w:p>
  <w:p w14:paraId="7545C91A" w14:textId="77777777" w:rsidR="0043139E" w:rsidRPr="0043139E" w:rsidRDefault="0043139E" w:rsidP="004313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Sidehoved"/>
    </w:pPr>
  </w:p>
  <w:p w14:paraId="410BE8FC" w14:textId="77777777" w:rsidR="006A44DA" w:rsidRDefault="006A44DA">
    <w:pPr>
      <w:pStyle w:val="Sidehoved"/>
    </w:pPr>
  </w:p>
  <w:p w14:paraId="00F5D8E1" w14:textId="77777777" w:rsidR="006A44DA" w:rsidRDefault="006A44DA">
    <w:pPr>
      <w:pStyle w:val="Sidehoved"/>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315095644" name="Billede 315095644"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Sidehoved"/>
    </w:pPr>
  </w:p>
  <w:p w14:paraId="76D78551" w14:textId="45227A06" w:rsidR="00AD0B10" w:rsidRDefault="00AD0B10" w:rsidP="00AD0B10">
    <w:pPr>
      <w:pStyle w:val="Sidehoved"/>
    </w:pPr>
  </w:p>
  <w:p w14:paraId="56B00CEC" w14:textId="77777777" w:rsidR="00AD0B10" w:rsidRPr="0043139E" w:rsidRDefault="00AD0B10" w:rsidP="00AD0B10">
    <w:pPr>
      <w:pStyle w:val="Sidehoved"/>
    </w:pPr>
  </w:p>
  <w:p w14:paraId="68227DE6" w14:textId="77777777" w:rsidR="00AD0B10" w:rsidRPr="0043139E" w:rsidRDefault="00AD0B10" w:rsidP="00AD0B10">
    <w:pPr>
      <w:pStyle w:val="Sidehoved"/>
    </w:pPr>
  </w:p>
  <w:p w14:paraId="0E44DBD1" w14:textId="77777777" w:rsidR="00AD0B10" w:rsidRPr="0043139E" w:rsidRDefault="00AD0B10" w:rsidP="00AD0B10">
    <w:pPr>
      <w:pStyle w:val="Sidehoved"/>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Sidehoved"/>
    </w:pPr>
  </w:p>
  <w:p w14:paraId="706EF268" w14:textId="77777777" w:rsidR="00AD0B10" w:rsidRPr="0043139E" w:rsidRDefault="00AD0B10" w:rsidP="00AD0B10">
    <w:pPr>
      <w:pStyle w:val="Sidehoved"/>
    </w:pPr>
  </w:p>
  <w:p w14:paraId="6B568202" w14:textId="77777777" w:rsidR="00AD0B10" w:rsidRPr="0043139E" w:rsidRDefault="00AD0B10" w:rsidP="00AD0B10">
    <w:pPr>
      <w:pStyle w:val="Sidehoved"/>
    </w:pPr>
  </w:p>
  <w:p w14:paraId="70C66BCD" w14:textId="77777777" w:rsidR="00AD0B10" w:rsidRPr="0043139E" w:rsidRDefault="00AD0B10" w:rsidP="00AD0B10">
    <w:pPr>
      <w:pStyle w:val="Sidehoved"/>
    </w:pPr>
  </w:p>
  <w:p w14:paraId="07229907" w14:textId="77777777" w:rsidR="00AD0B10" w:rsidRPr="0043139E" w:rsidRDefault="00AD0B10" w:rsidP="00AD0B10">
    <w:pPr>
      <w:pStyle w:val="Sidehoved"/>
    </w:pPr>
  </w:p>
  <w:p w14:paraId="55555744" w14:textId="77777777" w:rsidR="00AD0B10" w:rsidRPr="0043139E" w:rsidRDefault="00AD0B10" w:rsidP="00AD0B10">
    <w:pPr>
      <w:pStyle w:val="Sidehoved"/>
    </w:pPr>
  </w:p>
  <w:p w14:paraId="4601AE9C" w14:textId="77777777" w:rsidR="00AD0B10" w:rsidRDefault="00AD0B10" w:rsidP="00AD0B10">
    <w:pPr>
      <w:pStyle w:val="Sidehoved"/>
    </w:pPr>
  </w:p>
  <w:p w14:paraId="49946785" w14:textId="77777777" w:rsidR="00AD0B10" w:rsidRPr="0043139E" w:rsidRDefault="00AD0B10" w:rsidP="00AD0B10">
    <w:pPr>
      <w:pStyle w:val="Sidehoved"/>
    </w:pPr>
  </w:p>
  <w:p w14:paraId="72BAD19F" w14:textId="77777777" w:rsidR="008858FE" w:rsidRPr="00AD0B10" w:rsidRDefault="008858FE" w:rsidP="00AD0B1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Oversk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eafsni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Overskrift1"/>
      <w:lvlText w:val="%1"/>
      <w:lvlJc w:val="left"/>
      <w:pPr>
        <w:ind w:left="4686" w:hanging="432"/>
      </w:pPr>
    </w:lvl>
    <w:lvl w:ilvl="1">
      <w:start w:val="1"/>
      <w:numFmt w:val="decimal"/>
      <w:pStyle w:val="Overskrift2"/>
      <w:lvlText w:val="%1.%2"/>
      <w:lvlJc w:val="left"/>
      <w:pPr>
        <w:ind w:left="823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1F72"/>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0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374"/>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2EB6"/>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4F9"/>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875"/>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5A7B"/>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08EC"/>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A41"/>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D1A"/>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CA0"/>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ADF"/>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278"/>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C5C"/>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B54"/>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1B90"/>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44"/>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58"/>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404"/>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936"/>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1F47"/>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1AD3"/>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377"/>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2FA9"/>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1F1E"/>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E74FD"/>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59D"/>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0DB9"/>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1D66"/>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0C5"/>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490"/>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AE2"/>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AEE"/>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436"/>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7D2"/>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2F20"/>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2CB"/>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242"/>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5BF8"/>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1FB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Overskrift1">
    <w:name w:val="heading 1"/>
    <w:basedOn w:val="Normal"/>
    <w:next w:val="Normal"/>
    <w:link w:val="Overskrift1Tegn"/>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Overskrift2">
    <w:name w:val="heading 2"/>
    <w:basedOn w:val="Normal"/>
    <w:next w:val="Normal"/>
    <w:link w:val="Overskrift2Tegn"/>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Overskrift3">
    <w:name w:val="heading 3"/>
    <w:basedOn w:val="Normal"/>
    <w:next w:val="Normal"/>
    <w:link w:val="Overskrift3Tegn"/>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Overskrift6">
    <w:name w:val="heading 6"/>
    <w:basedOn w:val="Normal"/>
    <w:next w:val="Normal"/>
    <w:link w:val="Overskrift6Tegn"/>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Overskrift7">
    <w:name w:val="heading 7"/>
    <w:basedOn w:val="Normal"/>
    <w:next w:val="Normal"/>
    <w:link w:val="Overskrift7Tegn"/>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Overskrift8">
    <w:name w:val="heading 8"/>
    <w:basedOn w:val="Normal"/>
    <w:next w:val="Normal"/>
    <w:link w:val="Overskrift8Tegn"/>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Overskrift9">
    <w:name w:val="heading 9"/>
    <w:basedOn w:val="Normal"/>
    <w:next w:val="Normal"/>
    <w:link w:val="Overskrift9Tegn"/>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5B6B12"/>
    <w:pPr>
      <w:spacing w:after="0" w:line="240" w:lineRule="auto"/>
    </w:pPr>
    <w:rPr>
      <w:lang w:val="en-GB"/>
    </w:rPr>
  </w:style>
  <w:style w:type="character" w:customStyle="1" w:styleId="Overskrift4Tegn">
    <w:name w:val="Overskrift 4 Tegn"/>
    <w:basedOn w:val="Standardskrifttypeiafsnit"/>
    <w:link w:val="Overskrift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Overskrift3Tegn">
    <w:name w:val="Overskrift 3 Tegn"/>
    <w:basedOn w:val="Standardskrifttypeiafsnit"/>
    <w:link w:val="Overskrift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Overskrift1Tegn">
    <w:name w:val="Overskrift 1 Tegn"/>
    <w:basedOn w:val="Standardskrifttypeiafsnit"/>
    <w:link w:val="Overskrift1"/>
    <w:uiPriority w:val="9"/>
    <w:rsid w:val="0082744A"/>
    <w:rPr>
      <w:rFonts w:asciiTheme="majorHAnsi" w:eastAsiaTheme="majorEastAsia" w:hAnsiTheme="majorHAnsi" w:cstheme="majorBidi"/>
      <w:b/>
      <w:color w:val="00379F" w:themeColor="text1"/>
      <w:sz w:val="32"/>
      <w:szCs w:val="32"/>
      <w:lang w:val="en-GB"/>
    </w:rPr>
  </w:style>
  <w:style w:type="character" w:customStyle="1" w:styleId="Overskrift2Tegn">
    <w:name w:val="Overskrift 2 Tegn"/>
    <w:basedOn w:val="Standardskrifttypeiafsnit"/>
    <w:link w:val="Overskrift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Standardskrifttypeiafsnit"/>
    <w:link w:val="Subtitle1"/>
    <w:rsid w:val="003C4EB5"/>
    <w:rPr>
      <w:rFonts w:cs="Times New Roman"/>
      <w:b/>
      <w:sz w:val="20"/>
      <w:szCs w:val="24"/>
      <w:lang w:val="en-GB" w:eastAsia="de-DE"/>
    </w:rPr>
  </w:style>
  <w:style w:type="paragraph" w:customStyle="1" w:styleId="Title1">
    <w:name w:val="Title 1"/>
    <w:basedOn w:val="Listeafsnit"/>
    <w:link w:val="Title1Char"/>
    <w:qFormat/>
    <w:rsid w:val="00F205B9"/>
    <w:pPr>
      <w:numPr>
        <w:numId w:val="0"/>
      </w:numPr>
      <w:ind w:left="792" w:hanging="432"/>
    </w:pPr>
    <w:rPr>
      <w:b/>
      <w:color w:val="00379F" w:themeColor="text1"/>
      <w:sz w:val="28"/>
    </w:rPr>
  </w:style>
  <w:style w:type="character" w:customStyle="1" w:styleId="Title1Char">
    <w:name w:val="Title 1 Char"/>
    <w:basedOn w:val="Standardskrifttypeiafsnit"/>
    <w:link w:val="Title1"/>
    <w:rsid w:val="00F205B9"/>
    <w:rPr>
      <w:rFonts w:asciiTheme="majorHAnsi" w:hAnsiTheme="majorHAnsi" w:cstheme="majorHAnsi"/>
      <w:b/>
      <w:color w:val="00379F" w:themeColor="text1"/>
      <w:sz w:val="28"/>
      <w:szCs w:val="22"/>
      <w:lang w:val="pt-PT"/>
    </w:rPr>
  </w:style>
  <w:style w:type="paragraph" w:styleId="Listeafsnit">
    <w:name w:val="List Paragraph"/>
    <w:aliases w:val="Paragraphe EI,Paragraphe de liste1,EC"/>
    <w:basedOn w:val="Normal"/>
    <w:link w:val="ListeafsnitTegn"/>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eafsnit"/>
    <w:link w:val="Title3Char"/>
    <w:autoRedefine/>
    <w:rsid w:val="00F205B9"/>
    <w:pPr>
      <w:numPr>
        <w:ilvl w:val="3"/>
        <w:numId w:val="4"/>
      </w:numPr>
    </w:pPr>
  </w:style>
  <w:style w:type="character" w:customStyle="1" w:styleId="Title3Char">
    <w:name w:val="Title 3 Char"/>
    <w:basedOn w:val="Standardskrifttypeiafsni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Standardskrifttypeiafsni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Standardskrifttypeiafsni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Standardskrifttypeiafsni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Standardskrifttypeiafsni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Standardskrifttypeiafsnit"/>
    <w:link w:val="Introductionheading"/>
    <w:rsid w:val="00044C5A"/>
    <w:rPr>
      <w:rFonts w:ascii="Arial" w:eastAsia="Times New Roman" w:hAnsi="Arial" w:cs="Times New Roman"/>
      <w:b/>
      <w:sz w:val="28"/>
      <w:szCs w:val="24"/>
      <w:lang w:val="en-GB" w:eastAsia="de-DE"/>
    </w:rPr>
  </w:style>
  <w:style w:type="character" w:customStyle="1" w:styleId="Overskrift5Tegn">
    <w:name w:val="Overskrift 5 Tegn"/>
    <w:basedOn w:val="Standardskrifttypeiafsnit"/>
    <w:link w:val="Overskrift5"/>
    <w:uiPriority w:val="9"/>
    <w:rsid w:val="007E7997"/>
    <w:rPr>
      <w:rFonts w:asciiTheme="majorHAnsi" w:eastAsiaTheme="majorEastAsia" w:hAnsiTheme="majorHAnsi" w:cstheme="majorBidi"/>
      <w:color w:val="181818" w:themeColor="background1" w:themeShade="1A"/>
      <w:sz w:val="22"/>
      <w:szCs w:val="22"/>
      <w:lang w:val="en-GB"/>
    </w:rPr>
  </w:style>
  <w:style w:type="paragraph" w:styleId="Brdtekst">
    <w:name w:val="Body Text"/>
    <w:basedOn w:val="Normal"/>
    <w:link w:val="BrdtekstTegn"/>
    <w:uiPriority w:val="99"/>
    <w:semiHidden/>
    <w:unhideWhenUsed/>
    <w:rsid w:val="00044C5A"/>
  </w:style>
  <w:style w:type="character" w:customStyle="1" w:styleId="BrdtekstTegn">
    <w:name w:val="Brødtekst Tegn"/>
    <w:basedOn w:val="Standardskrifttypeiafsnit"/>
    <w:link w:val="Brdtekst"/>
    <w:uiPriority w:val="99"/>
    <w:semiHidden/>
    <w:rsid w:val="00044C5A"/>
    <w:rPr>
      <w:rFonts w:ascii="Arial" w:eastAsiaTheme="minorEastAsia" w:hAnsi="Arial"/>
    </w:rPr>
  </w:style>
  <w:style w:type="paragraph" w:styleId="Brdtekst-frstelinjeindrykning1">
    <w:name w:val="Body Text First Indent"/>
    <w:basedOn w:val="Brdtekst"/>
    <w:link w:val="Brdtekst-frstelinjeindrykning1Tegn"/>
    <w:uiPriority w:val="99"/>
    <w:semiHidden/>
    <w:unhideWhenUsed/>
    <w:rsid w:val="00044C5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44C5A"/>
    <w:rPr>
      <w:rFonts w:ascii="Arial" w:eastAsiaTheme="minorEastAsia" w:hAnsi="Arial"/>
    </w:rPr>
  </w:style>
  <w:style w:type="character" w:customStyle="1" w:styleId="Overskrift6Tegn">
    <w:name w:val="Overskrift 6 Tegn"/>
    <w:basedOn w:val="Standardskrifttypeiafsnit"/>
    <w:link w:val="Overskrift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el">
    <w:name w:val="Title"/>
    <w:basedOn w:val="Normal"/>
    <w:next w:val="Normal"/>
    <w:link w:val="TitelTegn"/>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elTegn">
    <w:name w:val="Titel Tegn"/>
    <w:basedOn w:val="Standardskrifttypeiafsnit"/>
    <w:link w:val="Titel"/>
    <w:uiPriority w:val="10"/>
    <w:rsid w:val="00516CBA"/>
    <w:rPr>
      <w:rFonts w:asciiTheme="majorHAnsi" w:eastAsiaTheme="majorEastAsia" w:hAnsiTheme="majorHAnsi" w:cstheme="majorBidi"/>
      <w:b/>
      <w:color w:val="00379F" w:themeColor="text1"/>
      <w:spacing w:val="-10"/>
      <w:sz w:val="56"/>
      <w:szCs w:val="56"/>
      <w:lang w:val="en-GB"/>
    </w:rPr>
  </w:style>
  <w:style w:type="paragraph" w:styleId="Undertitel">
    <w:name w:val="Subtitle"/>
    <w:basedOn w:val="Normal"/>
    <w:next w:val="Normal"/>
    <w:link w:val="UndertitelTegn"/>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UndertitelTegn">
    <w:name w:val="Undertitel Tegn"/>
    <w:basedOn w:val="Standardskrifttypeiafsnit"/>
    <w:link w:val="Undertitel"/>
    <w:uiPriority w:val="11"/>
    <w:rsid w:val="0082744A"/>
    <w:rPr>
      <w:rFonts w:asciiTheme="majorHAnsi" w:eastAsiaTheme="majorEastAsia" w:hAnsiTheme="majorHAnsi" w:cstheme="majorBidi"/>
      <w:sz w:val="28"/>
      <w:szCs w:val="24"/>
      <w:lang w:val="en-GB"/>
    </w:rPr>
  </w:style>
  <w:style w:type="character" w:customStyle="1" w:styleId="Overskrift7Tegn">
    <w:name w:val="Overskrift 7 Tegn"/>
    <w:basedOn w:val="Standardskrifttypeiafsnit"/>
    <w:link w:val="Overskrift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Overskrift8Tegn">
    <w:name w:val="Overskrift 8 Tegn"/>
    <w:basedOn w:val="Standardskrifttypeiafsnit"/>
    <w:link w:val="Overskrift8"/>
    <w:uiPriority w:val="9"/>
    <w:semiHidden/>
    <w:rsid w:val="00AA054E"/>
    <w:rPr>
      <w:rFonts w:asciiTheme="majorHAnsi" w:eastAsiaTheme="majorEastAsia" w:hAnsiTheme="majorHAnsi" w:cstheme="majorBidi"/>
      <w:b/>
      <w:bCs/>
      <w:color w:val="007EFF" w:themeColor="text2"/>
      <w:sz w:val="22"/>
      <w:lang w:val="en-GB"/>
    </w:rPr>
  </w:style>
  <w:style w:type="character" w:customStyle="1" w:styleId="Overskrift9Tegn">
    <w:name w:val="Overskrift 9 Tegn"/>
    <w:basedOn w:val="Standardskrifttypeiafsnit"/>
    <w:link w:val="Overskrift9"/>
    <w:uiPriority w:val="9"/>
    <w:semiHidden/>
    <w:rsid w:val="00AA054E"/>
    <w:rPr>
      <w:rFonts w:asciiTheme="majorHAnsi" w:eastAsiaTheme="majorEastAsia" w:hAnsiTheme="majorHAnsi" w:cstheme="majorBidi"/>
      <w:b/>
      <w:bCs/>
      <w:i/>
      <w:iCs/>
      <w:color w:val="007EFF" w:themeColor="text2"/>
      <w:sz w:val="22"/>
      <w:lang w:val="en-GB"/>
    </w:rPr>
  </w:style>
  <w:style w:type="paragraph" w:styleId="Billedtekst">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k">
    <w:name w:val="Strong"/>
    <w:basedOn w:val="Standardskrifttypeiafsnit"/>
    <w:uiPriority w:val="22"/>
    <w:qFormat/>
    <w:rsid w:val="00AA054E"/>
    <w:rPr>
      <w:b/>
      <w:bCs/>
    </w:rPr>
  </w:style>
  <w:style w:type="character" w:styleId="Fremhv">
    <w:name w:val="Emphasis"/>
    <w:basedOn w:val="Standardskrifttypeiafsnit"/>
    <w:uiPriority w:val="20"/>
    <w:qFormat/>
    <w:rsid w:val="00AA054E"/>
    <w:rPr>
      <w:i/>
      <w:iCs/>
    </w:rPr>
  </w:style>
  <w:style w:type="paragraph" w:styleId="Citat">
    <w:name w:val="Quote"/>
    <w:basedOn w:val="Normal"/>
    <w:next w:val="Normal"/>
    <w:link w:val="CitatTegn"/>
    <w:uiPriority w:val="29"/>
    <w:qFormat/>
    <w:rsid w:val="00AA054E"/>
    <w:pPr>
      <w:spacing w:before="160"/>
      <w:ind w:left="720" w:right="720"/>
    </w:pPr>
    <w:rPr>
      <w:i/>
      <w:iCs/>
      <w:color w:val="0055F7" w:themeColor="text1" w:themeTint="BF"/>
    </w:rPr>
  </w:style>
  <w:style w:type="character" w:customStyle="1" w:styleId="CitatTegn">
    <w:name w:val="Citat Tegn"/>
    <w:basedOn w:val="Standardskrifttypeiafsnit"/>
    <w:link w:val="Citat"/>
    <w:uiPriority w:val="29"/>
    <w:rsid w:val="00AA054E"/>
    <w:rPr>
      <w:i/>
      <w:iCs/>
      <w:color w:val="0055F7" w:themeColor="text1" w:themeTint="BF"/>
    </w:rPr>
  </w:style>
  <w:style w:type="paragraph" w:styleId="Strktcitat">
    <w:name w:val="Intense Quote"/>
    <w:basedOn w:val="Normal"/>
    <w:next w:val="Normal"/>
    <w:link w:val="StrktcitatTegn"/>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StrktcitatTegn">
    <w:name w:val="Stærkt citat Tegn"/>
    <w:basedOn w:val="Standardskrifttypeiafsnit"/>
    <w:link w:val="Strktcitat"/>
    <w:uiPriority w:val="30"/>
    <w:rsid w:val="00AA054E"/>
    <w:rPr>
      <w:rFonts w:asciiTheme="majorHAnsi" w:eastAsiaTheme="majorEastAsia" w:hAnsiTheme="majorHAnsi" w:cstheme="majorBidi"/>
      <w:color w:val="34009F" w:themeColor="accent1"/>
      <w:sz w:val="28"/>
      <w:szCs w:val="28"/>
    </w:rPr>
  </w:style>
  <w:style w:type="character" w:styleId="Svagfremhvning">
    <w:name w:val="Subtle Emphasis"/>
    <w:basedOn w:val="Standardskrifttypeiafsnit"/>
    <w:uiPriority w:val="19"/>
    <w:qFormat/>
    <w:rsid w:val="00AA054E"/>
    <w:rPr>
      <w:i/>
      <w:iCs/>
      <w:color w:val="0055F7" w:themeColor="text1" w:themeTint="BF"/>
    </w:rPr>
  </w:style>
  <w:style w:type="character" w:styleId="Kraftigfremhvning">
    <w:name w:val="Intense Emphasis"/>
    <w:basedOn w:val="Standardskrifttypeiafsnit"/>
    <w:uiPriority w:val="21"/>
    <w:qFormat/>
    <w:rsid w:val="00AA054E"/>
    <w:rPr>
      <w:b/>
      <w:bCs/>
      <w:i/>
      <w:iCs/>
    </w:rPr>
  </w:style>
  <w:style w:type="character" w:styleId="Svaghenvisning">
    <w:name w:val="Subtle Reference"/>
    <w:basedOn w:val="Standardskrifttypeiafsnit"/>
    <w:uiPriority w:val="31"/>
    <w:qFormat/>
    <w:rsid w:val="00AA054E"/>
    <w:rPr>
      <w:smallCaps/>
      <w:color w:val="0055F7" w:themeColor="text1" w:themeTint="BF"/>
      <w:u w:val="single" w:color="4E8BFF" w:themeColor="text1" w:themeTint="80"/>
    </w:rPr>
  </w:style>
  <w:style w:type="character" w:styleId="Kraftighenvisning">
    <w:name w:val="Intense Reference"/>
    <w:basedOn w:val="Standardskrifttypeiafsnit"/>
    <w:uiPriority w:val="32"/>
    <w:qFormat/>
    <w:rsid w:val="00AA054E"/>
    <w:rPr>
      <w:b/>
      <w:bCs/>
      <w:smallCaps/>
      <w:spacing w:val="5"/>
      <w:u w:val="single"/>
    </w:rPr>
  </w:style>
  <w:style w:type="character" w:styleId="Bogenstitel">
    <w:name w:val="Book Title"/>
    <w:basedOn w:val="Standardskrifttypeiafsnit"/>
    <w:uiPriority w:val="33"/>
    <w:qFormat/>
    <w:rsid w:val="00AA054E"/>
    <w:rPr>
      <w:b/>
      <w:bCs/>
      <w:smallCaps/>
    </w:rPr>
  </w:style>
  <w:style w:type="paragraph" w:styleId="Overskrift">
    <w:name w:val="TOC Heading"/>
    <w:basedOn w:val="Overskrift1"/>
    <w:next w:val="Normal"/>
    <w:uiPriority w:val="39"/>
    <w:unhideWhenUsed/>
    <w:qFormat/>
    <w:rsid w:val="00F205B9"/>
    <w:pPr>
      <w:numPr>
        <w:numId w:val="0"/>
      </w:numPr>
      <w:outlineLvl w:val="9"/>
    </w:pPr>
  </w:style>
  <w:style w:type="character" w:customStyle="1" w:styleId="IngenafstandTegn">
    <w:name w:val="Ingen afstand Tegn"/>
    <w:basedOn w:val="Standardskrifttypeiafsnit"/>
    <w:link w:val="Ingenafstand"/>
    <w:uiPriority w:val="1"/>
    <w:rsid w:val="005B6B12"/>
    <w:rPr>
      <w:lang w:val="en-GB"/>
    </w:rPr>
  </w:style>
  <w:style w:type="paragraph" w:styleId="Sidehoved">
    <w:name w:val="header"/>
    <w:basedOn w:val="Normal"/>
    <w:link w:val="SidehovedTegn"/>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SidehovedTegn">
    <w:name w:val="Sidehoved Tegn"/>
    <w:basedOn w:val="Standardskrifttypeiafsnit"/>
    <w:link w:val="Sidehoved"/>
    <w:rsid w:val="00AF6B1E"/>
    <w:rPr>
      <w:color w:val="001B4F" w:themeColor="text1" w:themeShade="80"/>
      <w:sz w:val="16"/>
      <w:lang w:val="en-GB"/>
    </w:rPr>
  </w:style>
  <w:style w:type="paragraph" w:styleId="Sidefod">
    <w:name w:val="footer"/>
    <w:basedOn w:val="Normal"/>
    <w:link w:val="SidefodTegn"/>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SidefodTegn">
    <w:name w:val="Sidefod Tegn"/>
    <w:basedOn w:val="Standardskrifttypeiafsnit"/>
    <w:link w:val="Sidefod"/>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Indholdsfortegnelse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Indholdsfortegnelse2">
    <w:name w:val="toc 2"/>
    <w:basedOn w:val="Indholdsfortegnelse1"/>
    <w:next w:val="Normal"/>
    <w:uiPriority w:val="39"/>
    <w:unhideWhenUsed/>
    <w:qFormat/>
    <w:rsid w:val="00F205B9"/>
    <w:pPr>
      <w:framePr w:wrap="around"/>
      <w:tabs>
        <w:tab w:val="right" w:leader="dot" w:pos="440"/>
      </w:tabs>
      <w:ind w:left="220"/>
    </w:pPr>
  </w:style>
  <w:style w:type="paragraph" w:styleId="Indholdsfortegnelse3">
    <w:name w:val="toc 3"/>
    <w:basedOn w:val="Indholdsfortegnelse1"/>
    <w:next w:val="Normal"/>
    <w:uiPriority w:val="39"/>
    <w:unhideWhenUsed/>
    <w:qFormat/>
    <w:rsid w:val="00AD0B10"/>
    <w:pPr>
      <w:framePr w:wrap="around"/>
      <w:ind w:left="442"/>
    </w:pPr>
  </w:style>
  <w:style w:type="character" w:styleId="Hyperlink">
    <w:name w:val="Hyperlink"/>
    <w:basedOn w:val="Standardskrifttypeiafsni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Standardskrifttypeiafsni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Standardskrifttypeiafsnit"/>
    <w:link w:val="Listing2"/>
    <w:rsid w:val="00DF3785"/>
    <w:rPr>
      <w:lang w:val="en-GB"/>
    </w:rPr>
  </w:style>
  <w:style w:type="table" w:styleId="Tabel-Gitter">
    <w:name w:val="Table Grid"/>
    <w:basedOn w:val="Tabel-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uiPriority w:val="99"/>
    <w:semiHidden/>
    <w:unhideWhenUsed/>
    <w:rsid w:val="00B50534"/>
    <w:pPr>
      <w:spacing w:after="0" w:line="240" w:lineRule="auto"/>
    </w:pPr>
  </w:style>
  <w:style w:type="character" w:customStyle="1" w:styleId="SlutnotetekstTegn">
    <w:name w:val="Slutnotetekst Tegn"/>
    <w:basedOn w:val="Standardskrifttypeiafsnit"/>
    <w:link w:val="Slutnotetekst"/>
    <w:uiPriority w:val="99"/>
    <w:semiHidden/>
    <w:rsid w:val="00B50534"/>
    <w:rPr>
      <w:lang w:val="en-GB"/>
    </w:rPr>
  </w:style>
  <w:style w:type="character" w:styleId="Slutnotehenvisning">
    <w:name w:val="endnote reference"/>
    <w:basedOn w:val="Standardskrifttypeiafsnit"/>
    <w:uiPriority w:val="99"/>
    <w:semiHidden/>
    <w:unhideWhenUsed/>
    <w:rsid w:val="00B50534"/>
    <w:rPr>
      <w:vertAlign w:val="superscript"/>
    </w:rPr>
  </w:style>
  <w:style w:type="paragraph" w:styleId="Fodnotetekst">
    <w:name w:val="footnote text"/>
    <w:basedOn w:val="Normal"/>
    <w:link w:val="FodnotetekstTegn"/>
    <w:autoRedefine/>
    <w:uiPriority w:val="99"/>
    <w:unhideWhenUsed/>
    <w:qFormat/>
    <w:rsid w:val="007A1A9D"/>
    <w:pPr>
      <w:spacing w:after="0" w:line="240" w:lineRule="auto"/>
    </w:pPr>
    <w:rPr>
      <w:sz w:val="16"/>
    </w:rPr>
  </w:style>
  <w:style w:type="character" w:customStyle="1" w:styleId="FodnotetekstTegn">
    <w:name w:val="Fodnotetekst Tegn"/>
    <w:basedOn w:val="Standardskrifttypeiafsnit"/>
    <w:link w:val="Fodnotetekst"/>
    <w:uiPriority w:val="99"/>
    <w:rsid w:val="007A1A9D"/>
    <w:rPr>
      <w:color w:val="181818" w:themeColor="background1" w:themeShade="1A"/>
      <w:sz w:val="16"/>
      <w:lang w:val="en-GB"/>
    </w:rPr>
  </w:style>
  <w:style w:type="character" w:styleId="Fodnotehenvisning">
    <w:name w:val="footnote reference"/>
    <w:basedOn w:val="Standardskrifttypeiafsnit"/>
    <w:uiPriority w:val="99"/>
    <w:semiHidden/>
    <w:unhideWhenUsed/>
    <w:qFormat/>
    <w:rsid w:val="00A91D91"/>
    <w:rPr>
      <w:rFonts w:asciiTheme="majorHAnsi" w:hAnsiTheme="majorHAnsi"/>
      <w:sz w:val="16"/>
      <w:vertAlign w:val="superscript"/>
    </w:rPr>
  </w:style>
  <w:style w:type="paragraph" w:customStyle="1" w:styleId="Footnote">
    <w:name w:val="Footnote"/>
    <w:basedOn w:val="Fodnotetekst"/>
    <w:link w:val="FootnoteChar"/>
    <w:qFormat/>
    <w:rsid w:val="00672C04"/>
    <w:pPr>
      <w:ind w:left="454" w:hanging="454"/>
    </w:pPr>
    <w:rPr>
      <w:lang w:val="nl-BE"/>
    </w:rPr>
  </w:style>
  <w:style w:type="character" w:customStyle="1" w:styleId="FootnoteChar">
    <w:name w:val="Footnote Char"/>
    <w:basedOn w:val="FodnotetekstTegn"/>
    <w:link w:val="Footnote"/>
    <w:rsid w:val="00672C04"/>
    <w:rPr>
      <w:color w:val="181818" w:themeColor="background1" w:themeShade="1A"/>
      <w:sz w:val="16"/>
      <w:lang w:val="en-GB"/>
    </w:rPr>
  </w:style>
  <w:style w:type="table" w:customStyle="1" w:styleId="GridTable4-Accent11">
    <w:name w:val="Grid Table 4 - Accent 11"/>
    <w:basedOn w:val="Tabel-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Markeringsbobletekst">
    <w:name w:val="Balloon Text"/>
    <w:basedOn w:val="Normal"/>
    <w:link w:val="MarkeringsbobletekstTegn"/>
    <w:uiPriority w:val="99"/>
    <w:semiHidden/>
    <w:unhideWhenUsed/>
    <w:rsid w:val="007151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51BF"/>
    <w:rPr>
      <w:rFonts w:ascii="Tahoma" w:hAnsi="Tahoma" w:cs="Tahoma"/>
      <w:sz w:val="16"/>
      <w:szCs w:val="16"/>
      <w:lang w:val="en-GB"/>
    </w:rPr>
  </w:style>
  <w:style w:type="paragraph" w:styleId="Indholdsfortegnelse4">
    <w:name w:val="toc 4"/>
    <w:basedOn w:val="Indholdsfortegnelse1"/>
    <w:next w:val="Normal"/>
    <w:uiPriority w:val="39"/>
    <w:unhideWhenUsed/>
    <w:qFormat/>
    <w:rsid w:val="00F205B9"/>
    <w:pPr>
      <w:framePr w:wrap="around"/>
      <w:ind w:left="660"/>
    </w:pPr>
  </w:style>
  <w:style w:type="character" w:styleId="Kommentarhenvisning">
    <w:name w:val="annotation reference"/>
    <w:basedOn w:val="Standardskrifttypeiafsnit"/>
    <w:uiPriority w:val="99"/>
    <w:semiHidden/>
    <w:unhideWhenUsed/>
    <w:rsid w:val="00D33C31"/>
    <w:rPr>
      <w:sz w:val="16"/>
      <w:szCs w:val="16"/>
    </w:rPr>
  </w:style>
  <w:style w:type="paragraph" w:styleId="Kommentartekst">
    <w:name w:val="annotation text"/>
    <w:basedOn w:val="Normal"/>
    <w:link w:val="KommentartekstTegn"/>
    <w:uiPriority w:val="99"/>
    <w:unhideWhenUsed/>
    <w:rsid w:val="00D33C31"/>
    <w:pPr>
      <w:spacing w:line="240" w:lineRule="auto"/>
    </w:pPr>
    <w:rPr>
      <w:sz w:val="20"/>
    </w:rPr>
  </w:style>
  <w:style w:type="character" w:customStyle="1" w:styleId="KommentartekstTegn">
    <w:name w:val="Kommentartekst Tegn"/>
    <w:basedOn w:val="Standardskrifttypeiafsnit"/>
    <w:link w:val="Kommentartekst"/>
    <w:uiPriority w:val="99"/>
    <w:rsid w:val="00D33C31"/>
    <w:rPr>
      <w:lang w:val="en-GB"/>
    </w:rPr>
  </w:style>
  <w:style w:type="paragraph" w:styleId="Kommentaremne">
    <w:name w:val="annotation subject"/>
    <w:basedOn w:val="Kommentartekst"/>
    <w:next w:val="Kommentartekst"/>
    <w:link w:val="KommentaremneTegn"/>
    <w:uiPriority w:val="99"/>
    <w:semiHidden/>
    <w:unhideWhenUsed/>
    <w:rsid w:val="00D33C31"/>
    <w:rPr>
      <w:b/>
      <w:bCs/>
    </w:rPr>
  </w:style>
  <w:style w:type="character" w:customStyle="1" w:styleId="KommentaremneTegn">
    <w:name w:val="Kommentaremne Tegn"/>
    <w:basedOn w:val="KommentartekstTegn"/>
    <w:link w:val="Kommentaremne"/>
    <w:uiPriority w:val="99"/>
    <w:semiHidden/>
    <w:rsid w:val="00D33C31"/>
    <w:rPr>
      <w:b/>
      <w:bCs/>
      <w:lang w:val="en-GB"/>
    </w:rPr>
  </w:style>
  <w:style w:type="character" w:styleId="Ulstomtale">
    <w:name w:val="Unresolved Mention"/>
    <w:basedOn w:val="Standardskrifttypeiafsni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k"/>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Sidehoved"/>
    <w:qFormat/>
    <w:rsid w:val="00AF6B1E"/>
  </w:style>
  <w:style w:type="paragraph" w:customStyle="1" w:styleId="Pageheader">
    <w:name w:val="Page header"/>
    <w:basedOn w:val="Sidehoved"/>
    <w:next w:val="Sidehoved"/>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Indholdsfortegnelse5">
    <w:name w:val="toc 5"/>
    <w:basedOn w:val="Normal"/>
    <w:next w:val="Normal"/>
    <w:uiPriority w:val="39"/>
    <w:semiHidden/>
    <w:unhideWhenUsed/>
    <w:qFormat/>
    <w:rsid w:val="00F205B9"/>
    <w:pPr>
      <w:spacing w:after="100"/>
      <w:ind w:left="880"/>
    </w:pPr>
  </w:style>
  <w:style w:type="paragraph" w:styleId="Indholdsfortegnelse6">
    <w:name w:val="toc 6"/>
    <w:basedOn w:val="Normal"/>
    <w:next w:val="Normal"/>
    <w:uiPriority w:val="39"/>
    <w:semiHidden/>
    <w:unhideWhenUsed/>
    <w:qFormat/>
    <w:rsid w:val="00F205B9"/>
    <w:pPr>
      <w:spacing w:after="100"/>
      <w:ind w:left="1100"/>
    </w:pPr>
  </w:style>
  <w:style w:type="paragraph" w:styleId="Indholdsfortegnelse7">
    <w:name w:val="toc 7"/>
    <w:basedOn w:val="Normal"/>
    <w:next w:val="Normal"/>
    <w:uiPriority w:val="39"/>
    <w:semiHidden/>
    <w:unhideWhenUsed/>
    <w:qFormat/>
    <w:rsid w:val="00F205B9"/>
    <w:pPr>
      <w:spacing w:after="100"/>
      <w:ind w:left="1320"/>
    </w:pPr>
  </w:style>
  <w:style w:type="paragraph" w:styleId="Indholdsfortegnelse8">
    <w:name w:val="toc 8"/>
    <w:basedOn w:val="Normal"/>
    <w:next w:val="Normal"/>
    <w:uiPriority w:val="39"/>
    <w:semiHidden/>
    <w:unhideWhenUsed/>
    <w:qFormat/>
    <w:rsid w:val="00F205B9"/>
    <w:pPr>
      <w:spacing w:after="100"/>
      <w:ind w:left="1540"/>
    </w:pPr>
  </w:style>
  <w:style w:type="paragraph" w:styleId="Indholdsfortegnelse9">
    <w:name w:val="toc 9"/>
    <w:basedOn w:val="Normal"/>
    <w:next w:val="Normal"/>
    <w:uiPriority w:val="39"/>
    <w:semiHidden/>
    <w:unhideWhenUsed/>
    <w:qFormat/>
    <w:rsid w:val="00F205B9"/>
    <w:pPr>
      <w:spacing w:after="100"/>
      <w:ind w:left="1760"/>
    </w:pPr>
  </w:style>
  <w:style w:type="character" w:styleId="BesgtLink">
    <w:name w:val="FollowedHyperlink"/>
    <w:basedOn w:val="Standardskrifttypeiafsnit"/>
    <w:uiPriority w:val="99"/>
    <w:semiHidden/>
    <w:unhideWhenUsed/>
    <w:rsid w:val="0043139E"/>
    <w:rPr>
      <w:color w:val="0174AF" w:themeColor="followedHyperlink"/>
      <w:u w:val="single"/>
    </w:rPr>
  </w:style>
  <w:style w:type="character" w:customStyle="1" w:styleId="ListeafsnitTegn">
    <w:name w:val="Listeafsnit Tegn"/>
    <w:aliases w:val="Paragraphe EI Tegn,Paragraphe de liste1 Tegn,EC Tegn"/>
    <w:link w:val="Listeafsnit"/>
    <w:uiPriority w:val="34"/>
    <w:locked/>
    <w:rsid w:val="00EC6066"/>
    <w:rPr>
      <w:rFonts w:asciiTheme="majorHAnsi" w:hAnsiTheme="majorHAnsi" w:cstheme="majorHAnsi"/>
      <w:color w:val="181818" w:themeColor="background1" w:themeShade="1A"/>
      <w:sz w:val="22"/>
      <w:szCs w:val="22"/>
      <w:lang w:val="pt-PT"/>
    </w:rPr>
  </w:style>
  <w:style w:type="paragraph" w:styleId="Korrektur">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Standardskrifttypeiafsnit"/>
    <w:rsid w:val="00061F32"/>
    <w:rPr>
      <w:rFonts w:ascii="Segoe UI" w:hAnsi="Segoe UI" w:cs="Segoe UI" w:hint="default"/>
      <w:sz w:val="18"/>
      <w:szCs w:val="18"/>
    </w:rPr>
  </w:style>
  <w:style w:type="character" w:customStyle="1" w:styleId="cf11">
    <w:name w:val="cf11"/>
    <w:basedOn w:val="Standardskrifttypeiafsnit"/>
    <w:rsid w:val="00061F32"/>
    <w:rPr>
      <w:rFonts w:ascii="Segoe UI" w:hAnsi="Segoe UI" w:cs="Segoe UI" w:hint="default"/>
      <w:color w:val="333333"/>
      <w:sz w:val="18"/>
      <w:szCs w:val="18"/>
      <w:shd w:val="clear" w:color="auto" w:fill="FFFFFF"/>
    </w:rPr>
  </w:style>
  <w:style w:type="character" w:styleId="Omtal">
    <w:name w:val="Mention"/>
    <w:basedOn w:val="Standardskrifttypeiafsnit"/>
    <w:uiPriority w:val="99"/>
    <w:unhideWhenUsed/>
    <w:rsid w:val="00251F26"/>
    <w:rPr>
      <w:color w:val="2B579A"/>
      <w:shd w:val="clear" w:color="auto" w:fill="E1DFDD"/>
    </w:rPr>
  </w:style>
  <w:style w:type="character" w:styleId="Pladsholdertekst">
    <w:name w:val="Placeholder Text"/>
    <w:basedOn w:val="Standardskrifttypeiafsni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dsholderteks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24F494577984CBD30817119264F69" ma:contentTypeVersion="11" ma:contentTypeDescription="Create a new document." ma:contentTypeScope="" ma:versionID="e0316d632ddc44a2406256c7e6754c3a">
  <xsd:schema xmlns:xsd="http://www.w3.org/2001/XMLSchema" xmlns:xs="http://www.w3.org/2001/XMLSchema" xmlns:p="http://schemas.microsoft.com/office/2006/metadata/properties" xmlns:ns2="24943991-94d7-4778-a9b3-19e5f2086ea5" xmlns:ns3="6329c0a7-00bb-45ff-bd71-4a1a6f4ffbda" xmlns:ns4="6ffff127-ab8a-4b6e-8b38-85b471e40d58" targetNamespace="http://schemas.microsoft.com/office/2006/metadata/properties" ma:root="true" ma:fieldsID="35f916f32d6955ef704221b5f382f439" ns2:_="" ns3:_="" ns4:_="">
    <xsd:import namespace="24943991-94d7-4778-a9b3-19e5f2086ea5"/>
    <xsd:import namespace="6329c0a7-00bb-45ff-bd71-4a1a6f4ffbda"/>
    <xsd:import namespace="6ffff127-ab8a-4b6e-8b38-85b471e40d58"/>
    <xsd:element name="properties">
      <xsd:complexType>
        <xsd:sequence>
          <xsd:element name="documentManagement">
            <xsd:complexType>
              <xsd:all>
                <xsd:element ref="ns2:_dlc_DocId" minOccurs="0"/>
                <xsd:element ref="ns3:_dlc_DocIdUrl" minOccurs="0"/>
                <xsd:element ref="ns3:_dlc_DocIdPersistId" minOccurs="0"/>
                <xsd:element ref="ns2:ob7afa27584f400f95462db069cc28f2" minOccurs="0"/>
                <xsd:element ref="ns2:fd_documentDate" minOccurs="0"/>
                <xsd:element ref="ns3:TaxCatchAll" minOccurs="0"/>
                <xsd:element ref="ns2:fd_owner"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43991-94d7-4778-a9b3-19e5f2086e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ob7afa27584f400f95462db069cc28f2" ma:index="11" nillable="true" ma:taxonomy="true" ma:internalName="ob7afa27584f400f95462db069cc28f2" ma:taxonomyFieldName="fd_journal" ma:displayName="Journal" ma:default="" ma:fieldId="{8b7afa27-584f-400f-9546-2db069cc28f2}" ma:taxonomyMulti="true" ma:sspId="6f0cbb39-80df-46cc-b4ae-a450fbe8aaff" ma:termSetId="eff4ded4-4221-4ac8-94b2-15177ff2d36d" ma:anchorId="00000000-0000-0000-0000-000000000000" ma:open="false" ma:isKeyword="false">
      <xsd:complexType>
        <xsd:sequence>
          <xsd:element ref="pc:Terms" minOccurs="0" maxOccurs="1"/>
        </xsd:sequence>
      </xsd:complexType>
    </xsd:element>
    <xsd:element name="fd_documentDate" ma:index="12" nillable="true" ma:displayName="Document Date" ma:format="DateOnly" ma:internalName="fd_documentDate">
      <xsd:simpleType>
        <xsd:restriction base="dms:DateTime"/>
      </xsd:simpleType>
    </xsd:element>
    <xsd:element name="fd_owner" ma:index="15" nillable="true" ma:displayName="Owner" ma:internalName="fd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29c0a7-00bb-45ff-bd71-4a1a6f4ffbda"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7af82044-6823-4104-8bf2-f002f35818c6}" ma:internalName="TaxCatchAll" ma:showField="CatchAllData" ma:web="6329c0a7-00bb-45ff-bd71-4a1a6f4ffbd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ff127-ab8a-4b6e-8b38-85b471e40d5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329c0a7-00bb-45ff-bd71-4a1a6f4ffbda" xsi:nil="true"/>
    <_dlc_DocId xmlns="24943991-94d7-4778-a9b3-19e5f2086ea5">FIDA-530944395-111</_dlc_DocId>
    <_dlc_DocIdUrl xmlns="6329c0a7-00bb-45ff-bd71-4a1a6f4ffbda">
      <Url>https://fida.sharepoint.com/sites/EX-ClearingAndSettlement/_layouts/15/DocIdRedir.aspx?ID=FIDA-530944395-111</Url>
      <Description>FIDA-530944395-111</Description>
    </_dlc_DocIdUrl>
    <_dlc_DocIdPersistId xmlns="6329c0a7-00bb-45ff-bd71-4a1a6f4ffbda" xsi:nil="true"/>
    <SharedWithUsers xmlns="6329c0a7-00bb-45ff-bd71-4a1a6f4ffbda">
      <UserInfo>
        <DisplayName>Kian Navid</DisplayName>
        <AccountId>329</AccountId>
        <AccountType/>
      </UserInfo>
      <UserInfo>
        <DisplayName>Christian Winkler</DisplayName>
        <AccountId>215</AccountId>
        <AccountType/>
      </UserInfo>
      <UserInfo>
        <DisplayName>Iris Hude</DisplayName>
        <AccountId>186</AccountId>
        <AccountType/>
      </UserInfo>
    </SharedWithUsers>
    <ob7afa27584f400f95462db069cc28f2 xmlns="24943991-94d7-4778-a9b3-19e5f2086ea5">
      <Terms xmlns="http://schemas.microsoft.com/office/infopath/2007/PartnerControls"/>
    </ob7afa27584f400f95462db069cc28f2>
    <fd_documentDate xmlns="24943991-94d7-4778-a9b3-19e5f2086ea5" xsi:nil="true"/>
    <fd_owner xmlns="24943991-94d7-4778-a9b3-19e5f2086e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BC5A1B-F0B5-470A-926A-D3FF454E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43991-94d7-4778-a9b3-19e5f2086ea5"/>
    <ds:schemaRef ds:uri="6329c0a7-00bb-45ff-bd71-4a1a6f4ffbda"/>
    <ds:schemaRef ds:uri="6ffff127-ab8a-4b6e-8b38-85b471e40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4AE7858C-3128-45EF-AE36-4A7D702B3BF5}">
  <ds:schemaRefs>
    <ds:schemaRef ds:uri="d0fb0f98-34f9-4d57-9559-eb8efd17aa5e"/>
    <ds:schemaRef ds:uri="http://purl.org/dc/dcmitype/"/>
    <ds:schemaRef ds:uri="http://purl.org/dc/terms/"/>
    <ds:schemaRef ds:uri="http://schemas.microsoft.com/office/2006/documentManagement/types"/>
    <ds:schemaRef ds:uri="d6ee69ee-eb04-4cc4-8631-12658645af0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6329c0a7-00bb-45ff-bd71-4a1a6f4ffbda"/>
    <ds:schemaRef ds:uri="24943991-94d7-4778-a9b3-19e5f2086ea5"/>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5.xml><?xml version="1.0" encoding="utf-8"?>
<ds:datastoreItem xmlns:ds="http://schemas.openxmlformats.org/officeDocument/2006/customXml" ds:itemID="{725CE82A-6C3D-41FC-996B-4F7F2BD19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4167</Words>
  <Characters>25419</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Nikolaj Pilgaard</cp:lastModifiedBy>
  <cp:revision>42</cp:revision>
  <cp:lastPrinted>2023-09-08T15:53:00Z</cp:lastPrinted>
  <dcterms:created xsi:type="dcterms:W3CDTF">2023-10-09T13:38:00Z</dcterms:created>
  <dcterms:modified xsi:type="dcterms:W3CDTF">2023-12-15T16:14:00Z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0x01010003424F494577984CBD30817119264F69</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fd027354-ee0e-4e0d-aa68-73c6e70b77e6</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fd_journal">
    <vt:lpwstr/>
  </property>
</Properties>
</file>