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9264"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1"/>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CCF7" id="Freeform: Shap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2"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3"/>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4"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t>Publication of responses</w:t>
          </w:r>
        </w:p>
        <w:p w14:paraId="296E0671" w14:textId="77777777" w:rsidR="00EC6066" w:rsidRPr="005B6B12" w:rsidRDefault="00EC6066" w:rsidP="00EC6066">
          <w:r w:rsidRPr="005B6B12">
            <w:lastRenderedPageBreak/>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5" w:history="1">
            <w:r w:rsidRPr="005B6B12">
              <w:rPr>
                <w:rStyle w:val="Hyperlink"/>
              </w:rPr>
              <w:t>www.esma.europa.eu</w:t>
            </w:r>
          </w:hyperlink>
          <w:r w:rsidRPr="005B6B12">
            <w:t xml:space="preserve"> under the heading </w:t>
          </w:r>
          <w:r w:rsidRPr="00025A7F">
            <w:rPr>
              <w:rStyle w:val="Hyperlink"/>
            </w:rPr>
            <w:t>‘</w:t>
          </w:r>
          <w:hyperlink r:id="rId16"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7"/>
          <w:footerReference w:type="default" r:id="rId18"/>
          <w:headerReference w:type="first" r:id="rId19"/>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2A8E5139" w:rsidR="00635BCA" w:rsidRPr="00557BD2" w:rsidRDefault="004577E1" w:rsidP="00D21C35">
                <w:r>
                  <w:t>PGGM Vermogensbeheer B.V.</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376D10DE" w:rsidR="00635BCA" w:rsidRPr="00557BD2" w:rsidRDefault="004776EB" w:rsidP="00D21C35">
                <w:r>
                  <w:t xml:space="preserve">Credit institutions, CSDs, investment firms, market operators, e-money institutions, UCITS management companies, AIFs </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EndPr/>
          <w:sdtContent>
            <w:permStart w:id="1071191175" w:edGrp="everyone" w:displacedByCustomXml="prev"/>
            <w:tc>
              <w:tcPr>
                <w:tcW w:w="4531" w:type="dxa"/>
              </w:tcPr>
              <w:p w14:paraId="2AD81A72" w14:textId="1BF8E072" w:rsidR="00635BCA" w:rsidRPr="00557BD2" w:rsidRDefault="004776E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516775EA" w:rsidR="00635BCA" w:rsidRPr="00557BD2" w:rsidRDefault="004776EB" w:rsidP="00D21C35">
                <w:r>
                  <w:t>Netherlands</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1CCCF983" w14:textId="5C4BC206" w:rsidR="00C5469A" w:rsidRDefault="000002D1" w:rsidP="00C5469A">
      <w:permStart w:id="1228560568" w:edGrp="everyone"/>
      <w:r>
        <w:t>General Comments:</w:t>
      </w:r>
    </w:p>
    <w:p w14:paraId="5D637F2D" w14:textId="77777777" w:rsidR="00155C0E" w:rsidRPr="002C64F0" w:rsidRDefault="00155C0E" w:rsidP="00155C0E">
      <w:pPr>
        <w:spacing w:after="200" w:line="271" w:lineRule="auto"/>
        <w:rPr>
          <w:rFonts w:asciiTheme="majorBidi" w:hAnsiTheme="majorBidi" w:cstheme="majorBidi"/>
          <w:color w:val="00379F" w:themeColor="text1"/>
          <w:sz w:val="24"/>
          <w:szCs w:val="24"/>
        </w:rPr>
      </w:pPr>
      <w:r w:rsidRPr="002C64F0">
        <w:rPr>
          <w:rFonts w:asciiTheme="majorBidi" w:hAnsiTheme="majorBidi" w:cstheme="majorBidi"/>
          <w:color w:val="00379F" w:themeColor="text1"/>
          <w:sz w:val="24"/>
          <w:szCs w:val="24"/>
        </w:rPr>
        <w:t xml:space="preserve">PGGM Vermogensbeheer B.V. (“PGGM”) is an active member of the relevant Trade associations and has contributed to their responses for call for evidence on shortening the trading cycle. In our response therefore we will only highlight the topics that are of particular interest to our firm as a modest size asset manager. For the detailed </w:t>
      </w:r>
      <w:r w:rsidRPr="002C64F0">
        <w:rPr>
          <w:rFonts w:asciiTheme="majorBidi" w:hAnsiTheme="majorBidi" w:cstheme="majorBidi"/>
          <w:color w:val="00379F" w:themeColor="text1"/>
          <w:sz w:val="24"/>
          <w:szCs w:val="24"/>
        </w:rPr>
        <w:lastRenderedPageBreak/>
        <w:t>responses to the call for evidence we refer you to the responses by ICMA, EFAMA &amp; ISLA.</w:t>
      </w:r>
    </w:p>
    <w:p w14:paraId="4D12BFAF" w14:textId="77777777" w:rsidR="00155C0E" w:rsidRPr="002C64F0" w:rsidRDefault="00155C0E" w:rsidP="00155C0E">
      <w:pPr>
        <w:spacing w:after="200" w:line="271" w:lineRule="auto"/>
        <w:rPr>
          <w:rFonts w:asciiTheme="majorBidi" w:hAnsiTheme="majorBidi" w:cstheme="majorBidi"/>
          <w:color w:val="00379F" w:themeColor="text1"/>
          <w:sz w:val="24"/>
          <w:szCs w:val="24"/>
        </w:rPr>
      </w:pPr>
      <w:r w:rsidRPr="002C64F0">
        <w:rPr>
          <w:rFonts w:asciiTheme="majorBidi" w:hAnsiTheme="majorBidi" w:cstheme="majorBidi"/>
          <w:color w:val="00379F" w:themeColor="text1"/>
          <w:sz w:val="24"/>
          <w:szCs w:val="24"/>
        </w:rPr>
        <w:t xml:space="preserve">Generally speaking we think one could argue that the current T+2 settlement is a good compromise: Yes, liquid securities in a simple sell/buy transaction in the same currency/time zone could easily be settled in a T+0 cycle. But: The seller of a less liquid security which has been pledged as (initial) margin (IM) or used for financing purposes via a Repo would most probably prefer to have the 2 days settlement cycle – because we do not only need to recall the security sold, but also replace the pledged security that has been sold. </w:t>
      </w:r>
    </w:p>
    <w:p w14:paraId="63506A59" w14:textId="77777777" w:rsidR="00155C0E" w:rsidRPr="002C64F0" w:rsidRDefault="00155C0E" w:rsidP="00155C0E">
      <w:pPr>
        <w:spacing w:after="200" w:line="271" w:lineRule="auto"/>
        <w:rPr>
          <w:rFonts w:asciiTheme="majorBidi" w:hAnsiTheme="majorBidi" w:cstheme="majorBidi"/>
          <w:color w:val="00379F" w:themeColor="text1"/>
          <w:sz w:val="24"/>
          <w:szCs w:val="24"/>
        </w:rPr>
      </w:pPr>
      <w:r w:rsidRPr="002C64F0">
        <w:rPr>
          <w:rFonts w:asciiTheme="majorBidi" w:hAnsiTheme="majorBidi" w:cstheme="majorBidi"/>
          <w:color w:val="00379F" w:themeColor="text1"/>
          <w:sz w:val="24"/>
          <w:szCs w:val="24"/>
        </w:rPr>
        <w:t xml:space="preserve">PGGM as a </w:t>
      </w:r>
      <w:hyperlink r:id="rId20" w:tooltip="Non-banking financial company" w:history="1">
        <w:r w:rsidRPr="002C64F0">
          <w:rPr>
            <w:rStyle w:val="Hyperlink"/>
            <w:rFonts w:asciiTheme="majorBidi" w:hAnsiTheme="majorBidi" w:cstheme="majorBidi"/>
            <w:color w:val="00379F" w:themeColor="text1"/>
            <w:sz w:val="24"/>
            <w:szCs w:val="24"/>
          </w:rPr>
          <w:t>non-bank financial intermediary</w:t>
        </w:r>
      </w:hyperlink>
      <w:r w:rsidRPr="002C64F0">
        <w:rPr>
          <w:rFonts w:asciiTheme="majorBidi" w:hAnsiTheme="majorBidi" w:cstheme="majorBidi"/>
          <w:color w:val="00379F" w:themeColor="text1"/>
          <w:sz w:val="24"/>
          <w:szCs w:val="24"/>
        </w:rPr>
        <w:t> (NBFI) does not have direct access to ECB liquidity, neither do our clients. We are therefore, more than banks, heavily reliant on well-functioning markets. As you mention in your request, the European market has its challenges/inefficiencies which we would like to see resolved. Unlike the US (and the UK), the EU market continues to be heavily fragmented in terms of market infrastructure (e.g. consisting of multiple trading venues, CCPs, CSDs), but also in terms of non-harmonisation in areas such as tax, corporate actions, and other remaining market-specific characteristics, as well as comprising multiple currencies (which means heavier reliance on FX trades).</w:t>
      </w:r>
    </w:p>
    <w:p w14:paraId="1F0CC701" w14:textId="77777777" w:rsidR="00155C0E" w:rsidRPr="002C64F0" w:rsidRDefault="00155C0E" w:rsidP="00155C0E">
      <w:pPr>
        <w:spacing w:after="200" w:line="271" w:lineRule="auto"/>
        <w:rPr>
          <w:rFonts w:asciiTheme="majorBidi" w:hAnsiTheme="majorBidi" w:cstheme="majorBidi"/>
          <w:color w:val="00379F" w:themeColor="text1"/>
          <w:sz w:val="24"/>
          <w:szCs w:val="24"/>
        </w:rPr>
      </w:pPr>
      <w:r w:rsidRPr="002C64F0">
        <w:rPr>
          <w:rFonts w:asciiTheme="majorBidi" w:hAnsiTheme="majorBidi" w:cstheme="majorBidi"/>
          <w:color w:val="00379F" w:themeColor="text1"/>
          <w:sz w:val="24"/>
          <w:szCs w:val="24"/>
        </w:rPr>
        <w:t>We think the shorter settlement cycle will not solve these issues but rather exacerbate them. Over the past years, there has been a lot of focus on settlement efficiency in the EU, both in the regulatory community as well as in the industry itself, with market participants trying to better understand current issues, bottlenecks and potential ways to reduce settlement fails. While some progress has been made as result, it is clear that a lot of work still lies ahead. Further progress in this area would be a pre-requisite for any attempted move to T+1 and should be a clear priority at this point in time.</w:t>
      </w:r>
    </w:p>
    <w:p w14:paraId="483B2FB4" w14:textId="77777777" w:rsidR="00155C0E" w:rsidRPr="002C64F0" w:rsidRDefault="00155C0E" w:rsidP="00155C0E">
      <w:pPr>
        <w:spacing w:after="200" w:line="271" w:lineRule="auto"/>
        <w:rPr>
          <w:rFonts w:asciiTheme="majorBidi" w:hAnsiTheme="majorBidi" w:cstheme="majorBidi"/>
          <w:color w:val="00379F" w:themeColor="text1"/>
          <w:sz w:val="24"/>
          <w:szCs w:val="24"/>
        </w:rPr>
      </w:pPr>
      <w:r w:rsidRPr="002C64F0">
        <w:rPr>
          <w:rFonts w:asciiTheme="majorBidi" w:hAnsiTheme="majorBidi" w:cstheme="majorBidi"/>
          <w:color w:val="00379F" w:themeColor="text1"/>
          <w:sz w:val="24"/>
          <w:szCs w:val="24"/>
        </w:rPr>
        <w:t>As an NBFI we are heavily reliant on the well-functioning of the repo market. There is no real mention of the importance of financing transactions like Repos and Securities lending and how this will be effected by a move to T+1. These transactions create a chain of transactions where, even if the first in the chain settles “Just in time” (JIT), the rest will most probably, at best, struggle to meet the T+1 cut off. We were all witness of what happens when a perfect JIT logistic world meets an Evergreen (no, not the repo term trade but the container ship stuck in the Suez canal). Earlier settlement will narrow the window within which the repo market has to fund most cash transactions to only one day, which means that a substantial part of the repo market will have to move to overnight or even same day settlement. This is a major change compared to today.</w:t>
      </w:r>
    </w:p>
    <w:p w14:paraId="21A1EB07" w14:textId="77777777" w:rsidR="00155C0E" w:rsidRPr="002C64F0" w:rsidRDefault="00155C0E" w:rsidP="00155C0E">
      <w:pPr>
        <w:spacing w:after="200" w:line="271" w:lineRule="auto"/>
        <w:rPr>
          <w:rFonts w:asciiTheme="majorBidi" w:hAnsiTheme="majorBidi" w:cstheme="majorBidi"/>
          <w:color w:val="00379F" w:themeColor="text1"/>
          <w:sz w:val="24"/>
          <w:szCs w:val="24"/>
        </w:rPr>
      </w:pPr>
      <w:r w:rsidRPr="002C64F0">
        <w:rPr>
          <w:rFonts w:asciiTheme="majorBidi" w:hAnsiTheme="majorBidi" w:cstheme="majorBidi"/>
          <w:color w:val="00379F" w:themeColor="text1"/>
          <w:sz w:val="24"/>
          <w:szCs w:val="24"/>
        </w:rPr>
        <w:lastRenderedPageBreak/>
        <w:t>Now with settlement @ T+2 it is not particularly important if a trade is done in the morning or late afternoon – so liquidity in the market during the day is less dependent on the trade cycle. With T+1 there will be a big difference when a trade is done during the day as this could impact liquidity at certain times during the day (causing higher volatility?) – e.g. a sale at 16:00 of a security on loan in a T+1 environment will inevitably mean a T+0 settlement of the out on loan position.</w:t>
      </w:r>
    </w:p>
    <w:p w14:paraId="5BC22ED4" w14:textId="77777777" w:rsidR="00155C0E" w:rsidRPr="002C64F0" w:rsidRDefault="00155C0E" w:rsidP="00155C0E">
      <w:pPr>
        <w:spacing w:after="200" w:line="271" w:lineRule="auto"/>
        <w:rPr>
          <w:rFonts w:asciiTheme="majorBidi" w:hAnsiTheme="majorBidi" w:cstheme="majorBidi"/>
          <w:color w:val="00379F" w:themeColor="text1"/>
          <w:sz w:val="24"/>
          <w:szCs w:val="24"/>
        </w:rPr>
      </w:pPr>
      <w:r w:rsidRPr="002C64F0">
        <w:rPr>
          <w:rFonts w:asciiTheme="majorBidi" w:hAnsiTheme="majorBidi" w:cstheme="majorBidi"/>
          <w:color w:val="00379F" w:themeColor="text1"/>
          <w:sz w:val="24"/>
          <w:szCs w:val="24"/>
        </w:rPr>
        <w:t>PGGM has one office in one time zone – and for cost efficiency reasons we try to contain working hours to between 6am and 6pm. This puts our firm at a big disadvantage versus big international institutions as they can hand over to branches in other time zones, etc. For exceptions and issues after working hours we will need to find a solution, which most certainly means we will incur extra costs. These costs will be of a permanent nature.</w:t>
      </w:r>
    </w:p>
    <w:p w14:paraId="438B5933" w14:textId="77777777" w:rsidR="00155C0E" w:rsidRPr="002C64F0" w:rsidRDefault="00155C0E" w:rsidP="00155C0E">
      <w:pPr>
        <w:spacing w:after="200" w:line="271" w:lineRule="auto"/>
        <w:rPr>
          <w:rFonts w:asciiTheme="majorBidi" w:hAnsiTheme="majorBidi" w:cstheme="majorBidi"/>
          <w:color w:val="00379F" w:themeColor="text1"/>
          <w:sz w:val="24"/>
          <w:szCs w:val="24"/>
        </w:rPr>
      </w:pPr>
      <w:r w:rsidRPr="002C64F0">
        <w:rPr>
          <w:rFonts w:asciiTheme="majorBidi" w:hAnsiTheme="majorBidi" w:cstheme="majorBidi"/>
          <w:color w:val="00379F" w:themeColor="text1"/>
          <w:sz w:val="24"/>
          <w:szCs w:val="24"/>
        </w:rPr>
        <w:t>PGGM also makes the assets of their clients available to the market via Securities Lending. SFTR, CSDR and Balance sheet constraints of borrowers have over the past years made Securities Lending a marginal endeavour. The additional pressure (and subsequent investments in securities lending plumbing) of T+1 settlement may mean PGGM’s clients will no longer offer their securities for lending to the market. Assuming we are not the only firm with these issues, this could adversely affect the securities finance capabilities and thus the market liquidity of the sector as a whole.</w:t>
      </w:r>
    </w:p>
    <w:p w14:paraId="1E5E36B0" w14:textId="00216173" w:rsidR="000002D1" w:rsidRPr="00155C0E" w:rsidRDefault="00155C0E" w:rsidP="00155C0E">
      <w:pPr>
        <w:pStyle w:val="HTMLPreformatted"/>
        <w:spacing w:after="200" w:line="271" w:lineRule="auto"/>
        <w:jc w:val="both"/>
        <w:rPr>
          <w:rFonts w:asciiTheme="majorBidi" w:eastAsiaTheme="minorHAnsi" w:hAnsiTheme="majorBidi" w:cstheme="majorBidi"/>
          <w:color w:val="00379F" w:themeColor="text1"/>
          <w:sz w:val="24"/>
          <w:szCs w:val="24"/>
          <w:lang w:val="en-GB" w:eastAsia="en-US"/>
        </w:rPr>
      </w:pPr>
      <w:r w:rsidRPr="002C64F0">
        <w:rPr>
          <w:rFonts w:asciiTheme="majorBidi" w:eastAsiaTheme="minorHAnsi" w:hAnsiTheme="majorBidi" w:cstheme="majorBidi"/>
          <w:color w:val="00379F" w:themeColor="text1"/>
          <w:sz w:val="24"/>
          <w:szCs w:val="24"/>
          <w:lang w:val="en-GB" w:eastAsia="en-US"/>
        </w:rPr>
        <w:t>At PGGM we appreciate and support the effort to achieve a settlement cycle that is in line with other markets and see solving the fragmentation of EU financial market as a precondition to be able to implement the move to T+1 successfully.</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528E6910" w14:textId="77777777" w:rsidR="00C5469A" w:rsidRDefault="00C5469A" w:rsidP="00C5469A">
      <w:permStart w:id="45707097" w:edGrp="everyone"/>
      <w:r>
        <w:t>TYPE YOUR TEXT HERE</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2119D8B5" w14:textId="77777777" w:rsidR="00C5469A" w:rsidRDefault="00C5469A" w:rsidP="00C5469A">
      <w:permStart w:id="1188046948" w:edGrp="everyone"/>
      <w:r>
        <w:t>TYPE YOUR TEXT HERE</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5794F5A4" w14:textId="77777777" w:rsidR="00C5469A" w:rsidRDefault="00C5469A" w:rsidP="00C5469A">
      <w:permStart w:id="19423711" w:edGrp="everyone"/>
      <w:r>
        <w:t>TYPE YOUR TEXT HERE</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EA48A43" w14:textId="77777777" w:rsidR="00C5469A" w:rsidRDefault="00C5469A" w:rsidP="00C5469A">
      <w:permStart w:id="1238857977" w:edGrp="everyone"/>
      <w:r>
        <w:t>TYPE YOUR TEXT HERE</w:t>
      </w:r>
    </w:p>
    <w:permEnd w:id="1238857977"/>
    <w:p w14:paraId="39592726" w14:textId="77777777" w:rsidR="00C5469A" w:rsidRDefault="00C5469A" w:rsidP="00C5469A">
      <w:r>
        <w:lastRenderedPageBreak/>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57FD56D0" w14:textId="77777777" w:rsidR="00C5469A" w:rsidRDefault="00C5469A" w:rsidP="00C5469A">
      <w:permStart w:id="367399486" w:edGrp="everyone"/>
      <w:r>
        <w:t>TYPE YOUR TEXT HERE</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77777777" w:rsidR="00C5469A" w:rsidRDefault="00C5469A" w:rsidP="00C5469A">
      <w:permStart w:id="1217420632" w:edGrp="everyone"/>
      <w:r>
        <w:t>TYPE YOUR TEXT HERE</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77777777" w:rsidR="00C5469A" w:rsidRDefault="00C5469A" w:rsidP="00C5469A">
      <w:permStart w:id="736563321" w:edGrp="everyone"/>
      <w:r>
        <w:t>TYPE YOUR TEXT HERE</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lastRenderedPageBreak/>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DBBC5AB" w14:textId="77777777" w:rsidR="00C5469A" w:rsidRDefault="00C5469A" w:rsidP="00C5469A">
      <w:permStart w:id="1982556193" w:edGrp="everyone"/>
      <w:r>
        <w:t>TYPE YOUR TEXT HERE</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77777777" w:rsidR="00C5469A" w:rsidRDefault="00C5469A" w:rsidP="00C5469A">
      <w:permStart w:id="639642393" w:edGrp="everyone"/>
      <w:r>
        <w:t>TYPE YOUR TEXT HERE</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77777777" w:rsidR="00C5469A" w:rsidRDefault="00C5469A" w:rsidP="00C5469A">
      <w:permStart w:id="78006216" w:edGrp="everyone"/>
      <w:r>
        <w:t>TYPE YOUR TEXT HERE</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lastRenderedPageBreak/>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77777777" w:rsidR="00C5469A" w:rsidRDefault="00C5469A" w:rsidP="00C5469A">
      <w:permStart w:id="27267923" w:edGrp="everyone"/>
      <w:r>
        <w:t>TYPE YOUR TEXT HERE</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019E0E12" w14:textId="77777777" w:rsidR="00C5469A" w:rsidRDefault="00C5469A" w:rsidP="00C5469A">
      <w:permStart w:id="75696228" w:edGrp="everyone"/>
      <w:r>
        <w:t>TYPE YOUR TEXT HERE</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3240CBCD" w14:textId="77777777" w:rsidR="00C5469A" w:rsidRDefault="00C5469A" w:rsidP="00C5469A">
      <w:permStart w:id="1702320082" w:edGrp="everyone"/>
      <w:r>
        <w:t>TYPE YOUR TEXT HERE</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2A4969A1" w14:textId="77777777" w:rsidR="00C5469A" w:rsidRDefault="00C5469A" w:rsidP="00C5469A">
      <w:permStart w:id="1673478500" w:edGrp="everyone"/>
      <w:r>
        <w:t>TYPE YOUR TEXT HERE</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lastRenderedPageBreak/>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1BAFD56E" w14:textId="77777777" w:rsidR="00C5469A" w:rsidRDefault="00C5469A" w:rsidP="00C5469A">
      <w:permStart w:id="1134712045" w:edGrp="everyone"/>
      <w:r>
        <w:t>TYPE YOUR TEXT HERE</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77777777" w:rsidR="00C5469A" w:rsidRDefault="00C5469A" w:rsidP="00C5469A">
      <w:permStart w:id="1013345542" w:edGrp="everyone"/>
      <w:r>
        <w:t>TYPE YOUR TEXT HERE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77777777" w:rsidR="00C5469A" w:rsidRDefault="00C5469A" w:rsidP="00C5469A">
      <w:permStart w:id="254495919" w:edGrp="everyone"/>
      <w:r>
        <w:t>TYPE YOUR TEXT HERE</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xml:space="preserve">: Which financial instruments/ transaction types are easier to migrate to a shorter settlement period in the EU capital markets? Does the answer differ by asset class? </w:t>
      </w:r>
      <w:r>
        <w:lastRenderedPageBreak/>
        <w:t>Should it be feasible/advisable to have different migration times for different products/markets/assets? If yes, please elaborate.</w:t>
      </w:r>
    </w:p>
    <w:p w14:paraId="092078EB" w14:textId="77777777" w:rsidR="00C5469A" w:rsidRDefault="00C5469A" w:rsidP="00C5469A">
      <w:r>
        <w:t>&lt;ESMA_QUESTION_SETT_19&gt;</w:t>
      </w:r>
    </w:p>
    <w:p w14:paraId="3DCB7BF4" w14:textId="77777777" w:rsidR="00C5469A" w:rsidRDefault="00C5469A" w:rsidP="00C5469A">
      <w:permStart w:id="1982605857" w:edGrp="everyone"/>
      <w:r>
        <w:t>TYPE YOUR TEXT HERE</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77777777" w:rsidR="00C5469A" w:rsidRDefault="00C5469A" w:rsidP="00C5469A">
      <w:permStart w:id="558774206" w:edGrp="everyone"/>
      <w:r>
        <w:t>TYPE YOUR TEXT HERE</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1BB6D426" w14:textId="77777777" w:rsidR="00C5469A" w:rsidRDefault="00C5469A" w:rsidP="00C5469A">
      <w:permStart w:id="6054277" w:edGrp="everyone"/>
      <w:r>
        <w:t>TYPE YOUR TEXT HERE</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xml:space="preserve">: Can you identify any EU legislative or regulatory action that would reduce the impact of the move to T+1 in third countries for EU market participants? Please specify </w:t>
      </w:r>
      <w:r>
        <w:lastRenderedPageBreak/>
        <w:t>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77777777" w:rsidR="00C5469A" w:rsidRDefault="00C5469A"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3EFCD4DE" w14:textId="77777777" w:rsidR="00C5469A" w:rsidRDefault="00C5469A" w:rsidP="00C5469A">
      <w:permStart w:id="1174998131" w:edGrp="everyone"/>
      <w:r>
        <w:t>TYPE YOUR TEXT HERE</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77777777" w:rsidR="00C5469A" w:rsidRDefault="00C5469A" w:rsidP="00C5469A">
      <w:permStart w:id="2138049322" w:edGrp="everyone"/>
      <w:r>
        <w:t>TYPE YOUR TEXT HERE</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lastRenderedPageBreak/>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77777777" w:rsidR="00C5469A" w:rsidRDefault="00C5469A" w:rsidP="00C5469A">
      <w:permStart w:id="1765815298" w:edGrp="everyone"/>
      <w:r>
        <w:t>TYPE YOUR TEXT HERE</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735EC91A" w14:textId="77777777" w:rsidR="00C5469A" w:rsidRDefault="00C5469A" w:rsidP="00C5469A">
      <w:permStart w:id="1934034529" w:edGrp="everyone"/>
      <w:r>
        <w:t>TYPE YOUR TEXT HERE</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7777777" w:rsidR="00C5469A" w:rsidRDefault="00C5469A" w:rsidP="00C5469A">
      <w:permStart w:id="1617899118" w:edGrp="everyone"/>
      <w:r>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F265" w14:textId="77777777" w:rsidR="00582588" w:rsidRDefault="00582588" w:rsidP="007E7997">
      <w:pPr>
        <w:spacing w:line="240" w:lineRule="auto"/>
      </w:pPr>
      <w:r>
        <w:separator/>
      </w:r>
    </w:p>
  </w:endnote>
  <w:endnote w:type="continuationSeparator" w:id="0">
    <w:p w14:paraId="0DB68E98" w14:textId="77777777" w:rsidR="00582588" w:rsidRDefault="00582588" w:rsidP="007E7997">
      <w:pPr>
        <w:spacing w:line="240" w:lineRule="auto"/>
      </w:pPr>
      <w:r>
        <w:continuationSeparator/>
      </w:r>
    </w:p>
  </w:endnote>
  <w:endnote w:type="continuationNotice" w:id="1">
    <w:p w14:paraId="36A6019B" w14:textId="77777777" w:rsidR="00582588" w:rsidRDefault="0058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9590" w14:textId="77777777" w:rsidR="00582588" w:rsidRDefault="00582588" w:rsidP="007E7997">
      <w:pPr>
        <w:spacing w:line="240" w:lineRule="auto"/>
      </w:pPr>
      <w:r>
        <w:separator/>
      </w:r>
    </w:p>
  </w:footnote>
  <w:footnote w:type="continuationSeparator" w:id="0">
    <w:p w14:paraId="72020CCD" w14:textId="77777777" w:rsidR="00582588" w:rsidRDefault="00582588" w:rsidP="007E7997">
      <w:pPr>
        <w:spacing w:line="240" w:lineRule="auto"/>
      </w:pPr>
      <w:r>
        <w:continuationSeparator/>
      </w:r>
    </w:p>
  </w:footnote>
  <w:footnote w:type="continuationNotice" w:id="1">
    <w:p w14:paraId="6FE75894" w14:textId="77777777" w:rsidR="00582588" w:rsidRDefault="00582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5168"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9264"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63360"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1"/>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2"/>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2D1"/>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C0E"/>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7E1"/>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6EB"/>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3DD"/>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5D0F"/>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 w:type="paragraph" w:styleId="HTMLPreformatted">
    <w:name w:val="HTML Preformatted"/>
    <w:basedOn w:val="Normal"/>
    <w:link w:val="HTMLPreformattedChar"/>
    <w:uiPriority w:val="99"/>
    <w:unhideWhenUsed/>
    <w:rsid w:val="0015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lang w:val="nl-NL" w:eastAsia="nl-NL"/>
    </w:rPr>
  </w:style>
  <w:style w:type="character" w:customStyle="1" w:styleId="HTMLPreformattedChar">
    <w:name w:val="HTML Preformatted Char"/>
    <w:basedOn w:val="DefaultParagraphFont"/>
    <w:link w:val="HTMLPreformatted"/>
    <w:uiPriority w:val="99"/>
    <w:rsid w:val="00155C0E"/>
    <w:rPr>
      <w:rFonts w:ascii="Courier New" w:eastAsia="Times New Roman"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ma.europa.eu/about-esma/data-protection" TargetMode="External"/><Relationship Id="rId20" Type="http://schemas.openxmlformats.org/officeDocument/2006/relationships/hyperlink" Target="https://eur01.safelinks.protection.outlook.com/?url=https%3A%2F%2Fen.wikipedia.org%2Fwiki%2FNon-banking_financial_company&amp;data=05%7C02%7Croelof.van.der.struik%40pggm.nl%7Cc09537724842493cfc5e08dbfbf7ddc6%7C9e3ee5fe3a9945dbac6e691e86febef3%7C0%7C0%7C638380814223976563%7CUnknown%7CTWFpbGZsb3d8eyJWIjoiMC4wLjAwMDAiLCJQIjoiV2luMzIiLCJBTiI6Ik1haWwiLCJXVCI6Mn0%3D%7C3000%7C%7C%7C&amp;sdata=reKtN7xAKWTEx3Sxpsffo7ZV%2Bz9cUfr0DNISTqOfmr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2a2e65-d3c8-4cb3-acae-cd6454df2dcd" xsi:nil="true"/>
    <SharedWithUsers xmlns="4c2a2e65-d3c8-4cb3-acae-cd6454df2dcd">
      <UserInfo>
        <DisplayName>Kian Navid</DisplayName>
        <AccountId>329</AccountId>
        <AccountType/>
      </UserInfo>
      <UserInfo>
        <DisplayName>Christian Winkler</DisplayName>
        <AccountId>215</AccountId>
        <AccountType/>
      </UserInfo>
      <UserInfo>
        <DisplayName>Iris Hude</DisplayName>
        <AccountId>186</AccountId>
        <AccountType/>
      </UserInfo>
    </SharedWithUsers>
    <Remarks xmlns="f2637c2c-8582-4ef0-bac0-22ac9be3c24a" xsi:nil="true"/>
    <lcf76f155ced4ddcb4097134ff3c332f xmlns="f2637c2c-8582-4ef0-bac0-22ac9be3c24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EB6B8E5FB11D4FA6A47FCC0AF5DF8E" ma:contentTypeVersion="15" ma:contentTypeDescription="Een nieuw document maken." ma:contentTypeScope="" ma:versionID="0550b9ce73e26f7fc13a1a5f8bec71ec">
  <xsd:schema xmlns:xsd="http://www.w3.org/2001/XMLSchema" xmlns:xs="http://www.w3.org/2001/XMLSchema" xmlns:p="http://schemas.microsoft.com/office/2006/metadata/properties" xmlns:ns2="f2637c2c-8582-4ef0-bac0-22ac9be3c24a" xmlns:ns3="4c2a2e65-d3c8-4cb3-acae-cd6454df2dcd" targetNamespace="http://schemas.microsoft.com/office/2006/metadata/properties" ma:root="true" ma:fieldsID="f2f1e4666122102b7f4142977b65bf10" ns2:_="" ns3:_="">
    <xsd:import namespace="f2637c2c-8582-4ef0-bac0-22ac9be3c24a"/>
    <xsd:import namespace="4c2a2e65-d3c8-4cb3-acae-cd6454df2d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lcf76f155ced4ddcb4097134ff3c332f" minOccurs="0"/>
                <xsd:element ref="ns3:TaxCatchAll" minOccurs="0"/>
                <xsd:element ref="ns2:MediaServiceObjectDetectorVersions" minOccurs="0"/>
                <xsd:element ref="ns2: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7c2c-8582-4ef0-bac0-22ac9be3c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e150c79-015b-4b66-82f7-b244dfd42d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Remarks" ma:index="22" nillable="true" ma:displayName="Remarks" ma:description="comments on version" ma:format="Dropdown"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a2e65-d3c8-4cb3-acae-cd6454df2d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73e502c-c983-46d6-9973-4534e1a3bbda}" ma:internalName="TaxCatchAll" ma:showField="CatchAllData" ma:web="4c2a2e65-d3c8-4cb3-acae-cd6454df2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2.xml><?xml version="1.0" encoding="utf-8"?>
<ds:datastoreItem xmlns:ds="http://schemas.openxmlformats.org/officeDocument/2006/customXml" ds:itemID="{4AE7858C-3128-45EF-AE36-4A7D702B3BF5}">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4c2a2e65-d3c8-4cb3-acae-cd6454df2dcd"/>
    <ds:schemaRef ds:uri="f2637c2c-8582-4ef0-bac0-22ac9be3c24a"/>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2031CF4C-6D47-458F-BB4A-401E34D37C9E}"/>
</file>

<file path=docMetadata/LabelInfo.xml><?xml version="1.0" encoding="utf-8"?>
<clbl:labelList xmlns:clbl="http://schemas.microsoft.com/office/2020/mipLabelMetadata">
  <clbl:label id="{9e3ee5fe-3a99-45db-ac6e-691e86febef3}" enabled="0" method="" siteId="{9e3ee5fe-3a99-45db-ac6e-691e86febef3}"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2554</Words>
  <Characters>14560</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Honert van den, Michael</cp:lastModifiedBy>
  <cp:revision>2</cp:revision>
  <cp:lastPrinted>2023-09-08T15:53:00Z</cp:lastPrinted>
  <dcterms:created xsi:type="dcterms:W3CDTF">2023-12-15T15:36:00Z</dcterms:created>
  <dcterms:modified xsi:type="dcterms:W3CDTF">2023-12-15T15:36:00Z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0x010100B2EB6B8E5FB11D4FA6A47FCC0AF5DF8E</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y fmtid="{D5CDD505-2E9C-101B-9397-08002B2CF9AE}" pid="16" name="MediaServiceImageTags">
    <vt:lpwstr/>
  </property>
</Properties>
</file>