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color w:val="181818" w:themeColor="background1" w:themeShade="1A"/>
          <w:spacing w:val="0"/>
          <w:sz w:val="28"/>
          <w:szCs w:val="24"/>
        </w:rPr>
        <w:id w:val="-973058580"/>
        <w:docPartObj>
          <w:docPartGallery w:val="Cover Pages"/>
          <w:docPartUnique/>
        </w:docPartObj>
      </w:sdtPr>
      <w:sdtContent>
        <w:p w14:paraId="01438AE1" w14:textId="19FC5ED4" w:rsidR="00563C1F" w:rsidRDefault="00EC6066" w:rsidP="00F72D28">
          <w:pPr>
            <w:pStyle w:val="Titolo"/>
          </w:pPr>
          <w:r>
            <w:t>Reply form</w:t>
          </w:r>
        </w:p>
        <w:p w14:paraId="031F2108" w14:textId="314EEC9D" w:rsidR="007E7997" w:rsidRDefault="00D77369" w:rsidP="00D77369">
          <w:pPr>
            <w:pStyle w:val="Sottotitolo"/>
            <w:rPr>
              <w:rFonts w:cs="Arial"/>
            </w:rPr>
          </w:pPr>
          <w:r>
            <w:rPr>
              <w:noProof/>
            </w:rPr>
            <mc:AlternateContent>
              <mc:Choice Requires="wps">
                <w:drawing>
                  <wp:anchor distT="0" distB="0" distL="114300" distR="114300" simplePos="0" relativeHeight="251658240" behindDoc="1" locked="1" layoutInCell="1" allowOverlap="0" wp14:anchorId="72CBE987" wp14:editId="5CFA8051">
                    <wp:simplePos x="0" y="0"/>
                    <wp:positionH relativeFrom="page">
                      <wp:posOffset>17145</wp:posOffset>
                    </wp:positionH>
                    <wp:positionV relativeFrom="paragraph">
                      <wp:posOffset>541020</wp:posOffset>
                    </wp:positionV>
                    <wp:extent cx="7570470" cy="9777095"/>
                    <wp:effectExtent l="0" t="0" r="0" b="0"/>
                    <wp:wrapNone/>
                    <wp:docPr id="1" name="Freeform: Shape 1"/>
                    <wp:cNvGraphicFramePr/>
                    <a:graphic xmlns:a="http://schemas.openxmlformats.org/drawingml/2006/main">
                      <a:graphicData uri="http://schemas.microsoft.com/office/word/2010/wordprocessingShape">
                        <wps:wsp>
                          <wps:cNvSpPr/>
                          <wps:spPr>
                            <a:xfrm>
                              <a:off x="0" y="0"/>
                              <a:ext cx="7570470" cy="9777095"/>
                            </a:xfrm>
                            <a:custGeom>
                              <a:avLst/>
                              <a:gdLst>
                                <a:gd name="connsiteX0" fmla="*/ 2959709 w 7569200"/>
                                <a:gd name="connsiteY0" fmla="*/ 0 h 9565640"/>
                                <a:gd name="connsiteX1" fmla="*/ 4609491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321548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28581 h 9594221"/>
                                <a:gd name="connsiteX1" fmla="*/ 7569200 w 7569200"/>
                                <a:gd name="connsiteY1" fmla="*/ 350129 h 9594221"/>
                                <a:gd name="connsiteX2" fmla="*/ 7569200 w 7569200"/>
                                <a:gd name="connsiteY2" fmla="*/ 2988290 h 9594221"/>
                                <a:gd name="connsiteX3" fmla="*/ 7569200 w 7569200"/>
                                <a:gd name="connsiteY3" fmla="*/ 9594221 h 9594221"/>
                                <a:gd name="connsiteX4" fmla="*/ 7569200 w 7569200"/>
                                <a:gd name="connsiteY4" fmla="*/ 9594221 h 9594221"/>
                                <a:gd name="connsiteX5" fmla="*/ 0 w 7569200"/>
                                <a:gd name="connsiteY5" fmla="*/ 9594221 h 9594221"/>
                                <a:gd name="connsiteX6" fmla="*/ 0 w 7569200"/>
                                <a:gd name="connsiteY6" fmla="*/ 9594221 h 9594221"/>
                                <a:gd name="connsiteX7" fmla="*/ 0 w 7569200"/>
                                <a:gd name="connsiteY7" fmla="*/ 2988290 h 9594221"/>
                                <a:gd name="connsiteX8" fmla="*/ 2959709 w 7569200"/>
                                <a:gd name="connsiteY8" fmla="*/ 28581 h 9594221"/>
                                <a:gd name="connsiteX0" fmla="*/ 2959709 w 7569200"/>
                                <a:gd name="connsiteY0" fmla="*/ 453815 h 10019455"/>
                                <a:gd name="connsiteX1" fmla="*/ 7569200 w 7569200"/>
                                <a:gd name="connsiteY1" fmla="*/ 775363 h 10019455"/>
                                <a:gd name="connsiteX2" fmla="*/ 7569200 w 7569200"/>
                                <a:gd name="connsiteY2" fmla="*/ 3413524 h 10019455"/>
                                <a:gd name="connsiteX3" fmla="*/ 7569200 w 7569200"/>
                                <a:gd name="connsiteY3" fmla="*/ 10019455 h 10019455"/>
                                <a:gd name="connsiteX4" fmla="*/ 7569200 w 7569200"/>
                                <a:gd name="connsiteY4" fmla="*/ 10019455 h 10019455"/>
                                <a:gd name="connsiteX5" fmla="*/ 0 w 7569200"/>
                                <a:gd name="connsiteY5" fmla="*/ 10019455 h 10019455"/>
                                <a:gd name="connsiteX6" fmla="*/ 0 w 7569200"/>
                                <a:gd name="connsiteY6" fmla="*/ 10019455 h 10019455"/>
                                <a:gd name="connsiteX7" fmla="*/ 0 w 7569200"/>
                                <a:gd name="connsiteY7" fmla="*/ 3413524 h 10019455"/>
                                <a:gd name="connsiteX8" fmla="*/ 2959709 w 7569200"/>
                                <a:gd name="connsiteY8" fmla="*/ 453815 h 10019455"/>
                                <a:gd name="connsiteX0" fmla="*/ 2889371 w 7569200"/>
                                <a:gd name="connsiteY0" fmla="*/ 635572 h 9738968"/>
                                <a:gd name="connsiteX1" fmla="*/ 7569200 w 7569200"/>
                                <a:gd name="connsiteY1" fmla="*/ 494876 h 9738968"/>
                                <a:gd name="connsiteX2" fmla="*/ 7569200 w 7569200"/>
                                <a:gd name="connsiteY2" fmla="*/ 3133037 h 9738968"/>
                                <a:gd name="connsiteX3" fmla="*/ 7569200 w 7569200"/>
                                <a:gd name="connsiteY3" fmla="*/ 9738968 h 9738968"/>
                                <a:gd name="connsiteX4" fmla="*/ 7569200 w 7569200"/>
                                <a:gd name="connsiteY4" fmla="*/ 9738968 h 9738968"/>
                                <a:gd name="connsiteX5" fmla="*/ 0 w 7569200"/>
                                <a:gd name="connsiteY5" fmla="*/ 9738968 h 9738968"/>
                                <a:gd name="connsiteX6" fmla="*/ 0 w 7569200"/>
                                <a:gd name="connsiteY6" fmla="*/ 9738968 h 9738968"/>
                                <a:gd name="connsiteX7" fmla="*/ 0 w 7569200"/>
                                <a:gd name="connsiteY7" fmla="*/ 3133037 h 9738968"/>
                                <a:gd name="connsiteX8" fmla="*/ 2889371 w 7569200"/>
                                <a:gd name="connsiteY8" fmla="*/ 635572 h 9738968"/>
                                <a:gd name="connsiteX0" fmla="*/ 3411886 w 7569200"/>
                                <a:gd name="connsiteY0" fmla="*/ 570295 h 9814376"/>
                                <a:gd name="connsiteX1" fmla="*/ 7569200 w 7569200"/>
                                <a:gd name="connsiteY1" fmla="*/ 570284 h 9814376"/>
                                <a:gd name="connsiteX2" fmla="*/ 7569200 w 7569200"/>
                                <a:gd name="connsiteY2" fmla="*/ 3208445 h 9814376"/>
                                <a:gd name="connsiteX3" fmla="*/ 7569200 w 7569200"/>
                                <a:gd name="connsiteY3" fmla="*/ 9814376 h 9814376"/>
                                <a:gd name="connsiteX4" fmla="*/ 7569200 w 7569200"/>
                                <a:gd name="connsiteY4" fmla="*/ 9814376 h 9814376"/>
                                <a:gd name="connsiteX5" fmla="*/ 0 w 7569200"/>
                                <a:gd name="connsiteY5" fmla="*/ 9814376 h 9814376"/>
                                <a:gd name="connsiteX6" fmla="*/ 0 w 7569200"/>
                                <a:gd name="connsiteY6" fmla="*/ 9814376 h 9814376"/>
                                <a:gd name="connsiteX7" fmla="*/ 0 w 7569200"/>
                                <a:gd name="connsiteY7" fmla="*/ 3208445 h 9814376"/>
                                <a:gd name="connsiteX8" fmla="*/ 3411886 w 7569200"/>
                                <a:gd name="connsiteY8" fmla="*/ 570295 h 9814376"/>
                                <a:gd name="connsiteX0" fmla="*/ 3411886 w 7569200"/>
                                <a:gd name="connsiteY0" fmla="*/ 682726 h 9926807"/>
                                <a:gd name="connsiteX1" fmla="*/ 7569200 w 7569200"/>
                                <a:gd name="connsiteY1" fmla="*/ 682715 h 9926807"/>
                                <a:gd name="connsiteX2" fmla="*/ 7569200 w 7569200"/>
                                <a:gd name="connsiteY2" fmla="*/ 3320876 h 9926807"/>
                                <a:gd name="connsiteX3" fmla="*/ 7569200 w 7569200"/>
                                <a:gd name="connsiteY3" fmla="*/ 9926807 h 9926807"/>
                                <a:gd name="connsiteX4" fmla="*/ 7569200 w 7569200"/>
                                <a:gd name="connsiteY4" fmla="*/ 9926807 h 9926807"/>
                                <a:gd name="connsiteX5" fmla="*/ 0 w 7569200"/>
                                <a:gd name="connsiteY5" fmla="*/ 9926807 h 9926807"/>
                                <a:gd name="connsiteX6" fmla="*/ 0 w 7569200"/>
                                <a:gd name="connsiteY6" fmla="*/ 9926807 h 9926807"/>
                                <a:gd name="connsiteX7" fmla="*/ 0 w 7569200"/>
                                <a:gd name="connsiteY7" fmla="*/ 3320876 h 9926807"/>
                                <a:gd name="connsiteX8" fmla="*/ 3411886 w 7569200"/>
                                <a:gd name="connsiteY8" fmla="*/ 682726 h 9926807"/>
                                <a:gd name="connsiteX0" fmla="*/ 3411886 w 7569200"/>
                                <a:gd name="connsiteY0" fmla="*/ 530032 h 9774113"/>
                                <a:gd name="connsiteX1" fmla="*/ 7569200 w 7569200"/>
                                <a:gd name="connsiteY1" fmla="*/ 1012366 h 9774113"/>
                                <a:gd name="connsiteX2" fmla="*/ 7569200 w 7569200"/>
                                <a:gd name="connsiteY2" fmla="*/ 3168182 h 9774113"/>
                                <a:gd name="connsiteX3" fmla="*/ 7569200 w 7569200"/>
                                <a:gd name="connsiteY3" fmla="*/ 9774113 h 9774113"/>
                                <a:gd name="connsiteX4" fmla="*/ 7569200 w 7569200"/>
                                <a:gd name="connsiteY4" fmla="*/ 9774113 h 9774113"/>
                                <a:gd name="connsiteX5" fmla="*/ 0 w 7569200"/>
                                <a:gd name="connsiteY5" fmla="*/ 9774113 h 9774113"/>
                                <a:gd name="connsiteX6" fmla="*/ 0 w 7569200"/>
                                <a:gd name="connsiteY6" fmla="*/ 9774113 h 9774113"/>
                                <a:gd name="connsiteX7" fmla="*/ 0 w 7569200"/>
                                <a:gd name="connsiteY7" fmla="*/ 3168182 h 9774113"/>
                                <a:gd name="connsiteX8" fmla="*/ 3411886 w 7569200"/>
                                <a:gd name="connsiteY8" fmla="*/ 530032 h 9774113"/>
                                <a:gd name="connsiteX0" fmla="*/ 3411886 w 7569200"/>
                                <a:gd name="connsiteY0" fmla="*/ 464307 h 9708388"/>
                                <a:gd name="connsiteX1" fmla="*/ 7569200 w 7569200"/>
                                <a:gd name="connsiteY1" fmla="*/ 946641 h 9708388"/>
                                <a:gd name="connsiteX2" fmla="*/ 7569200 w 7569200"/>
                                <a:gd name="connsiteY2" fmla="*/ 3102457 h 9708388"/>
                                <a:gd name="connsiteX3" fmla="*/ 7569200 w 7569200"/>
                                <a:gd name="connsiteY3" fmla="*/ 9708388 h 9708388"/>
                                <a:gd name="connsiteX4" fmla="*/ 7569200 w 7569200"/>
                                <a:gd name="connsiteY4" fmla="*/ 9708388 h 9708388"/>
                                <a:gd name="connsiteX5" fmla="*/ 0 w 7569200"/>
                                <a:gd name="connsiteY5" fmla="*/ 9708388 h 9708388"/>
                                <a:gd name="connsiteX6" fmla="*/ 0 w 7569200"/>
                                <a:gd name="connsiteY6" fmla="*/ 9708388 h 9708388"/>
                                <a:gd name="connsiteX7" fmla="*/ 0 w 7569200"/>
                                <a:gd name="connsiteY7" fmla="*/ 3102457 h 9708388"/>
                                <a:gd name="connsiteX8" fmla="*/ 3411886 w 7569200"/>
                                <a:gd name="connsiteY8" fmla="*/ 464307 h 9708388"/>
                                <a:gd name="connsiteX0" fmla="*/ 3411886 w 7569200"/>
                                <a:gd name="connsiteY0" fmla="*/ 474760 h 9718841"/>
                                <a:gd name="connsiteX1" fmla="*/ 7569200 w 7569200"/>
                                <a:gd name="connsiteY1" fmla="*/ 906849 h 9718841"/>
                                <a:gd name="connsiteX2" fmla="*/ 7569200 w 7569200"/>
                                <a:gd name="connsiteY2" fmla="*/ 3112910 h 9718841"/>
                                <a:gd name="connsiteX3" fmla="*/ 7569200 w 7569200"/>
                                <a:gd name="connsiteY3" fmla="*/ 9718841 h 9718841"/>
                                <a:gd name="connsiteX4" fmla="*/ 7569200 w 7569200"/>
                                <a:gd name="connsiteY4" fmla="*/ 9718841 h 9718841"/>
                                <a:gd name="connsiteX5" fmla="*/ 0 w 7569200"/>
                                <a:gd name="connsiteY5" fmla="*/ 9718841 h 9718841"/>
                                <a:gd name="connsiteX6" fmla="*/ 0 w 7569200"/>
                                <a:gd name="connsiteY6" fmla="*/ 9718841 h 9718841"/>
                                <a:gd name="connsiteX7" fmla="*/ 0 w 7569200"/>
                                <a:gd name="connsiteY7" fmla="*/ 3112910 h 9718841"/>
                                <a:gd name="connsiteX8" fmla="*/ 3411886 w 7569200"/>
                                <a:gd name="connsiteY8" fmla="*/ 474760 h 9718841"/>
                                <a:gd name="connsiteX0" fmla="*/ 3411886 w 7569200"/>
                                <a:gd name="connsiteY0" fmla="*/ 583845 h 9827926"/>
                                <a:gd name="connsiteX1" fmla="*/ 7569200 w 7569200"/>
                                <a:gd name="connsiteY1" fmla="*/ 593896 h 9827926"/>
                                <a:gd name="connsiteX2" fmla="*/ 7569200 w 7569200"/>
                                <a:gd name="connsiteY2" fmla="*/ 3221995 h 9827926"/>
                                <a:gd name="connsiteX3" fmla="*/ 7569200 w 7569200"/>
                                <a:gd name="connsiteY3" fmla="*/ 9827926 h 9827926"/>
                                <a:gd name="connsiteX4" fmla="*/ 7569200 w 7569200"/>
                                <a:gd name="connsiteY4" fmla="*/ 9827926 h 9827926"/>
                                <a:gd name="connsiteX5" fmla="*/ 0 w 7569200"/>
                                <a:gd name="connsiteY5" fmla="*/ 9827926 h 9827926"/>
                                <a:gd name="connsiteX6" fmla="*/ 0 w 7569200"/>
                                <a:gd name="connsiteY6" fmla="*/ 9827926 h 9827926"/>
                                <a:gd name="connsiteX7" fmla="*/ 0 w 7569200"/>
                                <a:gd name="connsiteY7" fmla="*/ 3221995 h 9827926"/>
                                <a:gd name="connsiteX8" fmla="*/ 3411886 w 7569200"/>
                                <a:gd name="connsiteY8" fmla="*/ 583845 h 9827926"/>
                                <a:gd name="connsiteX0" fmla="*/ 3411886 w 7569200"/>
                                <a:gd name="connsiteY0" fmla="*/ 792245 h 10036326"/>
                                <a:gd name="connsiteX1" fmla="*/ 7569200 w 7569200"/>
                                <a:gd name="connsiteY1" fmla="*/ 802296 h 10036326"/>
                                <a:gd name="connsiteX2" fmla="*/ 7569200 w 7569200"/>
                                <a:gd name="connsiteY2" fmla="*/ 3430395 h 10036326"/>
                                <a:gd name="connsiteX3" fmla="*/ 7569200 w 7569200"/>
                                <a:gd name="connsiteY3" fmla="*/ 10036326 h 10036326"/>
                                <a:gd name="connsiteX4" fmla="*/ 7569200 w 7569200"/>
                                <a:gd name="connsiteY4" fmla="*/ 10036326 h 10036326"/>
                                <a:gd name="connsiteX5" fmla="*/ 0 w 7569200"/>
                                <a:gd name="connsiteY5" fmla="*/ 10036326 h 10036326"/>
                                <a:gd name="connsiteX6" fmla="*/ 0 w 7569200"/>
                                <a:gd name="connsiteY6" fmla="*/ 10036326 h 10036326"/>
                                <a:gd name="connsiteX7" fmla="*/ 0 w 7569200"/>
                                <a:gd name="connsiteY7" fmla="*/ 3430395 h 10036326"/>
                                <a:gd name="connsiteX8" fmla="*/ 3411886 w 7569200"/>
                                <a:gd name="connsiteY8" fmla="*/ 792245 h 10036326"/>
                                <a:gd name="connsiteX0" fmla="*/ 2567825 w 7569200"/>
                                <a:gd name="connsiteY0" fmla="*/ 911186 h 9803570"/>
                                <a:gd name="connsiteX1" fmla="*/ 7569200 w 7569200"/>
                                <a:gd name="connsiteY1" fmla="*/ 569540 h 9803570"/>
                                <a:gd name="connsiteX2" fmla="*/ 7569200 w 7569200"/>
                                <a:gd name="connsiteY2" fmla="*/ 3197639 h 9803570"/>
                                <a:gd name="connsiteX3" fmla="*/ 7569200 w 7569200"/>
                                <a:gd name="connsiteY3" fmla="*/ 9803570 h 9803570"/>
                                <a:gd name="connsiteX4" fmla="*/ 7569200 w 7569200"/>
                                <a:gd name="connsiteY4" fmla="*/ 9803570 h 9803570"/>
                                <a:gd name="connsiteX5" fmla="*/ 0 w 7569200"/>
                                <a:gd name="connsiteY5" fmla="*/ 9803570 h 9803570"/>
                                <a:gd name="connsiteX6" fmla="*/ 0 w 7569200"/>
                                <a:gd name="connsiteY6" fmla="*/ 9803570 h 9803570"/>
                                <a:gd name="connsiteX7" fmla="*/ 0 w 7569200"/>
                                <a:gd name="connsiteY7" fmla="*/ 3197639 h 9803570"/>
                                <a:gd name="connsiteX8" fmla="*/ 2567825 w 7569200"/>
                                <a:gd name="connsiteY8" fmla="*/ 911186 h 9803570"/>
                                <a:gd name="connsiteX0" fmla="*/ 2587921 w 7569200"/>
                                <a:gd name="connsiteY0" fmla="*/ 934891 h 9766982"/>
                                <a:gd name="connsiteX1" fmla="*/ 7569200 w 7569200"/>
                                <a:gd name="connsiteY1" fmla="*/ 532952 h 9766982"/>
                                <a:gd name="connsiteX2" fmla="*/ 7569200 w 7569200"/>
                                <a:gd name="connsiteY2" fmla="*/ 3161051 h 9766982"/>
                                <a:gd name="connsiteX3" fmla="*/ 7569200 w 7569200"/>
                                <a:gd name="connsiteY3" fmla="*/ 9766982 h 9766982"/>
                                <a:gd name="connsiteX4" fmla="*/ 7569200 w 7569200"/>
                                <a:gd name="connsiteY4" fmla="*/ 9766982 h 9766982"/>
                                <a:gd name="connsiteX5" fmla="*/ 0 w 7569200"/>
                                <a:gd name="connsiteY5" fmla="*/ 9766982 h 9766982"/>
                                <a:gd name="connsiteX6" fmla="*/ 0 w 7569200"/>
                                <a:gd name="connsiteY6" fmla="*/ 9766982 h 9766982"/>
                                <a:gd name="connsiteX7" fmla="*/ 0 w 7569200"/>
                                <a:gd name="connsiteY7" fmla="*/ 3161051 h 9766982"/>
                                <a:gd name="connsiteX8" fmla="*/ 2587921 w 7569200"/>
                                <a:gd name="connsiteY8" fmla="*/ 934891 h 9766982"/>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69200" h="9779055">
                                  <a:moveTo>
                                    <a:pt x="2939613" y="926867"/>
                                  </a:moveTo>
                                  <a:cubicBezTo>
                                    <a:pt x="5038819" y="-714379"/>
                                    <a:pt x="6826523" y="267027"/>
                                    <a:pt x="7569200" y="545025"/>
                                  </a:cubicBezTo>
                                  <a:lnTo>
                                    <a:pt x="7569200" y="3173124"/>
                                  </a:lnTo>
                                  <a:lnTo>
                                    <a:pt x="7569200" y="9779055"/>
                                  </a:lnTo>
                                  <a:lnTo>
                                    <a:pt x="7569200" y="9779055"/>
                                  </a:lnTo>
                                  <a:lnTo>
                                    <a:pt x="0" y="9779055"/>
                                  </a:lnTo>
                                  <a:lnTo>
                                    <a:pt x="0" y="9779055"/>
                                  </a:lnTo>
                                  <a:lnTo>
                                    <a:pt x="0" y="3173124"/>
                                  </a:lnTo>
                                  <a:lnTo>
                                    <a:pt x="2939613" y="926867"/>
                                  </a:lnTo>
                                  <a:close/>
                                </a:path>
                              </a:pathLst>
                            </a:custGeom>
                            <a:blipFill>
                              <a:blip r:embed="rId12"/>
                              <a:stretch>
                                <a:fillRect t="-18199" b="1819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70400" id="Freeform: Shape 1" o:spid="_x0000_s1026" style="position:absolute;margin-left:1.35pt;margin-top:42.6pt;width:596.1pt;height:76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9200,97790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PsJ&#10;mzYO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ommKt4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tJxVbiqp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ROKrMVdiq0thpVbA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RNMVWk1xVrFWiaY0q0muSVrFURk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q0tiq3FXdMVWE4aVrCrRNM&#10;VWk1xVF5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0TTFVpNc&#10;VaxVaThpVuFXYqtJxVbiriaYVRmQ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aTiq3FWiaYqtJrklaxVommKrK1xV2KrS2FK3FCYZB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WicVWYq7FVpbDSrcKuJpiqwmuKtYq0TTClaTXFDWBXZKmVJhlbF&#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ommKrSa4q1irRNMaVaTXJK1iq0nFVu&#10;KuwqtJxStwIdhS0TTJJ5LSa4otM8q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Vpb&#10;FVuKu6YqsJw0rWFWiaYqtJrirWKtE4UrOuKHYq7DTKlpbCtrcWLsVTTKl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RNMVWk1xVrFVpOGlW4Vdiq0nFVuKuJphVYTXFWsCuw0mmiaZJK0muKGs&#10;UOxVaTiqbZU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q0nFVuKtE0xVaTXJK1irRNMVWVrir&#10;sVWlsKVuKHYpdhpK0nCi1uKHYq0TTFVpNcKtYqnGU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0Ti&#10;qzFXYqtLYaVbhVxNMVWE1xVrFWiaYUrSa4oawK7JUyponCtrMUOxQ7FVpOFVuKuwKtJxSnWVI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piq0muKtYq0TTGlWk1yStYqtJxVbirsKrScUrcCHYUtE0ySeS0m&#10;uKLaxQ7FWiaYqtJrhVrArRNMUrSa4aVrJITzMd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tLYqtxV3TFVhOG&#10;lawq0TTFVpNcVaxVonClZ1xQ7FXYaZUtLYVtbixdirq0xVYTXDStYq7Aq0thStwq0TTCq0muKaT/&#10;ADHY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ommKrSa4q1iq0nDSrcKuxVaTiq3FXE0wqsJrirWBXYaTTRNMklaTX&#10;FDWKHYqtJxVbhV2BWiaYpWk1yVK1hQtLYsqW4q7pihkGY6H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VpOKrcVaJpiq0m&#10;uSVrFWiaYqsrXFXYqtLYUrcUOxS7DSVpOFFrcUOxVommKrSa4VaxV3TAlYThpWsKtE0wrS0muKWs&#10;VtaTiiluLJkmY7B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onFVmKuxVaWw0q3CriaYqsJrirWKtE0wpWk1xQ1gV2SplTROFb&#10;WYodih2KrScKrcVdgVaTilbkqV2FC0nFlS3FbaJpijmtJrilrFLROKslzHYO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tE0xVaTXFWs&#10;VaJpjSrSa5JWsVWk4qtxV2FVpOKVuBDsKWiaZJPJaTXFFtYodirRNMVWk1wq1gVommKVpNcNK1kk&#10;NE4ppZiydixtaWxTS3FLRNMVWk1xVrFWUZjsH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tLYqtxV3TFVhOGlawq0TTFVpNcVaxVonClZ1&#10;xQ7FXYaZUtLYVtbixdirq0xVYTXDStYq7Aq0thStwq0TTCq0muKaaxW2iaYoWk1xZNYqtLYqtxV2&#10;Kuw0rKMxmD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aJpiq0muKtYqtJw0q3CrsVWk4qtxVxNMKrCa4q1gV2Gk00TTJJWk1xQ1ih2KrScVW4Vd&#10;gVommKVpNclStYULS2LKluKu6YoWE4pprFLRNMVWk1xVrFXYaV2FXYqyjMVg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tJxVbirRNMVWk1yStYq0&#10;TTFVla4q7FVpbClbih2KXYaStJwotbih2KtE0xVaTXCrWKu6YErCcNK1hVommFaWk1xS1itrScUU&#10;txZOxVaTiq3FXYq7JK7FVpOKrcVZZmKw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xVZirsVWlsNKtwq4mmKrCa4q1irRNMKVpNcUNYFdkqZUtJwra3F&#10;i7FXYqtJwqtxV2BVpOKVuSpXYULScWVLcVtommKOa0muKWsUtE4qsxV2Kuw0rsKtE0xVaTXFWsVa&#10;JpirLcxWD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RNMVW&#10;k1xVrFWiaY0q0muSVrFVpOKrcVdhVaTilbgQ7ClommSTyWk1xRbWKHYq0TTFVpNcKtYFaJpilaTX&#10;DStZJDROKaWYsnYsbWlsU0txS0TTFVpNcVaxV2NK7JK7FVpbFVuKurTFVhNcVaxVmGYrB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rS2KrcVd0xVYThpWsKtE0xVa&#10;TXFWsVaJwpWdcUOxV2GmVLS2FbW4sXYq6tMVWE1w0rWKuwKtLYUrcKtE0wqtJrimmsVtommKFpNc&#10;WTWKrS2KrcVdirsNK7CrRNMVWk1xVrFVpOKrcVdhVaThpWZZhsH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0TTFVpNcVaxVaThpVuFXYqtJxVbiriaYVWE1xVrArsNJpom&#10;mSStJrihrFDsVWk4qtwq7ArRNMUrSa5KlawoWlsWVLcVdWmKFhNcU01ilommKrSa4q1irsNK7Crs&#10;VWE4q1irRNMVWk1xVrFWicNKsySuxVmmYTB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aTiq3FWiaYqtJrklaxVonFVnXFXYqtLYUrcUOxS7DSVhOFFtYodirRNMVWk1wq1ir&#10;umBKwnDStYVaJphWlpNcUtYra0nFaW4pdiq0nFVuKuxV2SV2KrScVW4q7FVpOKrcVaJphVaTXDSt&#10;YVaJpiqytcVZxmEw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" o:allowoverlap="f" path="m2939613,926867c5038819,-714379,6826523,267027,7569200,545025r,2628099l7569200,9779055r,l,9779055r,l,3173124,2939613,926867xe" stroked="f" strokeweight="1pt">
                    <v:fill r:id="rId13" o:title="" recolor="t" rotate="t" type="frame"/>
                    <v:stroke joinstyle="miter"/>
                    <v:path arrowok="t" o:connecttype="custom" o:connectlocs="2940106,926681;7570470,544916;7570470,3172488;7570470,9777095;7570470,9777095;0,9777095;0,9777095;0,3172488;2940106,926681" o:connectangles="0,0,0,0,0,0,0,0,0"/>
                    <w10:wrap anchorx="page"/>
                    <w10:anchorlock/>
                  </v:shape>
                </w:pict>
              </mc:Fallback>
            </mc:AlternateContent>
          </w:r>
          <w:r w:rsidR="00EC6066" w:rsidRPr="0026459D">
            <w:rPr>
              <w:rFonts w:cs="Arial"/>
              <w:b/>
              <w:bCs/>
            </w:rPr>
            <w:t>on</w:t>
          </w:r>
          <w:r w:rsidR="003C5D75">
            <w:rPr>
              <w:rFonts w:cs="Arial"/>
              <w:b/>
              <w:bCs/>
            </w:rPr>
            <w:t xml:space="preserve"> the</w:t>
          </w:r>
          <w:r w:rsidR="00EC6066">
            <w:rPr>
              <w:rFonts w:cs="Arial"/>
            </w:rPr>
            <w:t xml:space="preserve"> </w:t>
          </w:r>
          <w:r w:rsidR="006902D1">
            <w:rPr>
              <w:rFonts w:cs="Arial"/>
              <w:b/>
              <w:bCs/>
            </w:rPr>
            <w:t>call for evidence</w:t>
          </w:r>
          <w:r w:rsidR="00780FEC">
            <w:rPr>
              <w:rFonts w:cs="Arial"/>
              <w:b/>
              <w:bCs/>
            </w:rPr>
            <w:t xml:space="preserve"> on </w:t>
          </w:r>
          <w:r w:rsidR="00EC6066">
            <w:rPr>
              <w:rFonts w:cs="Arial"/>
              <w:b/>
              <w:bCs/>
            </w:rPr>
            <w:t xml:space="preserve">shortening </w:t>
          </w:r>
          <w:r w:rsidR="0024683D">
            <w:rPr>
              <w:rFonts w:cs="Arial"/>
              <w:b/>
              <w:bCs/>
            </w:rPr>
            <w:t xml:space="preserve">of </w:t>
          </w:r>
          <w:r w:rsidR="00EC6066">
            <w:rPr>
              <w:rFonts w:cs="Arial"/>
              <w:b/>
              <w:bCs/>
            </w:rPr>
            <w:t>the settlement cycle</w:t>
          </w:r>
        </w:p>
        <w:p w14:paraId="5C42D2D2" w14:textId="77777777" w:rsidR="00D77369" w:rsidRDefault="00D77369" w:rsidP="00D77369"/>
        <w:p w14:paraId="0A9EB4DC" w14:textId="77777777" w:rsidR="00D77369" w:rsidRPr="00D77369" w:rsidRDefault="00D77369" w:rsidP="00D77369">
          <w:pPr>
            <w:sectPr w:rsidR="00D77369" w:rsidRPr="00D77369" w:rsidSect="0043139E">
              <w:headerReference w:type="first" r:id="rId14"/>
              <w:pgSz w:w="11906" w:h="16838"/>
              <w:pgMar w:top="1417" w:right="1417" w:bottom="1417" w:left="1417" w:header="862" w:footer="708" w:gutter="0"/>
              <w:pgNumType w:start="0"/>
              <w:cols w:space="708"/>
              <w:titlePg/>
              <w:docGrid w:linePitch="360"/>
            </w:sectPr>
          </w:pPr>
        </w:p>
        <w:p w14:paraId="11777801" w14:textId="77777777" w:rsidR="002533FC" w:rsidRPr="005B6B12" w:rsidRDefault="002533FC" w:rsidP="002533FC">
          <w:pPr>
            <w:pStyle w:val="Sottotitolo"/>
          </w:pPr>
          <w:r w:rsidRPr="005B6B12">
            <w:lastRenderedPageBreak/>
            <w:t xml:space="preserve">Responding to this paper </w:t>
          </w:r>
        </w:p>
        <w:p w14:paraId="2F436F98" w14:textId="77777777" w:rsidR="002533FC" w:rsidRPr="005B6B12" w:rsidRDefault="002533FC" w:rsidP="002533FC">
          <w:r w:rsidRPr="005B6B12">
            <w:t xml:space="preserve">ESMA invites comments on all matters in this paper and in particular </w:t>
          </w:r>
          <w:r>
            <w:t>on the specific questions summa</w:t>
          </w:r>
          <w:r w:rsidRPr="005B6B12">
            <w:t>rised in Annex 1. Comments are most helpful if they:</w:t>
          </w:r>
        </w:p>
        <w:p w14:paraId="491CDAA8" w14:textId="77777777" w:rsidR="002533FC" w:rsidRPr="00E13D25" w:rsidRDefault="002533FC" w:rsidP="00EC6066">
          <w:pPr>
            <w:pStyle w:val="Paragrafoelenco"/>
          </w:pPr>
          <w:r w:rsidRPr="00E13D25">
            <w:t>respond to the question stated;</w:t>
          </w:r>
        </w:p>
        <w:p w14:paraId="72FD40F6" w14:textId="77777777" w:rsidR="002533FC" w:rsidRPr="00E13D25" w:rsidRDefault="002533FC" w:rsidP="00EC6066">
          <w:pPr>
            <w:pStyle w:val="Paragrafoelenco"/>
          </w:pPr>
          <w:r w:rsidRPr="00E13D25">
            <w:t>indicate the specific question to which the comment relates;</w:t>
          </w:r>
        </w:p>
        <w:p w14:paraId="78B206B7" w14:textId="77777777" w:rsidR="002533FC" w:rsidRPr="00E13D25" w:rsidRDefault="002533FC" w:rsidP="00EC6066">
          <w:pPr>
            <w:pStyle w:val="Paragrafoelenco"/>
          </w:pPr>
          <w:r w:rsidRPr="00E13D25">
            <w:t>contain a clear rationale; and</w:t>
          </w:r>
        </w:p>
        <w:p w14:paraId="60B8834E" w14:textId="77777777" w:rsidR="002533FC" w:rsidRPr="00E13D25" w:rsidRDefault="002533FC" w:rsidP="00EC6066">
          <w:pPr>
            <w:pStyle w:val="Paragrafoelenco"/>
          </w:pPr>
          <w:r w:rsidRPr="00E13D25">
            <w:t>describe any alternatives ESMA should consider.</w:t>
          </w:r>
        </w:p>
        <w:p w14:paraId="219225AC" w14:textId="51BCD894" w:rsidR="002533FC" w:rsidRPr="005B6B12" w:rsidRDefault="002533FC" w:rsidP="002533FC">
          <w:r w:rsidRPr="005B6B12">
            <w:t xml:space="preserve">ESMA will consider all comments received by </w:t>
          </w:r>
          <w:r w:rsidR="0029727F">
            <w:rPr>
              <w:b/>
            </w:rPr>
            <w:t>15 December 2023</w:t>
          </w:r>
          <w:r w:rsidRPr="005B6B12">
            <w:rPr>
              <w:b/>
            </w:rPr>
            <w:t xml:space="preserve">. </w:t>
          </w:r>
        </w:p>
        <w:p w14:paraId="7EBC0542" w14:textId="0CD5B31D" w:rsidR="002533FC" w:rsidRDefault="002533FC" w:rsidP="002533FC">
          <w:r w:rsidRPr="005B6B12">
            <w:t xml:space="preserve">All contributions should be submitted online at </w:t>
          </w:r>
          <w:hyperlink r:id="rId15" w:history="1">
            <w:r w:rsidRPr="005B6B12">
              <w:rPr>
                <w:rStyle w:val="Collegamentoipertestuale"/>
              </w:rPr>
              <w:t>www.esma.europa.eu</w:t>
            </w:r>
          </w:hyperlink>
          <w:r w:rsidRPr="005B6B12">
            <w:t xml:space="preserve"> under the heading ‘Your input - Consultations’. </w:t>
          </w:r>
        </w:p>
        <w:p w14:paraId="5E44C845" w14:textId="77777777" w:rsidR="00EC6066" w:rsidRPr="0026459D" w:rsidRDefault="00EC6066" w:rsidP="00EC6066">
          <w:pPr>
            <w:pStyle w:val="Sottotitolo"/>
            <w:rPr>
              <w:b/>
              <w:sz w:val="24"/>
              <w:szCs w:val="22"/>
            </w:rPr>
          </w:pPr>
          <w:r w:rsidRPr="00013CA1">
            <w:t>Instructions</w:t>
          </w:r>
        </w:p>
        <w:p w14:paraId="0FC3DC5B" w14:textId="77777777" w:rsidR="00EC6066" w:rsidRPr="0026459D" w:rsidRDefault="00EC6066" w:rsidP="00EC6066">
          <w:pPr>
            <w:rPr>
              <w:bCs/>
            </w:rPr>
          </w:pPr>
          <w:r w:rsidRPr="0026459D">
            <w:rPr>
              <w:bCs/>
            </w:rPr>
            <w:t>In order to facilitate analysis of responses to the Consultation Paper, respondents are requested to follow the below steps when preparing and submitting their response:</w:t>
          </w:r>
        </w:p>
        <w:p w14:paraId="67E94801" w14:textId="77777777" w:rsidR="00EC6066" w:rsidRPr="0026459D" w:rsidRDefault="00EC6066" w:rsidP="00EC6066">
          <w:pPr>
            <w:ind w:left="142"/>
            <w:rPr>
              <w:bCs/>
            </w:rPr>
          </w:pPr>
          <w:r w:rsidRPr="0026459D">
            <w:rPr>
              <w:bCs/>
            </w:rPr>
            <w:t>•</w:t>
          </w:r>
          <w:r w:rsidRPr="0026459D">
            <w:rPr>
              <w:bCs/>
            </w:rPr>
            <w:tab/>
            <w:t xml:space="preserve">Insert your responses to the questions in the Consultation Paper in this reply form. </w:t>
          </w:r>
        </w:p>
        <w:p w14:paraId="7B7C29FF" w14:textId="432E9E72" w:rsidR="00EC6066" w:rsidRPr="00C5469A" w:rsidRDefault="00EC6066" w:rsidP="00EC6066">
          <w:pPr>
            <w:ind w:left="142"/>
            <w:rPr>
              <w:bCs/>
            </w:rPr>
          </w:pPr>
          <w:r w:rsidRPr="0026459D">
            <w:rPr>
              <w:bCs/>
            </w:rPr>
            <w:t>•</w:t>
          </w:r>
          <w:r w:rsidRPr="0026459D">
            <w:rPr>
              <w:bCs/>
            </w:rPr>
            <w:tab/>
            <w:t>Please do not remove tags of the type &lt;</w:t>
          </w:r>
          <w:r w:rsidRPr="00557BD2">
            <w:t xml:space="preserve"> </w:t>
          </w:r>
          <w:r w:rsidRPr="00557BD2">
            <w:rPr>
              <w:bCs/>
            </w:rPr>
            <w:t>ESMA_</w:t>
          </w:r>
          <w:r w:rsidRPr="00C5469A">
            <w:rPr>
              <w:bCs/>
            </w:rPr>
            <w:t>QUESTION_</w:t>
          </w:r>
          <w:r w:rsidR="00635BCA" w:rsidRPr="00C5469A">
            <w:rPr>
              <w:bCs/>
            </w:rPr>
            <w:t>SETT</w:t>
          </w:r>
          <w:r w:rsidRPr="00C5469A">
            <w:rPr>
              <w:bCs/>
            </w:rPr>
            <w:t xml:space="preserve">_0&gt;. Your response </w:t>
          </w:r>
          <w:r w:rsidRPr="00C5469A">
            <w:rPr>
              <w:bCs/>
            </w:rPr>
            <w:tab/>
            <w:t>to each question has to be framed by the two tags corresponding to the question.</w:t>
          </w:r>
        </w:p>
        <w:p w14:paraId="65642175" w14:textId="77777777" w:rsidR="00EC6066" w:rsidRPr="00C5469A" w:rsidRDefault="00EC6066" w:rsidP="00EC6066">
          <w:pPr>
            <w:ind w:left="142"/>
            <w:rPr>
              <w:bCs/>
            </w:rPr>
          </w:pPr>
          <w:r w:rsidRPr="00C5469A">
            <w:rPr>
              <w:bCs/>
            </w:rPr>
            <w:t>•</w:t>
          </w:r>
          <w:r w:rsidRPr="00C5469A">
            <w:rPr>
              <w:bCs/>
            </w:rPr>
            <w:tab/>
            <w:t xml:space="preserve">If you do not wish to respond to a given question, please do not delete it but simply </w:t>
          </w:r>
          <w:r w:rsidRPr="00C5469A">
            <w:rPr>
              <w:bCs/>
            </w:rPr>
            <w:tab/>
            <w:t>leave the text “TYPE YOUR TEXT HERE” between the tags.</w:t>
          </w:r>
        </w:p>
        <w:p w14:paraId="4D646F3A" w14:textId="4D858A35" w:rsidR="00EC6066" w:rsidRPr="00C5469A" w:rsidRDefault="00EC6066" w:rsidP="00EC6066">
          <w:pPr>
            <w:ind w:left="142"/>
            <w:rPr>
              <w:bCs/>
            </w:rPr>
          </w:pPr>
          <w:r w:rsidRPr="00C5469A">
            <w:rPr>
              <w:bCs/>
            </w:rPr>
            <w:t>•</w:t>
          </w:r>
          <w:r w:rsidRPr="00C5469A">
            <w:rPr>
              <w:bCs/>
            </w:rPr>
            <w:tab/>
            <w:t xml:space="preserve">When you have drafted your responses, save the reply form according to the following </w:t>
          </w:r>
          <w:r w:rsidRPr="00C5469A">
            <w:rPr>
              <w:bCs/>
            </w:rPr>
            <w:tab/>
            <w:t>convention: ESMA_CP1_</w:t>
          </w:r>
          <w:r w:rsidR="00635BCA" w:rsidRPr="00C5469A">
            <w:rPr>
              <w:bCs/>
            </w:rPr>
            <w:t>SETT</w:t>
          </w:r>
          <w:r w:rsidRPr="00C5469A">
            <w:rPr>
              <w:bCs/>
            </w:rPr>
            <w:t xml:space="preserve"> _nameofrespondent. </w:t>
          </w:r>
        </w:p>
        <w:p w14:paraId="210BE93A" w14:textId="28B7FD79" w:rsidR="00EC6066" w:rsidRPr="0026459D" w:rsidRDefault="00EC6066" w:rsidP="00EC6066">
          <w:pPr>
            <w:ind w:left="142"/>
            <w:rPr>
              <w:bCs/>
            </w:rPr>
          </w:pPr>
          <w:r w:rsidRPr="00C5469A">
            <w:rPr>
              <w:bCs/>
            </w:rPr>
            <w:tab/>
            <w:t xml:space="preserve">For example, for a respondent named ABCD, the reply form would be saved with the </w:t>
          </w:r>
          <w:r w:rsidRPr="00C5469A">
            <w:rPr>
              <w:bCs/>
            </w:rPr>
            <w:tab/>
            <w:t>following name: ESMA_CP1_</w:t>
          </w:r>
          <w:r w:rsidR="00635BCA" w:rsidRPr="00C5469A">
            <w:rPr>
              <w:bCs/>
            </w:rPr>
            <w:t>SETT</w:t>
          </w:r>
          <w:r w:rsidRPr="00C5469A">
            <w:rPr>
              <w:bCs/>
            </w:rPr>
            <w:t xml:space="preserve"> _ABCD.</w:t>
          </w:r>
        </w:p>
        <w:p w14:paraId="60FF11C9" w14:textId="77777777" w:rsidR="00EC6066" w:rsidRPr="0026459D" w:rsidRDefault="00EC6066" w:rsidP="00EC6066">
          <w:pPr>
            <w:ind w:left="142"/>
            <w:rPr>
              <w:bCs/>
            </w:rPr>
          </w:pPr>
          <w:r w:rsidRPr="0026459D">
            <w:rPr>
              <w:bCs/>
            </w:rPr>
            <w:t>•</w:t>
          </w:r>
          <w:r w:rsidRPr="0026459D">
            <w:rPr>
              <w:bCs/>
            </w:rPr>
            <w:tab/>
            <w:t>Upload the Word reply form containing your responses to ESMA’s website (</w:t>
          </w:r>
          <w:r w:rsidRPr="0026459D">
            <w:rPr>
              <w:b/>
            </w:rPr>
            <w:t xml:space="preserve">pdf </w:t>
          </w:r>
          <w:r w:rsidRPr="0026459D">
            <w:rPr>
              <w:b/>
            </w:rPr>
            <w:tab/>
            <w:t>documents will not be considered except for annexes</w:t>
          </w:r>
          <w:r w:rsidRPr="0026459D">
            <w:rPr>
              <w:bCs/>
            </w:rPr>
            <w:t xml:space="preserve">). All contributions should be </w:t>
          </w:r>
          <w:r>
            <w:rPr>
              <w:bCs/>
            </w:rPr>
            <w:tab/>
          </w:r>
          <w:r w:rsidRPr="0026459D">
            <w:rPr>
              <w:bCs/>
            </w:rPr>
            <w:t xml:space="preserve">submitted online at </w:t>
          </w:r>
          <w:r w:rsidRPr="00557BD2">
            <w:rPr>
              <w:bCs/>
              <w:i/>
              <w:iCs/>
            </w:rPr>
            <w:t>www.esma.europa.eu</w:t>
          </w:r>
          <w:r w:rsidRPr="0026459D">
            <w:rPr>
              <w:bCs/>
            </w:rPr>
            <w:t xml:space="preserve"> under the heading </w:t>
          </w:r>
          <w:r w:rsidRPr="00557BD2">
            <w:rPr>
              <w:bCs/>
              <w:i/>
              <w:iCs/>
            </w:rPr>
            <w:t xml:space="preserve">‘Your input - </w:t>
          </w:r>
          <w:r w:rsidRPr="00557BD2">
            <w:rPr>
              <w:bCs/>
              <w:i/>
              <w:iCs/>
            </w:rPr>
            <w:tab/>
            <w:t>Consultations’.</w:t>
          </w:r>
        </w:p>
        <w:p w14:paraId="6B61FE84" w14:textId="77777777" w:rsidR="00EC6066" w:rsidRPr="005B6B12" w:rsidRDefault="00EC6066" w:rsidP="00EC6066">
          <w:pPr>
            <w:rPr>
              <w:b/>
            </w:rPr>
          </w:pPr>
          <w:r w:rsidRPr="005B6B12">
            <w:rPr>
              <w:b/>
            </w:rPr>
            <w:t>Publication of responses</w:t>
          </w:r>
        </w:p>
        <w:p w14:paraId="296E0671" w14:textId="77777777" w:rsidR="00EC6066" w:rsidRPr="005B6B12" w:rsidRDefault="00EC6066" w:rsidP="00EC6066">
          <w:r w:rsidRPr="005B6B12">
            <w:t xml:space="preserve">All contributions received will be published following the close of the consultation, unless you request otherwise.  Please clearly and prominently indicate in your submission any part you </w:t>
          </w:r>
          <w:r w:rsidRPr="005B6B12">
            <w:lastRenderedPageBreak/>
            <w:t>do not wish to be publicly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7CF9D385" w14:textId="77777777" w:rsidR="00EC6066" w:rsidRPr="005B6B12" w:rsidRDefault="00EC6066" w:rsidP="00EC6066">
          <w:pPr>
            <w:rPr>
              <w:b/>
            </w:rPr>
          </w:pPr>
          <w:r w:rsidRPr="005B6B12">
            <w:rPr>
              <w:b/>
            </w:rPr>
            <w:t>Data protection</w:t>
          </w:r>
        </w:p>
        <w:p w14:paraId="1734978B" w14:textId="77777777" w:rsidR="00EC6066" w:rsidRPr="005B6B12" w:rsidRDefault="00EC6066" w:rsidP="00EC6066">
          <w:r w:rsidRPr="005B6B12">
            <w:t xml:space="preserve">Information on data protection can be found at </w:t>
          </w:r>
          <w:hyperlink r:id="rId16" w:history="1">
            <w:r w:rsidRPr="005B6B12">
              <w:rPr>
                <w:rStyle w:val="Collegamentoipertestuale"/>
              </w:rPr>
              <w:t>www.esma.europa.eu</w:t>
            </w:r>
          </w:hyperlink>
          <w:r w:rsidRPr="005B6B12">
            <w:t xml:space="preserve"> under the heading </w:t>
          </w:r>
          <w:r w:rsidRPr="00025A7F">
            <w:rPr>
              <w:rStyle w:val="Collegamentoipertestuale"/>
            </w:rPr>
            <w:t>‘</w:t>
          </w:r>
          <w:hyperlink r:id="rId17" w:history="1">
            <w:r>
              <w:rPr>
                <w:rStyle w:val="Collegamentoipertestuale"/>
              </w:rPr>
              <w:t>Data protection</w:t>
            </w:r>
          </w:hyperlink>
          <w:r>
            <w:rPr>
              <w:rStyle w:val="Collegamentoipertestuale"/>
            </w:rPr>
            <w:t>’</w:t>
          </w:r>
          <w:r w:rsidRPr="005B6B12">
            <w:t>.</w:t>
          </w:r>
        </w:p>
        <w:p w14:paraId="57A67DA5" w14:textId="77777777" w:rsidR="00EC6066" w:rsidRPr="005B6B12" w:rsidRDefault="00EC6066" w:rsidP="00EC6066">
          <w:pPr>
            <w:rPr>
              <w:b/>
            </w:rPr>
          </w:pPr>
          <w:r w:rsidRPr="005B6B12">
            <w:rPr>
              <w:b/>
            </w:rPr>
            <w:t>Who should read this paper?</w:t>
          </w:r>
        </w:p>
        <w:p w14:paraId="39BF27F5" w14:textId="360616AA" w:rsidR="00EC6066" w:rsidRDefault="00EC6066" w:rsidP="00EC6066">
          <w:r>
            <w:t xml:space="preserve">All interested stakeholders are invited to respond to this consultation paper. In particular, ESMA invites market infrastructures (CSDs, CCPs, trading venues), their members and participants, other investment firms, issuers, fund managers, retail and wholesale investors, and their representatives to provide their views to the questions asked in this paper. </w:t>
          </w:r>
        </w:p>
      </w:sdtContent>
    </w:sdt>
    <w:p w14:paraId="4690CAFC" w14:textId="77777777" w:rsidR="00EC6066" w:rsidRDefault="00EC6066" w:rsidP="00EC6066"/>
    <w:p w14:paraId="50C0B880" w14:textId="17A2407D" w:rsidR="00EC6066" w:rsidRPr="00EC6066" w:rsidRDefault="00EC6066" w:rsidP="00EC6066">
      <w:pPr>
        <w:rPr>
          <w:rFonts w:asciiTheme="majorHAnsi" w:eastAsiaTheme="majorEastAsia" w:hAnsiTheme="majorHAnsi" w:cstheme="majorBidi"/>
          <w:sz w:val="28"/>
          <w:szCs w:val="24"/>
          <w:highlight w:val="yellow"/>
        </w:rPr>
        <w:sectPr w:rsidR="00EC6066" w:rsidRPr="00EC6066" w:rsidSect="0043139E">
          <w:headerReference w:type="default" r:id="rId18"/>
          <w:footerReference w:type="default" r:id="rId19"/>
          <w:headerReference w:type="first" r:id="rId20"/>
          <w:pgSz w:w="11906" w:h="16838"/>
          <w:pgMar w:top="1417" w:right="1417" w:bottom="1417" w:left="1417" w:header="862" w:footer="708" w:gutter="0"/>
          <w:pgNumType w:start="2"/>
          <w:cols w:space="708"/>
          <w:docGrid w:linePitch="360"/>
        </w:sectPr>
      </w:pPr>
    </w:p>
    <w:p w14:paraId="60EF00E1" w14:textId="77777777" w:rsidR="00635BCA" w:rsidRPr="00557BD2" w:rsidRDefault="00635BCA" w:rsidP="00635BCA">
      <w:pPr>
        <w:pStyle w:val="Titolo1"/>
        <w:rPr>
          <w:lang w:val="fr-BE"/>
        </w:rPr>
      </w:pPr>
      <w:r>
        <w:rPr>
          <w:lang w:val="fr-BE"/>
        </w:rPr>
        <w:lastRenderedPageBreak/>
        <w:t xml:space="preserve">General information about </w:t>
      </w:r>
      <w:r w:rsidRPr="00501EF4">
        <w:t>respondent</w:t>
      </w:r>
    </w:p>
    <w:tbl>
      <w:tblPr>
        <w:tblStyle w:val="Grigliatabella"/>
        <w:tblW w:w="0" w:type="auto"/>
        <w:tblLook w:val="04A0" w:firstRow="1" w:lastRow="0" w:firstColumn="1" w:lastColumn="0" w:noHBand="0" w:noVBand="1"/>
      </w:tblPr>
      <w:tblGrid>
        <w:gridCol w:w="4531"/>
        <w:gridCol w:w="4531"/>
      </w:tblGrid>
      <w:tr w:rsidR="00635BCA" w:rsidRPr="00557BD2" w14:paraId="183FA56F" w14:textId="77777777" w:rsidTr="00D21C35">
        <w:tc>
          <w:tcPr>
            <w:tcW w:w="4531" w:type="dxa"/>
          </w:tcPr>
          <w:p w14:paraId="4C01A6C9" w14:textId="77777777" w:rsidR="00635BCA" w:rsidRPr="00557BD2" w:rsidRDefault="00635BCA" w:rsidP="00D21C35">
            <w:pPr>
              <w:rPr>
                <w:color w:val="00379F" w:themeColor="text1"/>
                <w:sz w:val="24"/>
                <w:szCs w:val="22"/>
              </w:rPr>
            </w:pPr>
            <w:r w:rsidRPr="00557BD2">
              <w:rPr>
                <w:color w:val="00379F" w:themeColor="text1"/>
                <w:sz w:val="24"/>
                <w:szCs w:val="22"/>
              </w:rPr>
              <w:t>Name of the company / organisation</w:t>
            </w:r>
          </w:p>
        </w:tc>
        <w:sdt>
          <w:sdtPr>
            <w:id w:val="-803776227"/>
            <w:placeholder>
              <w:docPart w:val="2B0FF21738C1433DBAFB661809AC1F87"/>
            </w:placeholder>
          </w:sdtPr>
          <w:sdtContent>
            <w:permStart w:id="43071050" w:edGrp="everyone" w:displacedByCustomXml="prev"/>
            <w:tc>
              <w:tcPr>
                <w:tcW w:w="4531" w:type="dxa"/>
              </w:tcPr>
              <w:p w14:paraId="76683ED7" w14:textId="28955C46" w:rsidR="00635BCA" w:rsidRPr="00557BD2" w:rsidRDefault="00713602" w:rsidP="00D21C35">
                <w:r>
                  <w:t>Italian Banking Association</w:t>
                </w:r>
              </w:p>
            </w:tc>
            <w:permEnd w:id="43071050" w:displacedByCustomXml="next"/>
          </w:sdtContent>
        </w:sdt>
      </w:tr>
      <w:tr w:rsidR="00635BCA" w:rsidRPr="00557BD2" w14:paraId="528511B7" w14:textId="77777777" w:rsidTr="00D21C35">
        <w:tc>
          <w:tcPr>
            <w:tcW w:w="4531" w:type="dxa"/>
          </w:tcPr>
          <w:p w14:paraId="5CBA5961" w14:textId="77777777" w:rsidR="00635BCA" w:rsidRPr="00557BD2" w:rsidRDefault="00635BCA" w:rsidP="00D21C35">
            <w:pPr>
              <w:rPr>
                <w:color w:val="00379F" w:themeColor="text1"/>
                <w:sz w:val="24"/>
                <w:szCs w:val="22"/>
              </w:rPr>
            </w:pPr>
            <w:r w:rsidRPr="00557BD2">
              <w:rPr>
                <w:color w:val="00379F" w:themeColor="text1"/>
                <w:sz w:val="24"/>
                <w:szCs w:val="22"/>
              </w:rPr>
              <w:t>Activity</w:t>
            </w:r>
          </w:p>
        </w:tc>
        <w:sdt>
          <w:sdtPr>
            <w:alias w:val="Select an activity"/>
            <w:tag w:val="Select an activity"/>
            <w:id w:val="-1813092133"/>
            <w:placeholder>
              <w:docPart w:val="9CC931E39FC74FAF9E2DD0BCDDF3C57E"/>
            </w:placeholder>
            <w:comboBox>
              <w:listItem w:value="Choose an item."/>
              <w:listItem w:displayText="Issuers of crypto-assets" w:value="Issuers of crypto-assets"/>
              <w:listItem w:displayText="Crypto-asset service providers" w:value="Crypto-asset service providers"/>
              <w:listItem w:displayText="DLT and IT systems developers" w:value="DLT and IT systems developers"/>
              <w:listItem w:displayText="Credit institutions, CSDs, investment firms, market operators, e-money institutions, UCITS management companies, AIFs " w:value="Credit institutions, CSDs, investment firms, market operators, e-money institutions, UCITS management companies, AIFs "/>
              <w:listItem w:displayText="Associations, professional bodies, industry representatives" w:value="Associations, professional bodies, industry representatives"/>
              <w:listItem w:displayText="Law firms" w:value="Law firms"/>
              <w:listItem w:displayText="Retail investors" w:value="Retail investors"/>
              <w:listItem w:displayText="Others" w:value="Others"/>
            </w:comboBox>
          </w:sdtPr>
          <w:sdtContent>
            <w:permStart w:id="1563696391" w:edGrp="everyone" w:displacedByCustomXml="prev"/>
            <w:tc>
              <w:tcPr>
                <w:tcW w:w="4531" w:type="dxa"/>
              </w:tcPr>
              <w:p w14:paraId="7403D812" w14:textId="61C3FA49" w:rsidR="00635BCA" w:rsidRPr="00557BD2" w:rsidRDefault="008A6346" w:rsidP="00D21C35">
                <w:r>
                  <w:t>Associations, professional bodies, industry representatives</w:t>
                </w:r>
              </w:p>
            </w:tc>
            <w:permEnd w:id="1563696391" w:displacedByCustomXml="next"/>
          </w:sdtContent>
        </w:sdt>
      </w:tr>
      <w:tr w:rsidR="00635BCA" w:rsidRPr="00557BD2" w14:paraId="3F7B477A" w14:textId="77777777" w:rsidTr="00D21C35">
        <w:tc>
          <w:tcPr>
            <w:tcW w:w="4531" w:type="dxa"/>
          </w:tcPr>
          <w:p w14:paraId="560577F7" w14:textId="77777777" w:rsidR="00635BCA" w:rsidRPr="00557BD2" w:rsidRDefault="00635BCA" w:rsidP="00D21C35">
            <w:pPr>
              <w:rPr>
                <w:color w:val="00379F" w:themeColor="text1"/>
                <w:sz w:val="24"/>
                <w:szCs w:val="22"/>
              </w:rPr>
            </w:pPr>
            <w:r w:rsidRPr="00557BD2">
              <w:rPr>
                <w:color w:val="00379F" w:themeColor="text1"/>
                <w:sz w:val="24"/>
                <w:szCs w:val="22"/>
              </w:rPr>
              <w:t>Are you representing an association?</w:t>
            </w:r>
          </w:p>
        </w:tc>
        <w:sdt>
          <w:sdtPr>
            <w:id w:val="456152326"/>
            <w14:checkbox>
              <w14:checked w14:val="1"/>
              <w14:checkedState w14:val="2612" w14:font="MS Gothic"/>
              <w14:uncheckedState w14:val="2610" w14:font="MS Gothic"/>
            </w14:checkbox>
          </w:sdtPr>
          <w:sdtContent>
            <w:permStart w:id="1071191175" w:edGrp="everyone" w:displacedByCustomXml="prev"/>
            <w:tc>
              <w:tcPr>
                <w:tcW w:w="4531" w:type="dxa"/>
              </w:tcPr>
              <w:p w14:paraId="2AD81A72" w14:textId="4CDDD862" w:rsidR="00635BCA" w:rsidRPr="00557BD2" w:rsidRDefault="00282107" w:rsidP="00D21C35">
                <w:r>
                  <w:rPr>
                    <w:rFonts w:ascii="MS Gothic" w:eastAsia="MS Gothic" w:hAnsi="MS Gothic" w:hint="eastAsia"/>
                  </w:rPr>
                  <w:t>☒</w:t>
                </w:r>
              </w:p>
            </w:tc>
            <w:permEnd w:id="1071191175" w:displacedByCustomXml="next"/>
          </w:sdtContent>
        </w:sdt>
      </w:tr>
      <w:tr w:rsidR="00635BCA" w:rsidRPr="00557BD2" w14:paraId="3D982432" w14:textId="77777777" w:rsidTr="00D21C35">
        <w:tc>
          <w:tcPr>
            <w:tcW w:w="4531" w:type="dxa"/>
          </w:tcPr>
          <w:p w14:paraId="7771F8C5" w14:textId="77777777" w:rsidR="00635BCA" w:rsidRPr="00557BD2" w:rsidRDefault="00635BCA" w:rsidP="00D21C35">
            <w:pPr>
              <w:rPr>
                <w:color w:val="00379F" w:themeColor="text1"/>
                <w:sz w:val="24"/>
                <w:szCs w:val="22"/>
              </w:rPr>
            </w:pPr>
            <w:r w:rsidRPr="00557BD2">
              <w:rPr>
                <w:color w:val="00379F" w:themeColor="text1"/>
                <w:sz w:val="24"/>
                <w:szCs w:val="22"/>
              </w:rPr>
              <w:t>Country / Region</w:t>
            </w:r>
          </w:p>
        </w:tc>
        <w:sdt>
          <w:sdtPr>
            <w:alias w:val="Select a country/region"/>
            <w:tag w:val="Select a country/region"/>
            <w:id w:val="32541635"/>
            <w:placeholder>
              <w:docPart w:val="9CC931E39FC74FAF9E2DD0BCDDF3C57E"/>
            </w:placeholde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Content>
            <w:permStart w:id="1581805691" w:edGrp="everyone" w:displacedByCustomXml="prev"/>
            <w:tc>
              <w:tcPr>
                <w:tcW w:w="4531" w:type="dxa"/>
              </w:tcPr>
              <w:p w14:paraId="6A619B85" w14:textId="3CE1E728" w:rsidR="00635BCA" w:rsidRPr="00557BD2" w:rsidRDefault="00282107" w:rsidP="00D21C35">
                <w:r>
                  <w:t>Italy</w:t>
                </w:r>
              </w:p>
            </w:tc>
            <w:permEnd w:id="1581805691" w:displacedByCustomXml="next"/>
          </w:sdtContent>
        </w:sdt>
      </w:tr>
    </w:tbl>
    <w:p w14:paraId="687A8108" w14:textId="77777777" w:rsidR="00635BCA" w:rsidRPr="00053B66" w:rsidRDefault="00635BCA" w:rsidP="00635BCA"/>
    <w:p w14:paraId="3EB4F3B6" w14:textId="77777777" w:rsidR="00635BCA" w:rsidRPr="00557BD2" w:rsidRDefault="00635BCA" w:rsidP="00635BCA">
      <w:pPr>
        <w:pStyle w:val="Titolo1"/>
        <w:rPr>
          <w:lang w:val="fr-BE"/>
        </w:rPr>
      </w:pPr>
      <w:r w:rsidRPr="00557BD2">
        <w:rPr>
          <w:lang w:val="fr-BE"/>
        </w:rPr>
        <w:t xml:space="preserve">Questions </w:t>
      </w:r>
    </w:p>
    <w:p w14:paraId="449AB301" w14:textId="77777777" w:rsidR="00C5469A" w:rsidRDefault="00C5469A" w:rsidP="0040236B">
      <w:pPr>
        <w:pStyle w:val="Questionstyle"/>
        <w:numPr>
          <w:ilvl w:val="0"/>
          <w:numId w:val="14"/>
        </w:numPr>
        <w:ind w:left="0"/>
        <w:rPr>
          <w:color w:val="auto"/>
        </w:rPr>
      </w:pPr>
      <w:r>
        <w:t>: Please describe the impacts on the processes and operations from compressing the intended settlement date to T+1 and to T+0. Please:</w:t>
      </w:r>
    </w:p>
    <w:p w14:paraId="7DD21609" w14:textId="77777777" w:rsidR="00C5469A" w:rsidRDefault="00C5469A" w:rsidP="0040236B">
      <w:pPr>
        <w:pStyle w:val="Paragrafoelenco"/>
        <w:numPr>
          <w:ilvl w:val="0"/>
          <w:numId w:val="15"/>
        </w:numPr>
        <w:ind w:left="426"/>
      </w:pPr>
      <w:r>
        <w:t xml:space="preserve">provide as much detail as possible on what issues would emerge in both cases and how they could be addressed with special attention to critical processes (matching, allocation, affirmation and confirmation) and interdependencies. Where relevant please explain if these are general or asset class/instrument/ trade specific. </w:t>
      </w:r>
    </w:p>
    <w:p w14:paraId="7FA44DF4" w14:textId="77777777" w:rsidR="00C5469A" w:rsidRDefault="00C5469A" w:rsidP="0040236B">
      <w:pPr>
        <w:pStyle w:val="Paragrafoelenco"/>
        <w:numPr>
          <w:ilvl w:val="0"/>
          <w:numId w:val="15"/>
        </w:numPr>
        <w:ind w:left="426"/>
      </w:pPr>
      <w:r>
        <w:t xml:space="preserve"> Identify processes, operations or types of transaction or financial instrument class that would be severely impacted or no longer doable in a T+1 and in a T+0 environment. </w:t>
      </w:r>
    </w:p>
    <w:p w14:paraId="4DCA07D7" w14:textId="53DFAE34" w:rsidR="00C5469A" w:rsidRPr="00C5469A" w:rsidRDefault="00C5469A" w:rsidP="00C5469A">
      <w:pPr>
        <w:ind w:left="-284"/>
        <w:rPr>
          <w:rFonts w:ascii="Arial" w:hAnsi="Arial" w:cs="Arial"/>
          <w:b/>
          <w:lang w:val="en-US"/>
        </w:rPr>
      </w:pPr>
      <w:r>
        <w:rPr>
          <w:rFonts w:ascii="Arial" w:hAnsi="Arial" w:cs="Arial"/>
          <w:b/>
          <w:lang w:val="en-US"/>
        </w:rPr>
        <w:t xml:space="preserve">Please, suggest if there are </w:t>
      </w:r>
      <w:r w:rsidR="009F68D8">
        <w:rPr>
          <w:rFonts w:ascii="Arial" w:hAnsi="Arial" w:cs="Arial"/>
          <w:b/>
          <w:lang w:val="en-US"/>
        </w:rPr>
        <w:t>legislative</w:t>
      </w:r>
      <w:r>
        <w:rPr>
          <w:rFonts w:ascii="Arial" w:hAnsi="Arial" w:cs="Arial"/>
          <w:b/>
          <w:lang w:val="en-US"/>
        </w:rPr>
        <w:t xml:space="preserve"> or regulatory actions that would help address the problems. Where relevant please explain if these are general or asset class/instrument/ trade specific.  </w:t>
      </w:r>
    </w:p>
    <w:p w14:paraId="5A9B8F15" w14:textId="77777777" w:rsidR="00C5469A" w:rsidRDefault="00C5469A" w:rsidP="00C5469A">
      <w:r>
        <w:t>&lt;ESMA_QUESTION_SETT_1&gt;</w:t>
      </w:r>
    </w:p>
    <w:p w14:paraId="226842D4" w14:textId="77777777" w:rsidR="00C76D62" w:rsidRPr="000262A2" w:rsidRDefault="00C76D62" w:rsidP="00C76D62">
      <w:pPr>
        <w:rPr>
          <w:rFonts w:cstheme="minorHAnsi"/>
        </w:rPr>
      </w:pPr>
      <w:permStart w:id="1228560568" w:edGrp="everyone"/>
      <w:r w:rsidRPr="000262A2">
        <w:rPr>
          <w:rFonts w:cstheme="minorHAnsi"/>
        </w:rPr>
        <w:t xml:space="preserve">As an </w:t>
      </w:r>
      <w:r w:rsidRPr="000262A2">
        <w:rPr>
          <w:rFonts w:cstheme="minorHAnsi"/>
          <w:b/>
          <w:bCs/>
        </w:rPr>
        <w:t>initial and general consideration</w:t>
      </w:r>
      <w:r w:rsidRPr="000262A2">
        <w:rPr>
          <w:rFonts w:cstheme="minorHAnsi"/>
        </w:rPr>
        <w:t xml:space="preserve">, being absent an introductory question, we find it appropriate to express under this first question </w:t>
      </w:r>
      <w:r>
        <w:rPr>
          <w:rFonts w:cstheme="minorHAnsi"/>
        </w:rPr>
        <w:t xml:space="preserve">that ABI is glad </w:t>
      </w:r>
      <w:r w:rsidRPr="000262A2">
        <w:rPr>
          <w:rFonts w:cstheme="minorHAnsi"/>
        </w:rPr>
        <w:t xml:space="preserve">for the </w:t>
      </w:r>
      <w:r>
        <w:rPr>
          <w:rFonts w:cstheme="minorHAnsi"/>
        </w:rPr>
        <w:t xml:space="preserve">comprehensive </w:t>
      </w:r>
      <w:r w:rsidRPr="000262A2">
        <w:rPr>
          <w:rFonts w:cstheme="minorHAnsi"/>
        </w:rPr>
        <w:t xml:space="preserve">content and the considerations </w:t>
      </w:r>
      <w:r>
        <w:rPr>
          <w:rFonts w:cstheme="minorHAnsi"/>
        </w:rPr>
        <w:t xml:space="preserve">reported </w:t>
      </w:r>
      <w:r w:rsidRPr="000262A2">
        <w:rPr>
          <w:rFonts w:cstheme="minorHAnsi"/>
        </w:rPr>
        <w:t>in this Call for Evidence, as many of them demonstrate the awareness and acknowledgement by ESMA of a number of issues that also ABI found out and it has been discussing with its members (across the 2</w:t>
      </w:r>
      <w:r w:rsidRPr="000262A2">
        <w:rPr>
          <w:rFonts w:cstheme="minorHAnsi"/>
          <w:vertAlign w:val="superscript"/>
        </w:rPr>
        <w:t>nd</w:t>
      </w:r>
      <w:r w:rsidRPr="000262A2">
        <w:rPr>
          <w:rFonts w:cstheme="minorHAnsi"/>
        </w:rPr>
        <w:t xml:space="preserve"> and 3</w:t>
      </w:r>
      <w:r w:rsidRPr="000262A2">
        <w:rPr>
          <w:rFonts w:cstheme="minorHAnsi"/>
          <w:vertAlign w:val="superscript"/>
        </w:rPr>
        <w:t>rd</w:t>
      </w:r>
      <w:r w:rsidRPr="000262A2">
        <w:rPr>
          <w:rFonts w:cstheme="minorHAnsi"/>
        </w:rPr>
        <w:t xml:space="preserve"> quarter of 2023), prior to the publication of the CFE. This consideration appl</w:t>
      </w:r>
      <w:r>
        <w:rPr>
          <w:rFonts w:cstheme="minorHAnsi"/>
        </w:rPr>
        <w:t>ies</w:t>
      </w:r>
      <w:r w:rsidRPr="000262A2">
        <w:rPr>
          <w:rFonts w:cstheme="minorHAnsi"/>
        </w:rPr>
        <w:t xml:space="preserve">, in general terms, throughout the CFE paper, and more specifically in the case of the </w:t>
      </w:r>
      <w:r w:rsidRPr="000262A2">
        <w:rPr>
          <w:rFonts w:cstheme="minorHAnsi"/>
          <w:b/>
          <w:bCs/>
        </w:rPr>
        <w:t>potential shortening of the securities settlement cycle (SSC) in the Union from T+2 to T+1</w:t>
      </w:r>
      <w:r w:rsidRPr="000262A2">
        <w:rPr>
          <w:rFonts w:cstheme="minorHAnsi"/>
        </w:rPr>
        <w:t xml:space="preserve"> (or even T+0), i.e. the core content of this Section 3.1 which Q1 refers to.</w:t>
      </w:r>
    </w:p>
    <w:p w14:paraId="14D89603" w14:textId="77777777" w:rsidR="00C76D62" w:rsidRPr="000262A2" w:rsidRDefault="00C76D62" w:rsidP="00C76D62">
      <w:pPr>
        <w:rPr>
          <w:rFonts w:cstheme="minorHAnsi"/>
        </w:rPr>
      </w:pPr>
      <w:r w:rsidRPr="000262A2">
        <w:rPr>
          <w:rFonts w:cstheme="minorHAnsi"/>
        </w:rPr>
        <w:lastRenderedPageBreak/>
        <w:t>Indeed, starting from this topic, we agree with ESMA’s consideration under paragraph 16 that “</w:t>
      </w:r>
      <w:r w:rsidRPr="000262A2">
        <w:rPr>
          <w:rFonts w:cstheme="minorHAnsi"/>
          <w:i/>
          <w:iCs/>
          <w:color w:val="0070C0"/>
        </w:rPr>
        <w:t xml:space="preserve">Further shortening the intended settlement date to (..) T+1 </w:t>
      </w:r>
      <w:r w:rsidRPr="000262A2">
        <w:rPr>
          <w:rFonts w:cstheme="minorHAnsi"/>
          <w:color w:val="0070C0"/>
        </w:rPr>
        <w:t>(in the Union)</w:t>
      </w:r>
      <w:r w:rsidRPr="000262A2">
        <w:rPr>
          <w:rFonts w:cstheme="minorHAnsi"/>
          <w:i/>
          <w:iCs/>
          <w:color w:val="0070C0"/>
        </w:rPr>
        <w:t xml:space="preserve"> would significantly reduce the time available for (…) post-trade processes, which most likely would have to be finalised by T+0 (..). The reduction of time available for post-trade processes would be even more acute if the settlement cycle were reduced to T+0 (i.e. the day on which trading takes place)</w:t>
      </w:r>
      <w:r w:rsidRPr="000262A2">
        <w:rPr>
          <w:rFonts w:cstheme="minorHAnsi"/>
        </w:rPr>
        <w:t xml:space="preserve">”. In fact, as confirmed by our members, initial and indicative yet comprehensive estimates show that the time available to run a number of post-trade activities would </w:t>
      </w:r>
      <w:r w:rsidRPr="000262A2">
        <w:rPr>
          <w:rFonts w:cstheme="minorHAnsi"/>
          <w:b/>
          <w:bCs/>
        </w:rPr>
        <w:t>a)</w:t>
      </w:r>
      <w:r w:rsidRPr="000262A2">
        <w:rPr>
          <w:rFonts w:cstheme="minorHAnsi"/>
        </w:rPr>
        <w:t xml:space="preserve"> essentially </w:t>
      </w:r>
      <w:r w:rsidRPr="00A6521D">
        <w:rPr>
          <w:rFonts w:cstheme="minorHAnsi"/>
          <w:u w:val="single"/>
        </w:rPr>
        <w:t>be halved or more</w:t>
      </w:r>
      <w:r w:rsidRPr="000262A2">
        <w:rPr>
          <w:rFonts w:cstheme="minorHAnsi"/>
        </w:rPr>
        <w:t xml:space="preserve"> for the settlement of </w:t>
      </w:r>
      <w:r w:rsidRPr="00A6521D">
        <w:rPr>
          <w:rFonts w:cstheme="minorHAnsi"/>
          <w:u w:val="single"/>
        </w:rPr>
        <w:t>securities issued in the EU</w:t>
      </w:r>
      <w:r w:rsidRPr="000262A2">
        <w:rPr>
          <w:rFonts w:cstheme="minorHAnsi"/>
          <w:i/>
          <w:iCs/>
        </w:rPr>
        <w:t xml:space="preserve">, </w:t>
      </w:r>
      <w:r w:rsidRPr="000262A2">
        <w:rPr>
          <w:rFonts w:cstheme="minorHAnsi"/>
        </w:rPr>
        <w:t xml:space="preserve">whilst </w:t>
      </w:r>
      <w:r w:rsidRPr="000262A2">
        <w:rPr>
          <w:rFonts w:cstheme="minorHAnsi"/>
          <w:b/>
          <w:bCs/>
        </w:rPr>
        <w:t>b)</w:t>
      </w:r>
      <w:r w:rsidRPr="000262A2">
        <w:rPr>
          <w:rFonts w:cstheme="minorHAnsi"/>
        </w:rPr>
        <w:t xml:space="preserve"> it would be reduced by much more than 50% for those </w:t>
      </w:r>
      <w:r w:rsidRPr="00A6521D">
        <w:rPr>
          <w:rFonts w:cstheme="minorHAnsi"/>
          <w:u w:val="single"/>
        </w:rPr>
        <w:t>securities issued and listed in the US</w:t>
      </w:r>
      <w:r w:rsidRPr="000262A2">
        <w:rPr>
          <w:rFonts w:cstheme="minorHAnsi"/>
        </w:rPr>
        <w:t>, traded in the EU (as underlying transactions by EU-based market operators) for a number of reasons which (in the latter case) are essentially acknowledged and expanded on in Section 3.4., and subject to our considerations from Q.21 onward.</w:t>
      </w:r>
    </w:p>
    <w:p w14:paraId="53FFB726" w14:textId="77777777" w:rsidR="00C76D62" w:rsidRPr="000262A2" w:rsidRDefault="00C76D62" w:rsidP="00C76D62">
      <w:pPr>
        <w:rPr>
          <w:rFonts w:cstheme="minorHAnsi"/>
        </w:rPr>
      </w:pPr>
      <w:r w:rsidRPr="000262A2">
        <w:rPr>
          <w:rFonts w:cstheme="minorHAnsi"/>
        </w:rPr>
        <w:t>Moving to the core part of Q.1., we present our considerations as split into two parts: the impacts of a potential migration to T+1 and those deriving from a potential migration to T+0.</w:t>
      </w:r>
    </w:p>
    <w:p w14:paraId="14220047" w14:textId="77777777" w:rsidR="00C76D62" w:rsidRPr="000262A2" w:rsidRDefault="00C76D62" w:rsidP="00C76D62">
      <w:pPr>
        <w:rPr>
          <w:rFonts w:cstheme="minorHAnsi"/>
        </w:rPr>
      </w:pPr>
      <w:r w:rsidRPr="000262A2">
        <w:rPr>
          <w:rFonts w:cstheme="minorHAnsi"/>
        </w:rPr>
        <w:t>As it regards the foreseeable impacts of a potential migration to T+1, we envisage the following:</w:t>
      </w:r>
    </w:p>
    <w:p w14:paraId="7771649A" w14:textId="77777777" w:rsidR="00C76D62" w:rsidRPr="000262A2" w:rsidRDefault="00C76D62" w:rsidP="00C76D62">
      <w:pPr>
        <w:numPr>
          <w:ilvl w:val="0"/>
          <w:numId w:val="19"/>
        </w:numPr>
        <w:spacing w:after="160" w:line="259" w:lineRule="auto"/>
        <w:rPr>
          <w:rFonts w:cstheme="minorHAnsi"/>
        </w:rPr>
      </w:pPr>
      <w:r w:rsidRPr="000262A2">
        <w:rPr>
          <w:rFonts w:cstheme="minorHAnsi"/>
          <w:b/>
          <w:bCs/>
        </w:rPr>
        <w:t>Generation and matching of settlement instructions</w:t>
      </w:r>
      <w:r w:rsidRPr="000262A2">
        <w:rPr>
          <w:rFonts w:cstheme="minorHAnsi"/>
        </w:rPr>
        <w:t xml:space="preserve"> would be one of the most affected activities by a potential shortening of the securities settlement cycle (SSC). Indeed, a move to T+1 would remove the only business day currently available (in T+2) between the trading (in T) and the completion of the settlement activities by the </w:t>
      </w:r>
      <w:r w:rsidRPr="000262A2">
        <w:rPr>
          <w:rFonts w:cstheme="minorHAnsi"/>
          <w:i/>
          <w:iCs/>
        </w:rPr>
        <w:t xml:space="preserve">intended settlement date </w:t>
      </w:r>
      <w:r w:rsidRPr="000262A2">
        <w:rPr>
          <w:rFonts w:cstheme="minorHAnsi"/>
        </w:rPr>
        <w:t xml:space="preserve">(in T+2). Such buffer is currently essential to process a number of activities with no particular rush, and is vital for </w:t>
      </w:r>
      <w:r w:rsidRPr="000262A2">
        <w:rPr>
          <w:rFonts w:cstheme="minorHAnsi"/>
          <w:b/>
          <w:bCs/>
        </w:rPr>
        <w:t>manual and late bookings</w:t>
      </w:r>
      <w:r w:rsidRPr="00A05C75">
        <w:rPr>
          <w:rFonts w:cstheme="minorHAnsi"/>
          <w:b/>
          <w:bCs/>
        </w:rPr>
        <w:t xml:space="preserve"> </w:t>
      </w:r>
      <w:r w:rsidRPr="0027001A">
        <w:rPr>
          <w:rFonts w:cstheme="minorHAnsi"/>
        </w:rPr>
        <w:t>(in case of issues to ICT systems or exceptional circumstances)</w:t>
      </w:r>
      <w:r w:rsidRPr="000262A2">
        <w:rPr>
          <w:rFonts w:cstheme="minorHAnsi"/>
        </w:rPr>
        <w:t xml:space="preserve">, not to mention the management and resolution of </w:t>
      </w:r>
      <w:r w:rsidRPr="000262A2">
        <w:rPr>
          <w:rFonts w:cstheme="minorHAnsi"/>
          <w:b/>
          <w:bCs/>
        </w:rPr>
        <w:t>mismatches</w:t>
      </w:r>
      <w:r w:rsidRPr="000262A2">
        <w:rPr>
          <w:rFonts w:cstheme="minorHAnsi"/>
        </w:rPr>
        <w:t xml:space="preserve"> with the relevant counterparties (</w:t>
      </w:r>
      <w:proofErr w:type="gramStart"/>
      <w:r w:rsidRPr="000262A2">
        <w:rPr>
          <w:rFonts w:cstheme="minorHAnsi"/>
        </w:rPr>
        <w:t>i.e.</w:t>
      </w:r>
      <w:proofErr w:type="gramEnd"/>
      <w:r w:rsidRPr="000262A2">
        <w:rPr>
          <w:rFonts w:cstheme="minorHAnsi"/>
        </w:rPr>
        <w:t xml:space="preserve"> time needed for interactions). In a context of a shorter SSC, such time buffer would basically minimise and cease to exist. Indeed, it would be compressed in a few hours the timeframe available for any banks to</w:t>
      </w:r>
      <w:r w:rsidRPr="000262A2">
        <w:rPr>
          <w:rFonts w:cstheme="minorHAnsi"/>
          <w:b/>
          <w:bCs/>
        </w:rPr>
        <w:t xml:space="preserve"> run the processes of trade matching</w:t>
      </w:r>
      <w:r w:rsidRPr="000262A2">
        <w:rPr>
          <w:rFonts w:cstheme="minorHAnsi"/>
        </w:rPr>
        <w:t xml:space="preserve"> of orders details (trading level) for both sides of a given transaction, for the following </w:t>
      </w:r>
      <w:r w:rsidRPr="000262A2">
        <w:rPr>
          <w:rFonts w:cstheme="minorHAnsi"/>
          <w:b/>
          <w:bCs/>
        </w:rPr>
        <w:t>confirmation and allocation of the relevant securities/cash</w:t>
      </w:r>
      <w:r w:rsidRPr="000262A2">
        <w:rPr>
          <w:rFonts w:cstheme="minorHAnsi"/>
        </w:rPr>
        <w:t xml:space="preserve">, for the following activities of </w:t>
      </w:r>
      <w:r w:rsidRPr="000262A2">
        <w:rPr>
          <w:rFonts w:cstheme="minorHAnsi"/>
          <w:b/>
          <w:bCs/>
        </w:rPr>
        <w:t>post-trade / back-office units</w:t>
      </w:r>
      <w:r w:rsidRPr="000262A2">
        <w:rPr>
          <w:rFonts w:cstheme="minorHAnsi"/>
        </w:rPr>
        <w:t xml:space="preserve">. This is even more challenging for smaller banks, as the time available to </w:t>
      </w:r>
      <w:r w:rsidRPr="000262A2">
        <w:rPr>
          <w:rFonts w:cstheme="minorHAnsi"/>
          <w:b/>
          <w:bCs/>
        </w:rPr>
        <w:t>compute the actual EOD liquidity needs</w:t>
      </w:r>
      <w:r w:rsidRPr="000262A2">
        <w:rPr>
          <w:rFonts w:cstheme="minorHAnsi"/>
        </w:rPr>
        <w:t xml:space="preserve"> in any given currency (i.e. treasury and liquidity management units) would be compressed. Such processes, probably, would have to be finalised </w:t>
      </w:r>
      <w:proofErr w:type="spellStart"/>
      <w:r w:rsidRPr="000262A2">
        <w:rPr>
          <w:rFonts w:cstheme="minorHAnsi"/>
          <w:b/>
          <w:bCs/>
        </w:rPr>
        <w:t>i</w:t>
      </w:r>
      <w:proofErr w:type="spellEnd"/>
      <w:r w:rsidRPr="000262A2">
        <w:rPr>
          <w:rFonts w:cstheme="minorHAnsi"/>
          <w:b/>
          <w:bCs/>
        </w:rPr>
        <w:t xml:space="preserve">) </w:t>
      </w:r>
      <w:r w:rsidRPr="000262A2">
        <w:rPr>
          <w:rFonts w:cstheme="minorHAnsi"/>
        </w:rPr>
        <w:t xml:space="preserve">by mid-morning in T+1 (EU time zones) for transactions in Euros, or </w:t>
      </w:r>
      <w:r w:rsidRPr="000262A2">
        <w:rPr>
          <w:rFonts w:cstheme="minorHAnsi"/>
          <w:b/>
          <w:bCs/>
        </w:rPr>
        <w:t>ii)</w:t>
      </w:r>
      <w:r w:rsidRPr="000262A2">
        <w:rPr>
          <w:rFonts w:cstheme="minorHAnsi"/>
        </w:rPr>
        <w:t xml:space="preserve"> by the night in T+0 for transactions in USD, other international and other Euro-zone currencies.</w:t>
      </w:r>
    </w:p>
    <w:p w14:paraId="542D6CB8" w14:textId="77777777" w:rsidR="00C76D62" w:rsidRPr="000262A2" w:rsidRDefault="00C76D62" w:rsidP="00C76D62">
      <w:pPr>
        <w:ind w:left="709"/>
        <w:rPr>
          <w:rFonts w:cstheme="minorHAnsi"/>
        </w:rPr>
      </w:pPr>
      <w:r w:rsidRPr="000262A2">
        <w:rPr>
          <w:rFonts w:cstheme="minorHAnsi"/>
        </w:rPr>
        <w:t xml:space="preserve">Such foreseeable significant need for more time would make </w:t>
      </w:r>
      <w:r>
        <w:rPr>
          <w:rFonts w:cstheme="minorHAnsi"/>
        </w:rPr>
        <w:t xml:space="preserve">it </w:t>
      </w:r>
      <w:r w:rsidRPr="000262A2">
        <w:rPr>
          <w:rFonts w:cstheme="minorHAnsi"/>
        </w:rPr>
        <w:t xml:space="preserve">more compelling for ESMA to find solutions and incentives for a </w:t>
      </w:r>
      <w:r w:rsidRPr="000262A2">
        <w:rPr>
          <w:rFonts w:cstheme="minorHAnsi"/>
          <w:b/>
          <w:bCs/>
        </w:rPr>
        <w:t>widespread adoption of systems for automatic matching</w:t>
      </w:r>
      <w:r w:rsidRPr="000262A2">
        <w:rPr>
          <w:rFonts w:cstheme="minorHAnsi"/>
        </w:rPr>
        <w:t xml:space="preserve"> of transactions details, which however would require (by any market operator) correct / error-proof initial transaction bookings, and a </w:t>
      </w:r>
      <w:r w:rsidRPr="000262A2">
        <w:rPr>
          <w:rFonts w:cstheme="minorHAnsi"/>
          <w:b/>
          <w:bCs/>
        </w:rPr>
        <w:t>standardised data enrichment process</w:t>
      </w:r>
      <w:r w:rsidRPr="000262A2">
        <w:rPr>
          <w:rFonts w:cstheme="minorHAnsi"/>
        </w:rPr>
        <w:t xml:space="preserve"> </w:t>
      </w:r>
      <w:r w:rsidRPr="0027001A">
        <w:rPr>
          <w:rFonts w:cstheme="minorHAnsi"/>
          <w:b/>
          <w:bCs/>
        </w:rPr>
        <w:t>at post-trade pre-settlement level</w:t>
      </w:r>
      <w:r>
        <w:rPr>
          <w:rFonts w:cstheme="minorHAnsi"/>
          <w:b/>
          <w:bCs/>
        </w:rPr>
        <w:t xml:space="preserve"> </w:t>
      </w:r>
      <w:r w:rsidRPr="0027001A">
        <w:rPr>
          <w:rFonts w:cstheme="minorHAnsi"/>
        </w:rPr>
        <w:t>(</w:t>
      </w:r>
      <w:r>
        <w:rPr>
          <w:rFonts w:cstheme="minorHAnsi"/>
        </w:rPr>
        <w:t xml:space="preserve">essentially, at </w:t>
      </w:r>
      <w:r w:rsidRPr="0027001A">
        <w:rPr>
          <w:rFonts w:cstheme="minorHAnsi"/>
          <w:i/>
          <w:iCs/>
        </w:rPr>
        <w:t>middle-</w:t>
      </w:r>
      <w:r w:rsidRPr="0027001A">
        <w:rPr>
          <w:rFonts w:cstheme="minorHAnsi"/>
          <w:i/>
          <w:iCs/>
        </w:rPr>
        <w:lastRenderedPageBreak/>
        <w:t>office</w:t>
      </w:r>
      <w:r>
        <w:rPr>
          <w:rFonts w:cstheme="minorHAnsi"/>
        </w:rPr>
        <w:t xml:space="preserve"> level</w:t>
      </w:r>
      <w:r w:rsidRPr="0027001A">
        <w:rPr>
          <w:rFonts w:cstheme="minorHAnsi"/>
        </w:rPr>
        <w:t>)</w:t>
      </w:r>
      <w:r w:rsidRPr="000262A2">
        <w:rPr>
          <w:rFonts w:cstheme="minorHAnsi"/>
        </w:rPr>
        <w:t xml:space="preserve">, prior to sending the relevant instructions to the back-office. As there is not a single solution to such challenge, ESMA should also work (with the industry) to assess the viability of </w:t>
      </w:r>
      <w:r w:rsidRPr="000262A2">
        <w:rPr>
          <w:rFonts w:cstheme="minorHAnsi"/>
          <w:b/>
          <w:bCs/>
        </w:rPr>
        <w:t>a postponement to 22:00 PM of the start of night settlement cycle in T2S</w:t>
      </w:r>
      <w:r w:rsidRPr="000262A2">
        <w:rPr>
          <w:rFonts w:cstheme="minorHAnsi"/>
        </w:rPr>
        <w:t xml:space="preserve"> (currently set at 20:00 GMT+1), so that an </w:t>
      </w:r>
      <w:r w:rsidRPr="000262A2">
        <w:rPr>
          <w:rFonts w:cstheme="minorHAnsi"/>
          <w:b/>
          <w:bCs/>
        </w:rPr>
        <w:t>indicative 4-to-6 hour buffer</w:t>
      </w:r>
      <w:r w:rsidRPr="000262A2">
        <w:rPr>
          <w:rFonts w:cstheme="minorHAnsi"/>
        </w:rPr>
        <w:t xml:space="preserve"> would be available since the closing time of financial markets</w:t>
      </w:r>
      <w:r w:rsidRPr="000262A2">
        <w:rPr>
          <w:rFonts w:cstheme="minorHAnsi"/>
          <w:vertAlign w:val="superscript"/>
        </w:rPr>
        <w:footnoteReference w:id="2"/>
      </w:r>
      <w:r w:rsidRPr="000262A2">
        <w:rPr>
          <w:rFonts w:cstheme="minorHAnsi"/>
        </w:rPr>
        <w:t xml:space="preserve"> to run the post-trading activities which, in any case, will still be subject</w:t>
      </w:r>
      <w:r>
        <w:rPr>
          <w:rFonts w:cstheme="minorHAnsi"/>
        </w:rPr>
        <w:t xml:space="preserve"> to</w:t>
      </w:r>
      <w:r w:rsidRPr="000262A2">
        <w:rPr>
          <w:rFonts w:cstheme="minorHAnsi"/>
        </w:rPr>
        <w:t xml:space="preserve"> a sensible time compression</w:t>
      </w:r>
      <w:r w:rsidRPr="00041F1E">
        <w:rPr>
          <w:rFonts w:cstheme="minorHAnsi"/>
        </w:rPr>
        <w:t>, notwithstanding those trades that are currently executed later in the (business) that would be “</w:t>
      </w:r>
      <w:r w:rsidRPr="0027001A">
        <w:rPr>
          <w:rStyle w:val="cf01"/>
          <w:rFonts w:cstheme="minorHAnsi"/>
          <w:szCs w:val="22"/>
        </w:rPr>
        <w:t>particularly vulnerable” in this context</w:t>
      </w:r>
      <w:r w:rsidRPr="00041F1E">
        <w:rPr>
          <w:rFonts w:cstheme="minorHAnsi"/>
        </w:rPr>
        <w:t>;</w:t>
      </w:r>
    </w:p>
    <w:p w14:paraId="6DB0A396" w14:textId="77777777" w:rsidR="00C76D62" w:rsidRPr="000262A2" w:rsidRDefault="00C76D62" w:rsidP="00C76D62">
      <w:pPr>
        <w:numPr>
          <w:ilvl w:val="0"/>
          <w:numId w:val="19"/>
        </w:numPr>
        <w:spacing w:after="160" w:line="259" w:lineRule="auto"/>
        <w:rPr>
          <w:rFonts w:cstheme="minorHAnsi"/>
        </w:rPr>
      </w:pPr>
      <w:r w:rsidRPr="000262A2">
        <w:rPr>
          <w:rFonts w:cstheme="minorHAnsi"/>
          <w:b/>
          <w:bCs/>
        </w:rPr>
        <w:t>Positioning of securities</w:t>
      </w:r>
      <w:r w:rsidRPr="000262A2">
        <w:rPr>
          <w:rFonts w:cstheme="minorHAnsi"/>
        </w:rPr>
        <w:t xml:space="preserve"> and</w:t>
      </w:r>
      <w:r w:rsidRPr="000262A2">
        <w:rPr>
          <w:rFonts w:cstheme="minorHAnsi"/>
          <w:b/>
          <w:bCs/>
        </w:rPr>
        <w:t xml:space="preserve"> availability of relevant securities in the correct CSD Account </w:t>
      </w:r>
      <w:r w:rsidRPr="000262A2">
        <w:rPr>
          <w:rFonts w:cstheme="minorHAnsi"/>
        </w:rPr>
        <w:t>is key (trivially) to ensuring the timely completion of the settlement process. Under this scope, major implications of a shortening of the SSC would be on,</w:t>
      </w:r>
    </w:p>
    <w:p w14:paraId="2C809C0B" w14:textId="77777777" w:rsidR="00C76D62" w:rsidRPr="000262A2" w:rsidRDefault="00C76D62" w:rsidP="00C76D62">
      <w:pPr>
        <w:numPr>
          <w:ilvl w:val="1"/>
          <w:numId w:val="16"/>
        </w:numPr>
        <w:spacing w:after="160" w:line="259" w:lineRule="auto"/>
        <w:rPr>
          <w:rFonts w:cstheme="minorHAnsi"/>
        </w:rPr>
      </w:pPr>
      <w:r w:rsidRPr="000262A2">
        <w:rPr>
          <w:rFonts w:cstheme="minorHAnsi"/>
          <w:b/>
          <w:bCs/>
        </w:rPr>
        <w:t>Securities lending</w:t>
      </w:r>
      <w:r w:rsidRPr="000262A2">
        <w:rPr>
          <w:rFonts w:cstheme="minorHAnsi"/>
        </w:rPr>
        <w:t xml:space="preserve">, </w:t>
      </w:r>
      <w:r>
        <w:rPr>
          <w:rFonts w:cstheme="minorHAnsi"/>
        </w:rPr>
        <w:t xml:space="preserve">which is essential per </w:t>
      </w:r>
      <w:proofErr w:type="spellStart"/>
      <w:r>
        <w:rPr>
          <w:rFonts w:cstheme="minorHAnsi"/>
        </w:rPr>
        <w:t>sè</w:t>
      </w:r>
      <w:proofErr w:type="spellEnd"/>
      <w:r>
        <w:rPr>
          <w:rFonts w:cstheme="minorHAnsi"/>
        </w:rPr>
        <w:t xml:space="preserve"> and for </w:t>
      </w:r>
      <w:proofErr w:type="spellStart"/>
      <w:r>
        <w:rPr>
          <w:rFonts w:cstheme="minorHAnsi"/>
        </w:rPr>
        <w:t>for</w:t>
      </w:r>
      <w:proofErr w:type="spellEnd"/>
      <w:r>
        <w:rPr>
          <w:rFonts w:cstheme="minorHAnsi"/>
        </w:rPr>
        <w:t xml:space="preserve"> </w:t>
      </w:r>
      <w:r w:rsidRPr="000262A2">
        <w:rPr>
          <w:rFonts w:cstheme="minorHAnsi"/>
        </w:rPr>
        <w:t>market making</w:t>
      </w:r>
      <w:r>
        <w:rPr>
          <w:rFonts w:cstheme="minorHAnsi"/>
        </w:rPr>
        <w:t xml:space="preserve"> </w:t>
      </w:r>
      <w:r w:rsidRPr="000262A2">
        <w:rPr>
          <w:rFonts w:cstheme="minorHAnsi"/>
        </w:rPr>
        <w:t>and hedging)</w:t>
      </w:r>
      <w:r>
        <w:rPr>
          <w:rFonts w:cstheme="minorHAnsi"/>
        </w:rPr>
        <w:t xml:space="preserve">. It </w:t>
      </w:r>
      <w:r w:rsidRPr="000262A2">
        <w:rPr>
          <w:rFonts w:cstheme="minorHAnsi"/>
        </w:rPr>
        <w:t>represents an important market mechanism to ease trade settlement through so-called “</w:t>
      </w:r>
      <w:r w:rsidRPr="000262A2">
        <w:rPr>
          <w:rFonts w:cstheme="minorHAnsi"/>
          <w:i/>
          <w:iCs/>
        </w:rPr>
        <w:t>fails coverage programmes</w:t>
      </w:r>
      <w:r w:rsidRPr="000262A2">
        <w:rPr>
          <w:rFonts w:cstheme="minorHAnsi"/>
        </w:rPr>
        <w:t xml:space="preserve">”. Based on feedback from our members, despite the availability of some automated tools, a lot of securities lending is </w:t>
      </w:r>
      <w:r>
        <w:rPr>
          <w:rFonts w:cstheme="minorHAnsi"/>
        </w:rPr>
        <w:t xml:space="preserve">still </w:t>
      </w:r>
      <w:r w:rsidRPr="00AA326C">
        <w:rPr>
          <w:rFonts w:cstheme="minorHAnsi"/>
        </w:rPr>
        <w:t xml:space="preserve">unfortunately executed and instructed in a </w:t>
      </w:r>
      <w:r w:rsidRPr="0027001A">
        <w:rPr>
          <w:rFonts w:cstheme="minorHAnsi"/>
          <w:u w:val="single"/>
        </w:rPr>
        <w:t>non</w:t>
      </w:r>
      <w:r>
        <w:rPr>
          <w:rFonts w:cstheme="minorHAnsi"/>
          <w:u w:val="single"/>
        </w:rPr>
        <w:t>-</w:t>
      </w:r>
      <w:r w:rsidRPr="0027001A">
        <w:rPr>
          <w:rFonts w:cstheme="minorHAnsi"/>
          <w:u w:val="single"/>
        </w:rPr>
        <w:t>STP</w:t>
      </w:r>
      <w:r w:rsidRPr="00AA326C">
        <w:rPr>
          <w:rFonts w:cstheme="minorHAnsi"/>
        </w:rPr>
        <w:t xml:space="preserve"> process</w:t>
      </w:r>
      <w:r w:rsidRPr="000262A2">
        <w:rPr>
          <w:rFonts w:cstheme="minorHAnsi"/>
        </w:rPr>
        <w:t xml:space="preserve">. Hence, </w:t>
      </w:r>
      <w:r w:rsidRPr="000262A2">
        <w:rPr>
          <w:rFonts w:cstheme="minorHAnsi"/>
          <w:b/>
          <w:bCs/>
        </w:rPr>
        <w:t>the compressed timeframe</w:t>
      </w:r>
      <w:r w:rsidRPr="000262A2">
        <w:rPr>
          <w:rFonts w:cstheme="minorHAnsi"/>
        </w:rPr>
        <w:t xml:space="preserve"> associated to the (potential) migration to T+1 will substantially shorten the time available to identify and cover short positions and, as a consequence, </w:t>
      </w:r>
      <w:r w:rsidRPr="000262A2">
        <w:rPr>
          <w:rFonts w:cstheme="minorHAnsi"/>
          <w:b/>
          <w:bCs/>
        </w:rPr>
        <w:t>could result in</w:t>
      </w:r>
      <w:r w:rsidRPr="000262A2">
        <w:rPr>
          <w:rFonts w:cstheme="minorHAnsi"/>
        </w:rPr>
        <w:t xml:space="preserve"> </w:t>
      </w:r>
      <w:proofErr w:type="spellStart"/>
      <w:r w:rsidRPr="000262A2">
        <w:rPr>
          <w:rFonts w:cstheme="minorHAnsi"/>
          <w:b/>
          <w:bCs/>
        </w:rPr>
        <w:t>i</w:t>
      </w:r>
      <w:proofErr w:type="spellEnd"/>
      <w:r w:rsidRPr="000262A2">
        <w:rPr>
          <w:rFonts w:cstheme="minorHAnsi"/>
          <w:b/>
          <w:bCs/>
        </w:rPr>
        <w:t xml:space="preserve">) </w:t>
      </w:r>
      <w:r w:rsidRPr="000262A2">
        <w:rPr>
          <w:rFonts w:cstheme="minorHAnsi"/>
        </w:rPr>
        <w:t xml:space="preserve">an increase in settlement fails and </w:t>
      </w:r>
      <w:r>
        <w:rPr>
          <w:rFonts w:cstheme="minorHAnsi"/>
        </w:rPr>
        <w:t xml:space="preserve">a potential increase of </w:t>
      </w:r>
      <w:r w:rsidRPr="000262A2">
        <w:rPr>
          <w:rFonts w:cstheme="minorHAnsi"/>
        </w:rPr>
        <w:t xml:space="preserve">cash penalties (all other things being equal) and </w:t>
      </w:r>
      <w:r w:rsidRPr="000262A2">
        <w:rPr>
          <w:rFonts w:cstheme="minorHAnsi"/>
          <w:b/>
          <w:bCs/>
        </w:rPr>
        <w:t>ii)</w:t>
      </w:r>
      <w:r w:rsidRPr="000262A2">
        <w:rPr>
          <w:rFonts w:cstheme="minorHAnsi"/>
        </w:rPr>
        <w:t xml:space="preserve"> in the longer term, in a behavioural change with a related reduction of liquidity from the market;</w:t>
      </w:r>
    </w:p>
    <w:p w14:paraId="5CEF10DC" w14:textId="77777777" w:rsidR="00C76D62" w:rsidRPr="00F1194B" w:rsidRDefault="00C76D62" w:rsidP="00C76D62">
      <w:pPr>
        <w:numPr>
          <w:ilvl w:val="1"/>
          <w:numId w:val="16"/>
        </w:numPr>
        <w:spacing w:after="160" w:line="259" w:lineRule="auto"/>
        <w:rPr>
          <w:rFonts w:cstheme="minorHAnsi"/>
          <w:b/>
          <w:bCs/>
        </w:rPr>
      </w:pPr>
      <w:r w:rsidRPr="00F1194B">
        <w:rPr>
          <w:rFonts w:cstheme="minorHAnsi"/>
          <w:b/>
          <w:bCs/>
        </w:rPr>
        <w:t>holding of securities across multiple CSDs</w:t>
      </w:r>
      <w:r w:rsidRPr="00F1194B">
        <w:rPr>
          <w:rFonts w:cstheme="minorHAnsi"/>
        </w:rPr>
        <w:t xml:space="preserve">, on which it is fair to presume the need of more frequent realignments by Participants in a shorter time frame </w:t>
      </w:r>
      <w:proofErr w:type="gramStart"/>
      <w:r>
        <w:rPr>
          <w:rFonts w:cstheme="minorHAnsi"/>
        </w:rPr>
        <w:t xml:space="preserve">in order </w:t>
      </w:r>
      <w:r w:rsidRPr="00F1194B">
        <w:rPr>
          <w:rFonts w:cstheme="minorHAnsi"/>
        </w:rPr>
        <w:t>to</w:t>
      </w:r>
      <w:proofErr w:type="gramEnd"/>
      <w:r w:rsidRPr="00F1194B">
        <w:rPr>
          <w:rFonts w:cstheme="minorHAnsi"/>
        </w:rPr>
        <w:t xml:space="preserve"> ensure a punctual visibility of securities’ location. In this context, Participants would be under the pressure to further optimize process(es) for the securities’ inventories management, essential to ensure a </w:t>
      </w:r>
      <w:r w:rsidRPr="00F1194B">
        <w:rPr>
          <w:rFonts w:cstheme="minorHAnsi"/>
          <w:b/>
          <w:bCs/>
        </w:rPr>
        <w:t>timely delivery of securities</w:t>
      </w:r>
      <w:r w:rsidRPr="0027001A">
        <w:rPr>
          <w:rFonts w:cstheme="minorHAnsi"/>
        </w:rPr>
        <w:t xml:space="preserve">. </w:t>
      </w:r>
      <w:r>
        <w:rPr>
          <w:rFonts w:cstheme="minorHAnsi"/>
        </w:rPr>
        <w:t>More in detail, t</w:t>
      </w:r>
      <w:r w:rsidRPr="0027001A">
        <w:rPr>
          <w:rFonts w:cstheme="minorHAnsi"/>
          <w:lang w:val="en-US"/>
        </w:rPr>
        <w:t xml:space="preserve">o facilitate settlement, </w:t>
      </w:r>
      <w:r>
        <w:rPr>
          <w:rFonts w:cstheme="minorHAnsi"/>
          <w:lang w:val="en-US"/>
        </w:rPr>
        <w:t xml:space="preserve">any </w:t>
      </w:r>
      <w:r w:rsidRPr="0027001A">
        <w:rPr>
          <w:rFonts w:cstheme="minorHAnsi"/>
          <w:lang w:val="en-US"/>
        </w:rPr>
        <w:t>relevant securit</w:t>
      </w:r>
      <w:r>
        <w:rPr>
          <w:rFonts w:cstheme="minorHAnsi"/>
          <w:lang w:val="en-US"/>
        </w:rPr>
        <w:t>y</w:t>
      </w:r>
      <w:r w:rsidRPr="0027001A">
        <w:rPr>
          <w:rFonts w:cstheme="minorHAnsi"/>
          <w:lang w:val="en-US"/>
        </w:rPr>
        <w:t xml:space="preserve"> must be available for delivery in the correct CSD account. </w:t>
      </w:r>
      <w:r>
        <w:rPr>
          <w:rFonts w:cstheme="minorHAnsi"/>
          <w:lang w:val="en-US"/>
        </w:rPr>
        <w:t>As s</w:t>
      </w:r>
      <w:r w:rsidRPr="0027001A">
        <w:rPr>
          <w:rFonts w:cstheme="minorHAnsi"/>
          <w:lang w:val="en-US"/>
        </w:rPr>
        <w:t>ecurities</w:t>
      </w:r>
      <w:r>
        <w:rPr>
          <w:rFonts w:cstheme="minorHAnsi"/>
          <w:lang w:val="en-US"/>
        </w:rPr>
        <w:t>’</w:t>
      </w:r>
      <w:r w:rsidRPr="0027001A">
        <w:rPr>
          <w:rFonts w:cstheme="minorHAnsi"/>
          <w:lang w:val="en-US"/>
        </w:rPr>
        <w:t xml:space="preserve"> positions can be held across multiple CSDs</w:t>
      </w:r>
      <w:r>
        <w:rPr>
          <w:rFonts w:cstheme="minorHAnsi"/>
          <w:lang w:val="en-US"/>
        </w:rPr>
        <w:t>, there m</w:t>
      </w:r>
      <w:r w:rsidRPr="0027001A">
        <w:rPr>
          <w:rFonts w:cstheme="minorHAnsi"/>
          <w:lang w:val="en-US"/>
        </w:rPr>
        <w:t xml:space="preserve">ay need to be </w:t>
      </w:r>
      <w:r>
        <w:rPr>
          <w:rFonts w:cstheme="minorHAnsi"/>
          <w:lang w:val="en-US"/>
        </w:rPr>
        <w:t xml:space="preserve">a </w:t>
      </w:r>
      <w:r w:rsidRPr="0027001A">
        <w:rPr>
          <w:rFonts w:cstheme="minorHAnsi"/>
          <w:lang w:val="en-US"/>
        </w:rPr>
        <w:t>realign</w:t>
      </w:r>
      <w:r>
        <w:rPr>
          <w:rFonts w:cstheme="minorHAnsi"/>
          <w:lang w:val="en-US"/>
        </w:rPr>
        <w:t>m</w:t>
      </w:r>
      <w:r w:rsidRPr="0027001A">
        <w:rPr>
          <w:rFonts w:cstheme="minorHAnsi"/>
          <w:lang w:val="en-US"/>
        </w:rPr>
        <w:t>e</w:t>
      </w:r>
      <w:r>
        <w:rPr>
          <w:rFonts w:cstheme="minorHAnsi"/>
          <w:lang w:val="en-US"/>
        </w:rPr>
        <w:t>nt</w:t>
      </w:r>
      <w:r w:rsidRPr="0027001A">
        <w:rPr>
          <w:rFonts w:cstheme="minorHAnsi"/>
          <w:lang w:val="en-US"/>
        </w:rPr>
        <w:t>. Realignment transaction</w:t>
      </w:r>
      <w:r>
        <w:rPr>
          <w:rFonts w:cstheme="minorHAnsi"/>
          <w:lang w:val="en-US"/>
        </w:rPr>
        <w:t>s</w:t>
      </w:r>
      <w:r w:rsidRPr="0027001A">
        <w:rPr>
          <w:rFonts w:cstheme="minorHAnsi"/>
          <w:lang w:val="en-US"/>
        </w:rPr>
        <w:t xml:space="preserve"> </w:t>
      </w:r>
      <w:r>
        <w:rPr>
          <w:rFonts w:cstheme="minorHAnsi"/>
          <w:lang w:val="en-US"/>
        </w:rPr>
        <w:t xml:space="preserve">become </w:t>
      </w:r>
      <w:r w:rsidRPr="0027001A">
        <w:rPr>
          <w:rFonts w:cstheme="minorHAnsi"/>
          <w:lang w:val="en-US"/>
        </w:rPr>
        <w:t xml:space="preserve">critical </w:t>
      </w:r>
      <w:r>
        <w:rPr>
          <w:rFonts w:cstheme="minorHAnsi"/>
          <w:lang w:val="en-US"/>
        </w:rPr>
        <w:t xml:space="preserve">under a </w:t>
      </w:r>
      <w:r w:rsidRPr="0027001A">
        <w:rPr>
          <w:rFonts w:cstheme="minorHAnsi"/>
          <w:lang w:val="en-US"/>
        </w:rPr>
        <w:t xml:space="preserve">compressed timeframe </w:t>
      </w:r>
      <w:r>
        <w:rPr>
          <w:rFonts w:cstheme="minorHAnsi"/>
          <w:lang w:val="en-US"/>
        </w:rPr>
        <w:t>and</w:t>
      </w:r>
      <w:r w:rsidRPr="0027001A">
        <w:rPr>
          <w:rFonts w:cstheme="minorHAnsi"/>
          <w:lang w:val="en-US"/>
        </w:rPr>
        <w:t xml:space="preserve"> </w:t>
      </w:r>
      <w:r>
        <w:rPr>
          <w:rFonts w:cstheme="minorHAnsi"/>
          <w:lang w:val="en-US"/>
        </w:rPr>
        <w:t>m</w:t>
      </w:r>
      <w:r w:rsidRPr="0027001A">
        <w:rPr>
          <w:rFonts w:cstheme="minorHAnsi"/>
          <w:lang w:val="en-US"/>
        </w:rPr>
        <w:t>arket participants will need to improve data enrichment process (i.e. PSET, parties validation</w:t>
      </w:r>
      <w:r>
        <w:rPr>
          <w:rFonts w:cstheme="minorHAnsi"/>
          <w:lang w:val="en-US"/>
        </w:rPr>
        <w:t>,</w:t>
      </w:r>
      <w:r w:rsidRPr="0027001A">
        <w:rPr>
          <w:rFonts w:cstheme="minorHAnsi"/>
          <w:lang w:val="en-US"/>
        </w:rPr>
        <w:t xml:space="preserve"> increase on parties level</w:t>
      </w:r>
      <w:r>
        <w:rPr>
          <w:rFonts w:cstheme="minorHAnsi"/>
          <w:lang w:val="en-US"/>
        </w:rPr>
        <w:t>,</w:t>
      </w:r>
      <w:r w:rsidRPr="0027001A">
        <w:rPr>
          <w:rFonts w:cstheme="minorHAnsi"/>
          <w:lang w:val="en-US"/>
        </w:rPr>
        <w:t xml:space="preserve"> </w:t>
      </w:r>
      <w:proofErr w:type="spellStart"/>
      <w:proofErr w:type="gramStart"/>
      <w:r w:rsidRPr="0027001A">
        <w:rPr>
          <w:rFonts w:cstheme="minorHAnsi"/>
          <w:lang w:val="en-US"/>
        </w:rPr>
        <w:t>etc</w:t>
      </w:r>
      <w:proofErr w:type="spellEnd"/>
      <w:r w:rsidRPr="0027001A">
        <w:rPr>
          <w:rFonts w:cstheme="minorHAnsi"/>
          <w:lang w:val="en-US"/>
        </w:rPr>
        <w:t xml:space="preserve"> )</w:t>
      </w:r>
      <w:proofErr w:type="gramEnd"/>
      <w:r>
        <w:rPr>
          <w:rFonts w:cstheme="minorHAnsi"/>
          <w:lang w:val="en-US"/>
        </w:rPr>
        <w:t xml:space="preserve"> </w:t>
      </w:r>
      <w:r w:rsidRPr="007C54BE">
        <w:rPr>
          <w:rFonts w:cstheme="minorHAnsi"/>
          <w:lang w:val="en-US"/>
        </w:rPr>
        <w:t>to be able to cope with it</w:t>
      </w:r>
      <w:r w:rsidRPr="0027001A">
        <w:rPr>
          <w:rFonts w:cstheme="minorHAnsi"/>
          <w:lang w:val="en-US"/>
        </w:rPr>
        <w:t>. Additionally</w:t>
      </w:r>
      <w:r>
        <w:rPr>
          <w:rFonts w:cstheme="minorHAnsi"/>
          <w:lang w:val="en-US"/>
        </w:rPr>
        <w:t>,</w:t>
      </w:r>
      <w:r w:rsidRPr="0027001A">
        <w:rPr>
          <w:rFonts w:cstheme="minorHAnsi"/>
          <w:lang w:val="en-US"/>
        </w:rPr>
        <w:t xml:space="preserve"> specific bookings – such as </w:t>
      </w:r>
      <w:r>
        <w:rPr>
          <w:rFonts w:cstheme="minorHAnsi"/>
          <w:lang w:val="en-US"/>
        </w:rPr>
        <w:t>‘</w:t>
      </w:r>
      <w:r w:rsidRPr="0027001A">
        <w:rPr>
          <w:rFonts w:cstheme="minorHAnsi"/>
          <w:lang w:val="en-US"/>
        </w:rPr>
        <w:t>recalls</w:t>
      </w:r>
      <w:r>
        <w:rPr>
          <w:rFonts w:cstheme="minorHAnsi"/>
          <w:lang w:val="en-US"/>
        </w:rPr>
        <w:t>’</w:t>
      </w:r>
      <w:r w:rsidRPr="0027001A">
        <w:rPr>
          <w:rFonts w:cstheme="minorHAnsi"/>
          <w:lang w:val="en-US"/>
        </w:rPr>
        <w:t xml:space="preserve"> or </w:t>
      </w:r>
      <w:r>
        <w:rPr>
          <w:rFonts w:cstheme="minorHAnsi"/>
          <w:lang w:val="en-US"/>
        </w:rPr>
        <w:t>‘</w:t>
      </w:r>
      <w:r w:rsidRPr="0027001A">
        <w:rPr>
          <w:rFonts w:cstheme="minorHAnsi"/>
          <w:lang w:val="en-US"/>
        </w:rPr>
        <w:t>realignments</w:t>
      </w:r>
      <w:r>
        <w:rPr>
          <w:rFonts w:cstheme="minorHAnsi"/>
          <w:lang w:val="en-US"/>
        </w:rPr>
        <w:t>’</w:t>
      </w:r>
      <w:r w:rsidRPr="0027001A">
        <w:rPr>
          <w:rFonts w:cstheme="minorHAnsi"/>
          <w:lang w:val="en-US"/>
        </w:rPr>
        <w:t xml:space="preserve"> – are to be full filled in sufficient time to avoid impeding settlement of the underlying transaction. </w:t>
      </w:r>
    </w:p>
    <w:p w14:paraId="5A66B0F8" w14:textId="77777777" w:rsidR="00C76D62" w:rsidRPr="000262A2" w:rsidRDefault="00C76D62" w:rsidP="00C76D62">
      <w:pPr>
        <w:numPr>
          <w:ilvl w:val="0"/>
          <w:numId w:val="19"/>
        </w:numPr>
        <w:spacing w:after="160" w:line="259" w:lineRule="auto"/>
        <w:rPr>
          <w:rFonts w:cstheme="minorHAnsi"/>
        </w:rPr>
      </w:pPr>
      <w:r w:rsidRPr="000262A2">
        <w:rPr>
          <w:rFonts w:cstheme="minorHAnsi"/>
          <w:b/>
          <w:bCs/>
        </w:rPr>
        <w:lastRenderedPageBreak/>
        <w:t>Positioning of cash</w:t>
      </w:r>
      <w:r w:rsidRPr="000262A2">
        <w:rPr>
          <w:rFonts w:cstheme="minorHAnsi"/>
        </w:rPr>
        <w:t xml:space="preserve"> by a buyer </w:t>
      </w:r>
      <w:r w:rsidRPr="000262A2">
        <w:rPr>
          <w:rFonts w:cstheme="minorHAnsi"/>
          <w:b/>
          <w:bCs/>
        </w:rPr>
        <w:t>in the correct currency</w:t>
      </w:r>
      <w:r w:rsidRPr="000262A2">
        <w:rPr>
          <w:rFonts w:cstheme="minorHAnsi"/>
        </w:rPr>
        <w:t xml:space="preserve">, particularly important for large cross-currency transactions. In the context of a potential shortening of the SSC to T+1, </w:t>
      </w:r>
      <w:r w:rsidRPr="00FD78AB">
        <w:rPr>
          <w:rFonts w:cstheme="minorHAnsi"/>
        </w:rPr>
        <w:t xml:space="preserve">foreign currencies </w:t>
      </w:r>
      <w:r>
        <w:rPr>
          <w:rFonts w:cstheme="minorHAnsi"/>
        </w:rPr>
        <w:t>(</w:t>
      </w:r>
      <w:r w:rsidRPr="000262A2">
        <w:rPr>
          <w:rFonts w:cstheme="minorHAnsi"/>
        </w:rPr>
        <w:t>FX</w:t>
      </w:r>
      <w:r>
        <w:rPr>
          <w:rFonts w:cstheme="minorHAnsi"/>
        </w:rPr>
        <w:t>)</w:t>
      </w:r>
      <w:r w:rsidRPr="000262A2">
        <w:rPr>
          <w:rFonts w:cstheme="minorHAnsi"/>
        </w:rPr>
        <w:t xml:space="preserve"> trades would have to be either booked on the very same date (transaction by transaction, and so no longer at the </w:t>
      </w:r>
      <w:r>
        <w:rPr>
          <w:rFonts w:cstheme="minorHAnsi"/>
        </w:rPr>
        <w:t xml:space="preserve">end of day - </w:t>
      </w:r>
      <w:r w:rsidRPr="000262A2">
        <w:rPr>
          <w:rFonts w:cstheme="minorHAnsi"/>
        </w:rPr>
        <w:t xml:space="preserve">EOD </w:t>
      </w:r>
      <w:r>
        <w:rPr>
          <w:rFonts w:cstheme="minorHAnsi"/>
        </w:rPr>
        <w:t xml:space="preserve">- </w:t>
      </w:r>
      <w:r w:rsidRPr="000262A2">
        <w:rPr>
          <w:rFonts w:cstheme="minorHAnsi"/>
        </w:rPr>
        <w:t>net basis) or be pre-funded, which would require the parties to confirm the transaction in T+0. Hence, the reduced time frame available to access liquidity in FX markets would lead</w:t>
      </w:r>
      <w:r>
        <w:rPr>
          <w:rFonts w:cstheme="minorHAnsi"/>
        </w:rPr>
        <w:t xml:space="preserve"> </w:t>
      </w:r>
      <w:proofErr w:type="gramStart"/>
      <w:r>
        <w:rPr>
          <w:rFonts w:cstheme="minorHAnsi"/>
        </w:rPr>
        <w:t>to:</w:t>
      </w:r>
      <w:proofErr w:type="gramEnd"/>
      <w:r w:rsidRPr="000262A2">
        <w:rPr>
          <w:rFonts w:cstheme="minorHAnsi"/>
        </w:rPr>
        <w:t xml:space="preserve"> </w:t>
      </w:r>
      <w:proofErr w:type="spellStart"/>
      <w:r w:rsidRPr="000262A2">
        <w:rPr>
          <w:rFonts w:cstheme="minorHAnsi"/>
          <w:b/>
          <w:bCs/>
        </w:rPr>
        <w:t>i</w:t>
      </w:r>
      <w:proofErr w:type="spellEnd"/>
      <w:r w:rsidRPr="000262A2">
        <w:rPr>
          <w:rFonts w:cstheme="minorHAnsi"/>
          <w:b/>
          <w:bCs/>
        </w:rPr>
        <w:t xml:space="preserve">) </w:t>
      </w:r>
      <w:r w:rsidRPr="000262A2">
        <w:rPr>
          <w:rFonts w:cstheme="minorHAnsi"/>
        </w:rPr>
        <w:t xml:space="preserve">higher costs to settle FX transactions and </w:t>
      </w:r>
      <w:r w:rsidRPr="000262A2">
        <w:rPr>
          <w:rFonts w:cstheme="minorHAnsi"/>
          <w:b/>
          <w:bCs/>
        </w:rPr>
        <w:t xml:space="preserve">ii) </w:t>
      </w:r>
      <w:r w:rsidRPr="000262A2">
        <w:rPr>
          <w:rFonts w:cstheme="minorHAnsi"/>
        </w:rPr>
        <w:t xml:space="preserve">a decrease in the volume of FX transactions settled payment vs payment (PVP) through the </w:t>
      </w:r>
      <w:r>
        <w:rPr>
          <w:rFonts w:cstheme="minorHAnsi"/>
        </w:rPr>
        <w:t>Continuous Linked Settlement (</w:t>
      </w:r>
      <w:r w:rsidRPr="00931BBD">
        <w:rPr>
          <w:rFonts w:cstheme="minorHAnsi"/>
        </w:rPr>
        <w:t>CLS</w:t>
      </w:r>
      <w:r>
        <w:rPr>
          <w:rFonts w:cstheme="minorHAnsi"/>
        </w:rPr>
        <w:t>)</w:t>
      </w:r>
      <w:r w:rsidRPr="000262A2">
        <w:rPr>
          <w:rFonts w:cstheme="minorHAnsi"/>
        </w:rPr>
        <w:t xml:space="preserve"> platform</w:t>
      </w:r>
      <w:r>
        <w:rPr>
          <w:rStyle w:val="Rimandonotaapidipagina"/>
          <w:rFonts w:cstheme="minorHAnsi"/>
        </w:rPr>
        <w:footnoteReference w:id="3"/>
      </w:r>
      <w:r w:rsidRPr="000262A2">
        <w:rPr>
          <w:rFonts w:cstheme="minorHAnsi"/>
        </w:rPr>
        <w:t xml:space="preserve"> in those cases where instructions are not entered prior to the CLS cut-off, </w:t>
      </w:r>
      <w:r w:rsidRPr="000262A2">
        <w:rPr>
          <w:rFonts w:cstheme="minorHAnsi"/>
          <w:b/>
          <w:bCs/>
        </w:rPr>
        <w:t xml:space="preserve">iii) </w:t>
      </w:r>
      <w:r w:rsidRPr="000262A2">
        <w:rPr>
          <w:rFonts w:cstheme="minorHAnsi"/>
        </w:rPr>
        <w:t>the increase of settlement risk in FX transaction as a whole;</w:t>
      </w:r>
    </w:p>
    <w:p w14:paraId="30A00D43" w14:textId="77777777" w:rsidR="00C76D62" w:rsidRPr="00804A7B" w:rsidRDefault="00C76D62" w:rsidP="00C76D62">
      <w:pPr>
        <w:numPr>
          <w:ilvl w:val="0"/>
          <w:numId w:val="19"/>
        </w:numPr>
        <w:spacing w:after="160" w:line="259" w:lineRule="auto"/>
        <w:rPr>
          <w:rFonts w:cstheme="minorHAnsi"/>
        </w:rPr>
      </w:pPr>
      <w:r w:rsidRPr="000262A2">
        <w:rPr>
          <w:rFonts w:cstheme="minorHAnsi"/>
          <w:b/>
          <w:bCs/>
        </w:rPr>
        <w:t>Management of Corporate Actions (CAs)</w:t>
      </w:r>
      <w:r w:rsidRPr="000262A2">
        <w:rPr>
          <w:rFonts w:cstheme="minorHAnsi"/>
        </w:rPr>
        <w:t xml:space="preserve">. </w:t>
      </w:r>
      <w:r w:rsidRPr="000262A2">
        <w:rPr>
          <w:rFonts w:cstheme="minorHAnsi"/>
          <w:lang w:val="en-US"/>
        </w:rPr>
        <w:t xml:space="preserve">Key dates and market practices on CAs will have to be re-assessed and reviewed where appropriate (despite the current not full compliance in the Union notwithstanding T+2). More in detail, in the context of a shorter SSC, the </w:t>
      </w:r>
      <w:r w:rsidRPr="000262A2">
        <w:rPr>
          <w:rFonts w:cstheme="minorHAnsi"/>
          <w:b/>
          <w:bCs/>
          <w:lang w:val="en-US"/>
        </w:rPr>
        <w:t>Ex-Date</w:t>
      </w:r>
      <w:r w:rsidRPr="000262A2">
        <w:rPr>
          <w:rFonts w:cstheme="minorHAnsi"/>
          <w:b/>
          <w:bCs/>
          <w:vertAlign w:val="superscript"/>
          <w:lang w:val="en-US"/>
        </w:rPr>
        <w:footnoteReference w:id="4"/>
      </w:r>
      <w:r w:rsidRPr="000262A2">
        <w:rPr>
          <w:rFonts w:cstheme="minorHAnsi"/>
          <w:b/>
          <w:bCs/>
          <w:lang w:val="en-US"/>
        </w:rPr>
        <w:t xml:space="preserve"> would overlap and coincide with the Record-Date</w:t>
      </w:r>
      <w:r w:rsidRPr="000262A2">
        <w:rPr>
          <w:rFonts w:cstheme="minorHAnsi"/>
          <w:b/>
          <w:bCs/>
          <w:vertAlign w:val="superscript"/>
          <w:lang w:val="en-US"/>
        </w:rPr>
        <w:footnoteReference w:id="5"/>
      </w:r>
      <w:r w:rsidRPr="000262A2">
        <w:rPr>
          <w:rFonts w:cstheme="minorHAnsi"/>
          <w:lang w:val="en-US"/>
        </w:rPr>
        <w:t>, hence making it more likely for “Reverse Market Claims” to occur</w:t>
      </w:r>
      <w:r w:rsidRPr="000262A2">
        <w:rPr>
          <w:rFonts w:cstheme="minorHAnsi"/>
          <w:vertAlign w:val="superscript"/>
          <w:lang w:val="en-US"/>
        </w:rPr>
        <w:footnoteReference w:id="6"/>
      </w:r>
      <w:r w:rsidRPr="000262A2">
        <w:rPr>
          <w:rFonts w:cstheme="minorHAnsi"/>
          <w:lang w:val="en-US"/>
        </w:rPr>
        <w:t>, which require a specific management.</w:t>
      </w:r>
    </w:p>
    <w:p w14:paraId="07297DCA" w14:textId="77777777" w:rsidR="00C76D62" w:rsidRPr="00920F76" w:rsidRDefault="00C76D62" w:rsidP="00C76D62">
      <w:pPr>
        <w:numPr>
          <w:ilvl w:val="0"/>
          <w:numId w:val="19"/>
        </w:numPr>
        <w:spacing w:line="259" w:lineRule="auto"/>
        <w:rPr>
          <w:rFonts w:eastAsia="MS PGothic" w:cstheme="minorHAnsi"/>
          <w:lang w:val="en-US"/>
        </w:rPr>
      </w:pPr>
      <w:r w:rsidRPr="00920F76">
        <w:rPr>
          <w:rFonts w:cstheme="minorHAnsi"/>
          <w:b/>
          <w:bCs/>
        </w:rPr>
        <w:t xml:space="preserve">Product-specific considerations. </w:t>
      </w:r>
      <w:r w:rsidRPr="00920F76">
        <w:rPr>
          <w:rFonts w:eastAsia="MS PGothic" w:cstheme="minorHAnsi"/>
          <w:lang w:val="en-US"/>
        </w:rPr>
        <w:t xml:space="preserve">The impact of a shorter SSC will be, </w:t>
      </w:r>
      <w:proofErr w:type="gramStart"/>
      <w:r w:rsidRPr="00920F76">
        <w:rPr>
          <w:rFonts w:eastAsia="MS PGothic" w:cstheme="minorHAnsi"/>
          <w:lang w:val="en-US"/>
        </w:rPr>
        <w:t>in all likelihood</w:t>
      </w:r>
      <w:proofErr w:type="gramEnd"/>
      <w:r w:rsidRPr="00920F76">
        <w:rPr>
          <w:rFonts w:eastAsia="MS PGothic" w:cstheme="minorHAnsi"/>
          <w:lang w:val="en-US"/>
        </w:rPr>
        <w:t xml:space="preserve">, asymmetrical as some asset classes will be affected to a more material extent than other ones. This is the case ETFs securities-based derivatives. </w:t>
      </w:r>
    </w:p>
    <w:p w14:paraId="5DCB5592" w14:textId="77777777" w:rsidR="00C76D62" w:rsidRPr="00DB762F" w:rsidRDefault="00C76D62" w:rsidP="00C76D62">
      <w:pPr>
        <w:ind w:left="720"/>
        <w:rPr>
          <w:rFonts w:eastAsia="MS PGothic"/>
          <w:lang w:val="en-US"/>
        </w:rPr>
      </w:pPr>
      <w:r w:rsidRPr="004F0839">
        <w:rPr>
          <w:rFonts w:eastAsia="MS PGothic"/>
          <w:lang w:val="en-US"/>
        </w:rPr>
        <w:t xml:space="preserve">As it regards </w:t>
      </w:r>
      <w:r w:rsidRPr="00DB762F">
        <w:rPr>
          <w:rFonts w:eastAsia="MS PGothic"/>
          <w:lang w:val="en-US"/>
        </w:rPr>
        <w:t xml:space="preserve">ETFs, partly </w:t>
      </w:r>
      <w:proofErr w:type="gramStart"/>
      <w:r w:rsidRPr="00DB762F">
        <w:rPr>
          <w:rFonts w:eastAsia="MS PGothic"/>
          <w:lang w:val="en-US"/>
        </w:rPr>
        <w:t>as a consequence of</w:t>
      </w:r>
      <w:proofErr w:type="gramEnd"/>
      <w:r w:rsidRPr="00DB762F">
        <w:rPr>
          <w:rFonts w:eastAsia="MS PGothic"/>
          <w:lang w:val="en-US"/>
        </w:rPr>
        <w:t xml:space="preserve"> </w:t>
      </w:r>
      <w:r w:rsidRPr="00DB762F">
        <w:rPr>
          <w:rFonts w:eastAsia="MS PGothic"/>
          <w:b/>
          <w:lang w:val="en-US"/>
        </w:rPr>
        <w:t xml:space="preserve">a) </w:t>
      </w:r>
      <w:r w:rsidRPr="00DB762F">
        <w:rPr>
          <w:rFonts w:eastAsia="MS PGothic"/>
          <w:lang w:val="en-US"/>
        </w:rPr>
        <w:t xml:space="preserve">the global composition of many ETFs (which include underlying securities from a plurality of jurisdictions) and of </w:t>
      </w:r>
      <w:r w:rsidRPr="00DB762F">
        <w:rPr>
          <w:rFonts w:eastAsia="MS PGothic"/>
          <w:b/>
          <w:lang w:val="en-US"/>
        </w:rPr>
        <w:t>b)</w:t>
      </w:r>
      <w:r w:rsidRPr="00DB762F">
        <w:rPr>
          <w:rFonts w:eastAsia="MS PGothic"/>
          <w:lang w:val="en-US"/>
        </w:rPr>
        <w:t xml:space="preserve"> the misalignment between the primary market (creation-redemption required by authorized participants) and the secondary market, it is acknowledged that </w:t>
      </w:r>
      <w:r w:rsidRPr="00DB762F">
        <w:rPr>
          <w:rFonts w:eastAsia="MS PGothic"/>
          <w:b/>
          <w:lang w:val="en-US"/>
        </w:rPr>
        <w:t xml:space="preserve">ETFs are characterized by settlement rates which fall below market averages. </w:t>
      </w:r>
      <w:r w:rsidRPr="00DB762F">
        <w:rPr>
          <w:rFonts w:eastAsia="MS PGothic"/>
          <w:lang w:val="en-US"/>
        </w:rPr>
        <w:t xml:space="preserve">Since settlement of newly created units is conditional upon the settlement of the underlying constituents, this leads </w:t>
      </w:r>
      <w:proofErr w:type="gramStart"/>
      <w:r w:rsidRPr="00DB762F">
        <w:rPr>
          <w:rFonts w:eastAsia="MS PGothic"/>
          <w:lang w:val="en-US"/>
        </w:rPr>
        <w:t>in</w:t>
      </w:r>
      <w:proofErr w:type="gramEnd"/>
      <w:r w:rsidRPr="00DB762F">
        <w:rPr>
          <w:rFonts w:eastAsia="MS PGothic"/>
          <w:lang w:val="en-US"/>
        </w:rPr>
        <w:t xml:space="preserve"> many occasions to settlement delays in the current T+2 cycle, </w:t>
      </w:r>
      <w:r w:rsidRPr="00DB762F">
        <w:rPr>
          <w:rFonts w:eastAsia="MS PGothic"/>
          <w:lang w:val="en-US"/>
        </w:rPr>
        <w:lastRenderedPageBreak/>
        <w:t>due to a) time zone differences b) market closures-holidays and c) cross-border settlement complexity. Such flaws on the inefficiency of ETFs settlement are likely to worsen in a T+1 scenarios.</w:t>
      </w:r>
    </w:p>
    <w:p w14:paraId="5C9E9BCD" w14:textId="77777777" w:rsidR="00C76D62" w:rsidRPr="00DB762F" w:rsidRDefault="00C76D62" w:rsidP="00C76D62">
      <w:pPr>
        <w:ind w:left="720"/>
        <w:rPr>
          <w:rFonts w:eastAsia="MS PGothic"/>
          <w:lang w:val="en-US"/>
        </w:rPr>
      </w:pPr>
      <w:r w:rsidRPr="004F0839">
        <w:rPr>
          <w:rFonts w:eastAsia="MS PGothic"/>
          <w:lang w:val="en-US"/>
        </w:rPr>
        <w:t>A</w:t>
      </w:r>
      <w:r w:rsidRPr="00DB762F">
        <w:rPr>
          <w:rFonts w:eastAsia="MS PGothic"/>
          <w:lang w:val="en-US"/>
        </w:rPr>
        <w:t xml:space="preserve"> special mention deserves to be made to those “multi-steps” hedge funds, i.e. those hedge funds which typically </w:t>
      </w:r>
      <w:proofErr w:type="spellStart"/>
      <w:r w:rsidRPr="00DB762F">
        <w:rPr>
          <w:rFonts w:eastAsia="MS PGothic"/>
          <w:lang w:val="en-US"/>
        </w:rPr>
        <w:t>i</w:t>
      </w:r>
      <w:proofErr w:type="spellEnd"/>
      <w:r w:rsidRPr="00DB762F">
        <w:rPr>
          <w:rFonts w:eastAsia="MS PGothic"/>
          <w:lang w:val="en-US"/>
        </w:rPr>
        <w:t xml:space="preserve">) pass over huge orders ii) perform the NAV when they receive the execution price and iii) communicate the allocation on each single fund. Currently, these activities are carried out during the “T+1” (during the day which follows T, and prior to the settlement in T+2). This implies that a potential </w:t>
      </w:r>
      <w:r w:rsidRPr="00DB762F">
        <w:rPr>
          <w:rFonts w:eastAsia="MS PGothic"/>
        </w:rPr>
        <w:t>migration to a shorter SSC would force these hedge funds to adopt automatic tools for the allocation and presumably this will have implications down the chain on institutional clients.</w:t>
      </w:r>
    </w:p>
    <w:p w14:paraId="4BCBF88A" w14:textId="77777777" w:rsidR="00C76D62" w:rsidRPr="00DB762F" w:rsidRDefault="00C76D62" w:rsidP="00C76D62">
      <w:pPr>
        <w:ind w:left="720"/>
        <w:rPr>
          <w:rFonts w:eastAsia="MS PGothic"/>
          <w:lang w:val="en-US"/>
        </w:rPr>
      </w:pPr>
      <w:r w:rsidRPr="004F0839">
        <w:rPr>
          <w:rFonts w:eastAsia="MS PGothic"/>
          <w:lang w:val="en-US"/>
        </w:rPr>
        <w:t>Com</w:t>
      </w:r>
      <w:r w:rsidRPr="00DB762F">
        <w:rPr>
          <w:rFonts w:eastAsia="MS PGothic"/>
          <w:lang w:val="en-US"/>
        </w:rPr>
        <w:t xml:space="preserve">ing to </w:t>
      </w:r>
      <w:r w:rsidRPr="00DB762F">
        <w:rPr>
          <w:rFonts w:eastAsia="MS PGothic"/>
          <w:b/>
          <w:lang w:val="en-US"/>
        </w:rPr>
        <w:t xml:space="preserve">securities-based derivatives, </w:t>
      </w:r>
      <w:r w:rsidRPr="00DB762F">
        <w:rPr>
          <w:rFonts w:eastAsia="MS PGothic"/>
          <w:lang w:val="en-US"/>
        </w:rPr>
        <w:t>challenges will be there for those entities seeking synthetic exposure to an underlying security, through a swap arranged with a prime broker. With a view to avoiding the so-called basis risk, it is likely to envisage that such swap contract will also follow a T+1 settlement, consistently to the underlying security. Further assessment would be needed to identify implications on the swap lifecycle, specifically margins calculation and collection.</w:t>
      </w:r>
    </w:p>
    <w:p w14:paraId="1234BECC" w14:textId="77777777" w:rsidR="00C76D62" w:rsidRPr="000262A2" w:rsidRDefault="00C76D62" w:rsidP="00C76D62">
      <w:pPr>
        <w:rPr>
          <w:rFonts w:cstheme="minorHAnsi"/>
        </w:rPr>
      </w:pPr>
      <w:r w:rsidRPr="000262A2">
        <w:rPr>
          <w:rFonts w:cstheme="minorHAnsi"/>
          <w:b/>
          <w:bCs/>
        </w:rPr>
        <w:t>As for the second part of the question</w:t>
      </w:r>
      <w:r w:rsidRPr="000262A2">
        <w:rPr>
          <w:rFonts w:cstheme="minorHAnsi"/>
        </w:rPr>
        <w:t xml:space="preserve"> (i.e. potential </w:t>
      </w:r>
      <w:r w:rsidRPr="000262A2">
        <w:rPr>
          <w:rFonts w:cstheme="minorHAnsi"/>
          <w:b/>
          <w:bCs/>
        </w:rPr>
        <w:t xml:space="preserve">migration to </w:t>
      </w:r>
      <w:r w:rsidRPr="000262A2">
        <w:rPr>
          <w:rFonts w:cstheme="minorHAnsi"/>
          <w:b/>
          <w:bCs/>
          <w:u w:val="single"/>
        </w:rPr>
        <w:t>T+0</w:t>
      </w:r>
      <w:r w:rsidRPr="000262A2">
        <w:rPr>
          <w:rFonts w:cstheme="minorHAnsi"/>
        </w:rPr>
        <w:t xml:space="preserve">), the same considerations as those reported above for T+1 would apply. But further to that, and pragmatically, our members consider it genuinely </w:t>
      </w:r>
      <w:r w:rsidRPr="000262A2">
        <w:rPr>
          <w:rFonts w:cstheme="minorHAnsi"/>
          <w:b/>
          <w:bCs/>
        </w:rPr>
        <w:t>premature to investigate</w:t>
      </w:r>
      <w:r w:rsidRPr="000262A2">
        <w:rPr>
          <w:rFonts w:cstheme="minorHAnsi"/>
        </w:rPr>
        <w:t xml:space="preserve"> now on the potential issues born by a move to T+0, even just for the two following reasons:</w:t>
      </w:r>
    </w:p>
    <w:p w14:paraId="0C884119" w14:textId="77777777" w:rsidR="00C76D62" w:rsidRPr="001412D5" w:rsidRDefault="00C76D62" w:rsidP="00661AD8">
      <w:pPr>
        <w:numPr>
          <w:ilvl w:val="0"/>
          <w:numId w:val="27"/>
        </w:numPr>
        <w:spacing w:after="160" w:line="259" w:lineRule="auto"/>
        <w:rPr>
          <w:lang w:val="en-US"/>
        </w:rPr>
      </w:pPr>
      <w:r w:rsidRPr="001412D5">
        <w:rPr>
          <w:lang w:val="en-US"/>
        </w:rPr>
        <w:t xml:space="preserve">as ESMA stated under paragraph 17 “it seems that the level of readiness (in the Union) for a settlement cycle shorter than T+2 is uneven. The closer the market player is to the actual settlement, the readier and less impacted it would be and vice versa”. Hence, we consider it more appropriate to </w:t>
      </w:r>
      <w:proofErr w:type="spellStart"/>
      <w:r w:rsidRPr="001412D5">
        <w:rPr>
          <w:lang w:val="en-US"/>
        </w:rPr>
        <w:t>prioritise</w:t>
      </w:r>
      <w:proofErr w:type="spellEnd"/>
      <w:r w:rsidRPr="001412D5">
        <w:rPr>
          <w:lang w:val="en-US"/>
        </w:rPr>
        <w:t xml:space="preserve"> any work allowing the achievement of the </w:t>
      </w:r>
      <w:r w:rsidRPr="001412D5">
        <w:rPr>
          <w:u w:val="single"/>
          <w:lang w:val="en-US"/>
        </w:rPr>
        <w:t>same</w:t>
      </w:r>
      <w:r w:rsidRPr="001412D5">
        <w:rPr>
          <w:lang w:val="en-US"/>
        </w:rPr>
        <w:t xml:space="preserve"> level of readiness across the Union (regardless the extent of the potential shortening of the settlement cycle) and, later on, to deepen the analysis for the actual migration of the Union to a given settlement cycle (reasonably, T+1, for technological reasons</w:t>
      </w:r>
      <w:proofErr w:type="gramStart"/>
      <w:r w:rsidRPr="001412D5">
        <w:rPr>
          <w:lang w:val="en-US"/>
        </w:rPr>
        <w:t>);</w:t>
      </w:r>
      <w:proofErr w:type="gramEnd"/>
    </w:p>
    <w:p w14:paraId="62361D45" w14:textId="77777777" w:rsidR="00C76D62" w:rsidRPr="001412D5" w:rsidRDefault="00C76D62" w:rsidP="00661AD8">
      <w:pPr>
        <w:numPr>
          <w:ilvl w:val="0"/>
          <w:numId w:val="27"/>
        </w:numPr>
        <w:spacing w:after="160" w:line="259" w:lineRule="auto"/>
        <w:rPr>
          <w:lang w:val="en-US"/>
        </w:rPr>
      </w:pPr>
      <w:r w:rsidRPr="001412D5">
        <w:rPr>
          <w:lang w:val="en-US"/>
        </w:rPr>
        <w:t>in all likelihood, a proper consideration and eventual achievement of a “</w:t>
      </w:r>
      <w:r w:rsidRPr="001412D5">
        <w:rPr>
          <w:i/>
          <w:lang w:val="en-US"/>
        </w:rPr>
        <w:t xml:space="preserve">same-day </w:t>
      </w:r>
      <w:r w:rsidRPr="001412D5">
        <w:rPr>
          <w:lang w:val="en-US"/>
        </w:rPr>
        <w:t xml:space="preserve">settlement cycle” (T+0) </w:t>
      </w:r>
      <w:r w:rsidRPr="001412D5">
        <w:rPr>
          <w:b/>
          <w:lang w:val="en-US"/>
        </w:rPr>
        <w:t xml:space="preserve">could  be possible only once </w:t>
      </w:r>
      <w:proofErr w:type="spellStart"/>
      <w:r w:rsidRPr="001412D5">
        <w:rPr>
          <w:b/>
          <w:lang w:val="en-US"/>
        </w:rPr>
        <w:t>i</w:t>
      </w:r>
      <w:proofErr w:type="spellEnd"/>
      <w:r w:rsidRPr="001412D5">
        <w:rPr>
          <w:b/>
          <w:lang w:val="en-US"/>
        </w:rPr>
        <w:t xml:space="preserve">) </w:t>
      </w:r>
      <w:r w:rsidRPr="001412D5">
        <w:rPr>
          <w:lang w:val="en-US"/>
        </w:rPr>
        <w:t xml:space="preserve">the market infrastructures in the Union (CCP, CSD, T2S, </w:t>
      </w:r>
      <w:proofErr w:type="spellStart"/>
      <w:r w:rsidRPr="001412D5">
        <w:rPr>
          <w:lang w:val="en-US"/>
        </w:rPr>
        <w:t>etc</w:t>
      </w:r>
      <w:proofErr w:type="spellEnd"/>
      <w:r w:rsidRPr="001412D5">
        <w:rPr>
          <w:lang w:val="en-US"/>
        </w:rPr>
        <w:t xml:space="preserve">), </w:t>
      </w:r>
      <w:r w:rsidRPr="001412D5">
        <w:rPr>
          <w:b/>
          <w:lang w:val="en-US"/>
        </w:rPr>
        <w:t xml:space="preserve">ii) </w:t>
      </w:r>
      <w:r w:rsidRPr="001412D5">
        <w:rPr>
          <w:lang w:val="en-US"/>
        </w:rPr>
        <w:t xml:space="preserve">every EU-based market player (be it banks, investment firm, and other entities in the roles of trading parties, asset managers, custodians, settlement agents, etc.) </w:t>
      </w:r>
      <w:r w:rsidRPr="001412D5">
        <w:rPr>
          <w:b/>
          <w:lang w:val="en-US"/>
        </w:rPr>
        <w:t>and</w:t>
      </w:r>
      <w:r w:rsidRPr="001412D5">
        <w:rPr>
          <w:lang w:val="en-US"/>
        </w:rPr>
        <w:t xml:space="preserve"> </w:t>
      </w:r>
      <w:r w:rsidRPr="001412D5">
        <w:rPr>
          <w:b/>
          <w:lang w:val="en-US"/>
        </w:rPr>
        <w:t>iii)</w:t>
      </w:r>
      <w:r w:rsidRPr="001412D5">
        <w:rPr>
          <w:lang w:val="en-US"/>
        </w:rPr>
        <w:t xml:space="preserve"> the relevant supervisory authorities in the Union</w:t>
      </w:r>
      <w:r w:rsidRPr="001412D5">
        <w:rPr>
          <w:b/>
          <w:lang w:val="en-US"/>
        </w:rPr>
        <w:t xml:space="preserve"> 1)</w:t>
      </w:r>
      <w:r w:rsidRPr="001412D5">
        <w:rPr>
          <w:lang w:val="en-US"/>
        </w:rPr>
        <w:t xml:space="preserve"> will be using the very same criteria for the </w:t>
      </w:r>
      <w:r w:rsidRPr="001412D5">
        <w:rPr>
          <w:b/>
          <w:lang w:val="en-US"/>
        </w:rPr>
        <w:t>data enrichment processes</w:t>
      </w:r>
      <w:r w:rsidRPr="001412D5">
        <w:rPr>
          <w:lang w:val="en-US"/>
        </w:rPr>
        <w:t xml:space="preserve"> necessary at </w:t>
      </w:r>
      <w:r w:rsidRPr="001412D5">
        <w:rPr>
          <w:b/>
          <w:lang w:val="en-US"/>
        </w:rPr>
        <w:t>trade matching level</w:t>
      </w:r>
      <w:r w:rsidRPr="001412D5">
        <w:rPr>
          <w:lang w:val="en-US"/>
        </w:rPr>
        <w:t xml:space="preserve"> and for the </w:t>
      </w:r>
      <w:r w:rsidRPr="001412D5">
        <w:rPr>
          <w:b/>
          <w:lang w:val="en-US"/>
        </w:rPr>
        <w:t>communication standards</w:t>
      </w:r>
      <w:r w:rsidRPr="001412D5">
        <w:rPr>
          <w:lang w:val="en-US"/>
        </w:rPr>
        <w:t xml:space="preserve"> across the settlement chain when orders and settlement instructions are to be forwarded; </w:t>
      </w:r>
      <w:r w:rsidRPr="001412D5">
        <w:rPr>
          <w:b/>
          <w:lang w:val="en-US"/>
        </w:rPr>
        <w:t xml:space="preserve">2) </w:t>
      </w:r>
      <w:r w:rsidRPr="001412D5">
        <w:rPr>
          <w:lang w:val="en-US"/>
        </w:rPr>
        <w:t xml:space="preserve">will be complying to an enhanced regulatory framework mandating the very same </w:t>
      </w:r>
      <w:r w:rsidRPr="001412D5">
        <w:rPr>
          <w:b/>
          <w:lang w:val="en-US"/>
        </w:rPr>
        <w:t>criteria for settlement efficiency measures</w:t>
      </w:r>
      <w:r w:rsidRPr="001412D5">
        <w:rPr>
          <w:lang w:val="en-US"/>
        </w:rPr>
        <w:t xml:space="preserve"> to every CSD and market infrastructures (vis-a-</w:t>
      </w:r>
      <w:r w:rsidRPr="001412D5">
        <w:rPr>
          <w:lang w:val="en-US"/>
        </w:rPr>
        <w:lastRenderedPageBreak/>
        <w:t xml:space="preserve">vis the great dis-homogeneity witnessed nowadays); </w:t>
      </w:r>
      <w:r w:rsidRPr="001412D5">
        <w:rPr>
          <w:b/>
          <w:lang w:val="en-US"/>
        </w:rPr>
        <w:t>3)</w:t>
      </w:r>
      <w:r w:rsidRPr="001412D5">
        <w:rPr>
          <w:lang w:val="en-US"/>
        </w:rPr>
        <w:t xml:space="preserve"> will have achieved a uniform technological seniority of systems and processes so that (for instance) no single entity will have issues in running appropriately and correctly the process for data enrichment and cause delays to other entities further down the custody and settlement chain by missing or incorrect data feeds. </w:t>
      </w:r>
    </w:p>
    <w:p w14:paraId="16CA0925" w14:textId="77777777" w:rsidR="00C76D62" w:rsidRPr="000262A2" w:rsidRDefault="00C76D62" w:rsidP="00C76D62">
      <w:pPr>
        <w:rPr>
          <w:rFonts w:cstheme="minorHAnsi"/>
        </w:rPr>
      </w:pPr>
      <w:r w:rsidRPr="000262A2">
        <w:rPr>
          <w:rFonts w:cstheme="minorHAnsi"/>
        </w:rPr>
        <w:t xml:space="preserve">We believe that these considerations are consistent to ESMA’s statement under paragraph 16 (referred to T+1, not even to T+0) where it mentions that significant reduction of the time available for post-trade processes by an EU migration to the shorter cycle of T+1 for EU-based settlement systems’ participants would require to finalise every process by the night on T+0. </w:t>
      </w:r>
    </w:p>
    <w:p w14:paraId="5FCD967F" w14:textId="77777777" w:rsidR="00C76D62" w:rsidRDefault="00C76D62" w:rsidP="00C76D62">
      <w:pPr>
        <w:rPr>
          <w:rFonts w:cstheme="minorHAnsi"/>
        </w:rPr>
      </w:pPr>
      <w:r w:rsidRPr="000262A2">
        <w:rPr>
          <w:rFonts w:cstheme="minorHAnsi"/>
          <w:b/>
          <w:bCs/>
        </w:rPr>
        <w:t xml:space="preserve">The shortening of SSC is not impossible per </w:t>
      </w:r>
      <w:proofErr w:type="spellStart"/>
      <w:r w:rsidRPr="000262A2">
        <w:rPr>
          <w:rFonts w:cstheme="minorHAnsi"/>
          <w:b/>
          <w:bCs/>
        </w:rPr>
        <w:t>sè</w:t>
      </w:r>
      <w:proofErr w:type="spellEnd"/>
      <w:r w:rsidRPr="000262A2">
        <w:rPr>
          <w:rFonts w:cstheme="minorHAnsi"/>
        </w:rPr>
        <w:t xml:space="preserve">. It requires concertation </w:t>
      </w:r>
      <w:r>
        <w:rPr>
          <w:rFonts w:cstheme="minorHAnsi"/>
        </w:rPr>
        <w:t xml:space="preserve">of many stakeholders around a table </w:t>
      </w:r>
      <w:r w:rsidRPr="000262A2">
        <w:rPr>
          <w:rFonts w:cstheme="minorHAnsi"/>
        </w:rPr>
        <w:t xml:space="preserve">and </w:t>
      </w:r>
      <w:proofErr w:type="gramStart"/>
      <w:r w:rsidRPr="000262A2">
        <w:rPr>
          <w:rFonts w:cstheme="minorHAnsi"/>
        </w:rPr>
        <w:t>a number of</w:t>
      </w:r>
      <w:proofErr w:type="gramEnd"/>
      <w:r w:rsidRPr="000262A2">
        <w:rPr>
          <w:rFonts w:cstheme="minorHAnsi"/>
        </w:rPr>
        <w:t xml:space="preserve"> necessary and unavoidable internal assessment</w:t>
      </w:r>
      <w:r>
        <w:rPr>
          <w:rFonts w:cstheme="minorHAnsi"/>
        </w:rPr>
        <w:t>s</w:t>
      </w:r>
      <w:r w:rsidRPr="000262A2">
        <w:rPr>
          <w:rFonts w:cstheme="minorHAnsi"/>
        </w:rPr>
        <w:t>, interventions and implementations by all market participants (infrastructures, banks with their different roles across the intermediation chain</w:t>
      </w:r>
      <w:r>
        <w:rPr>
          <w:rFonts w:cstheme="minorHAnsi"/>
        </w:rPr>
        <w:t>,</w:t>
      </w:r>
      <w:r w:rsidRPr="000262A2">
        <w:rPr>
          <w:rFonts w:cstheme="minorHAnsi"/>
        </w:rPr>
        <w:t xml:space="preserve"> and especially by other financial institutions which liaise and do business with the former ones), also for </w:t>
      </w:r>
      <w:r w:rsidRPr="000262A2">
        <w:rPr>
          <w:rFonts w:cstheme="minorHAnsi"/>
          <w:b/>
          <w:bCs/>
        </w:rPr>
        <w:t>potential shifts in the working time(s) of some specific units</w:t>
      </w:r>
      <w:r>
        <w:rPr>
          <w:rStyle w:val="Rimandonotaapidipagina"/>
          <w:rFonts w:cstheme="minorHAnsi"/>
          <w:bCs/>
        </w:rPr>
        <w:footnoteReference w:id="7"/>
      </w:r>
      <w:r w:rsidRPr="000262A2">
        <w:rPr>
          <w:rFonts w:cstheme="minorHAnsi"/>
        </w:rPr>
        <w:t>. All the above requires centralised coordination, extensive time, and a proper system of incentives.</w:t>
      </w:r>
    </w:p>
    <w:p w14:paraId="6D137FF8" w14:textId="77777777" w:rsidR="00C76D62" w:rsidRPr="000262A2" w:rsidRDefault="00C76D62" w:rsidP="00C76D62">
      <w:pPr>
        <w:rPr>
          <w:rFonts w:cstheme="minorHAnsi"/>
        </w:rPr>
      </w:pPr>
      <w:r w:rsidRPr="000262A2">
        <w:rPr>
          <w:rFonts w:cstheme="minorHAnsi"/>
        </w:rPr>
        <w:t xml:space="preserve">Eventually, as it regards the final part of Q.1. (i.e. whether </w:t>
      </w:r>
      <w:r w:rsidRPr="000262A2">
        <w:rPr>
          <w:rFonts w:cstheme="minorHAnsi"/>
          <w:lang w:val="en-US"/>
        </w:rPr>
        <w:t xml:space="preserve">are there </w:t>
      </w:r>
      <w:r w:rsidRPr="000262A2">
        <w:rPr>
          <w:rFonts w:cstheme="minorHAnsi"/>
          <w:b/>
          <w:bCs/>
          <w:lang w:val="en-US"/>
        </w:rPr>
        <w:t>any legislative actions that would help address the problems</w:t>
      </w:r>
      <w:r w:rsidRPr="000262A2">
        <w:rPr>
          <w:rFonts w:cstheme="minorHAnsi"/>
        </w:rPr>
        <w:t xml:space="preserve">), we </w:t>
      </w:r>
      <w:r>
        <w:rPr>
          <w:rFonts w:cstheme="minorHAnsi"/>
        </w:rPr>
        <w:t xml:space="preserve">would suggest intervening on </w:t>
      </w:r>
      <w:r w:rsidRPr="000262A2">
        <w:rPr>
          <w:rFonts w:cstheme="minorHAnsi"/>
        </w:rPr>
        <w:t xml:space="preserve">L2 </w:t>
      </w:r>
      <w:r>
        <w:rPr>
          <w:rFonts w:cstheme="minorHAnsi"/>
        </w:rPr>
        <w:t>I</w:t>
      </w:r>
      <w:r w:rsidRPr="000262A2">
        <w:rPr>
          <w:rFonts w:cstheme="minorHAnsi"/>
        </w:rPr>
        <w:t xml:space="preserve">mplementing </w:t>
      </w:r>
      <w:r>
        <w:rPr>
          <w:rFonts w:cstheme="minorHAnsi"/>
        </w:rPr>
        <w:t>R</w:t>
      </w:r>
      <w:r w:rsidRPr="000262A2">
        <w:rPr>
          <w:rFonts w:cstheme="minorHAnsi"/>
        </w:rPr>
        <w:t>egulations</w:t>
      </w:r>
      <w:r>
        <w:rPr>
          <w:rFonts w:cstheme="minorHAnsi"/>
        </w:rPr>
        <w:t>:</w:t>
      </w:r>
    </w:p>
    <w:p w14:paraId="20213446" w14:textId="77777777" w:rsidR="00C76D62" w:rsidRDefault="00C76D62" w:rsidP="00C76D62">
      <w:pPr>
        <w:numPr>
          <w:ilvl w:val="0"/>
          <w:numId w:val="18"/>
        </w:numPr>
        <w:spacing w:after="160" w:line="259" w:lineRule="auto"/>
        <w:rPr>
          <w:rFonts w:cstheme="minorHAnsi"/>
        </w:rPr>
      </w:pPr>
      <w:r>
        <w:rPr>
          <w:rFonts w:cstheme="minorHAnsi"/>
        </w:rPr>
        <w:t xml:space="preserve">first and foremost, ensuring that </w:t>
      </w:r>
      <w:r w:rsidRPr="00BF59DF">
        <w:rPr>
          <w:rFonts w:cstheme="minorHAnsi"/>
          <w:b/>
          <w:bCs/>
        </w:rPr>
        <w:t>every necessary qualitative and quantitative information</w:t>
      </w:r>
      <w:r>
        <w:rPr>
          <w:rFonts w:cstheme="minorHAnsi"/>
        </w:rPr>
        <w:t xml:space="preserve">, which is necessary for the settlement of a transaction in a security, be provided for, and timely sent through the relevant electronic systems, </w:t>
      </w:r>
      <w:r w:rsidRPr="00BF59DF">
        <w:rPr>
          <w:rFonts w:cstheme="minorHAnsi"/>
          <w:b/>
          <w:bCs/>
        </w:rPr>
        <w:t xml:space="preserve">at the date on which the trade has taken </w:t>
      </w:r>
      <w:proofErr w:type="gramStart"/>
      <w:r w:rsidRPr="00BF59DF">
        <w:rPr>
          <w:rFonts w:cstheme="minorHAnsi"/>
          <w:b/>
          <w:bCs/>
        </w:rPr>
        <w:t>place</w:t>
      </w:r>
      <w:r>
        <w:rPr>
          <w:rFonts w:cstheme="minorHAnsi"/>
        </w:rPr>
        <w:t>;</w:t>
      </w:r>
      <w:proofErr w:type="gramEnd"/>
    </w:p>
    <w:p w14:paraId="34DF198D" w14:textId="77777777" w:rsidR="00C76D62" w:rsidRDefault="00C76D62" w:rsidP="00C76D62">
      <w:pPr>
        <w:numPr>
          <w:ilvl w:val="0"/>
          <w:numId w:val="18"/>
        </w:numPr>
        <w:spacing w:after="160" w:line="259" w:lineRule="auto"/>
        <w:rPr>
          <w:rFonts w:cstheme="minorHAnsi"/>
        </w:rPr>
      </w:pPr>
      <w:r w:rsidRPr="00A2064B">
        <w:rPr>
          <w:rFonts w:cstheme="minorHAnsi"/>
          <w:b/>
          <w:bCs/>
        </w:rPr>
        <w:t>completing allocation and confirmation processes at trade date</w:t>
      </w:r>
      <w:r>
        <w:rPr>
          <w:rFonts w:cstheme="minorHAnsi"/>
        </w:rPr>
        <w:t xml:space="preserve"> and (essential) making the field “</w:t>
      </w:r>
      <w:r w:rsidRPr="00A2064B">
        <w:rPr>
          <w:rFonts w:cstheme="minorHAnsi"/>
          <w:i/>
          <w:iCs/>
        </w:rPr>
        <w:t>Place of Settlement</w:t>
      </w:r>
      <w:r>
        <w:rPr>
          <w:rFonts w:cstheme="minorHAnsi"/>
        </w:rPr>
        <w:t xml:space="preserve">” (PSET) a mandatory matching field to compile during the allocation and confirmation phases. </w:t>
      </w:r>
      <w:r w:rsidRPr="00C45A3C">
        <w:rPr>
          <w:rFonts w:cstheme="minorHAnsi"/>
        </w:rPr>
        <w:t xml:space="preserve">Considering the number of actors involved, </w:t>
      </w:r>
      <w:r>
        <w:rPr>
          <w:rFonts w:cstheme="minorHAnsi"/>
        </w:rPr>
        <w:t xml:space="preserve">ESMA should note that currently </w:t>
      </w:r>
      <w:r w:rsidRPr="00C45A3C">
        <w:rPr>
          <w:rFonts w:cstheme="minorHAnsi"/>
        </w:rPr>
        <w:t xml:space="preserve">no single entity </w:t>
      </w:r>
      <w:r>
        <w:rPr>
          <w:rFonts w:cstheme="minorHAnsi"/>
        </w:rPr>
        <w:t xml:space="preserve">is able (this is a fact) to have </w:t>
      </w:r>
      <w:r w:rsidRPr="00C45A3C">
        <w:rPr>
          <w:rFonts w:cstheme="minorHAnsi"/>
        </w:rPr>
        <w:t xml:space="preserve">a clear </w:t>
      </w:r>
      <w:r>
        <w:rPr>
          <w:rFonts w:cstheme="minorHAnsi"/>
        </w:rPr>
        <w:t xml:space="preserve">view </w:t>
      </w:r>
      <w:r w:rsidRPr="0027001A">
        <w:rPr>
          <w:rFonts w:cstheme="minorHAnsi"/>
          <w:u w:val="single"/>
        </w:rPr>
        <w:t>end-to-end</w:t>
      </w:r>
      <w:r w:rsidRPr="00C45A3C">
        <w:rPr>
          <w:rFonts w:cstheme="minorHAnsi"/>
        </w:rPr>
        <w:t xml:space="preserve"> of a particular transaction to determine whether there was a manual intervention at any point in the transaction lifecycle.</w:t>
      </w:r>
      <w:r>
        <w:rPr>
          <w:rFonts w:cstheme="minorHAnsi"/>
        </w:rPr>
        <w:t xml:space="preserve"> Fu</w:t>
      </w:r>
      <w:r w:rsidRPr="00E605B0">
        <w:rPr>
          <w:rFonts w:cstheme="minorHAnsi"/>
        </w:rPr>
        <w:t>rther</w:t>
      </w:r>
      <w:r>
        <w:rPr>
          <w:rFonts w:cstheme="minorHAnsi"/>
        </w:rPr>
        <w:t xml:space="preserve"> to this</w:t>
      </w:r>
      <w:r w:rsidRPr="00E605B0">
        <w:rPr>
          <w:rFonts w:cstheme="minorHAnsi"/>
        </w:rPr>
        <w:t xml:space="preserve">, </w:t>
      </w:r>
      <w:r>
        <w:rPr>
          <w:rFonts w:cstheme="minorHAnsi"/>
        </w:rPr>
        <w:t xml:space="preserve">currently </w:t>
      </w:r>
      <w:r w:rsidRPr="00E605B0">
        <w:rPr>
          <w:rFonts w:cstheme="minorHAnsi"/>
        </w:rPr>
        <w:t xml:space="preserve">there </w:t>
      </w:r>
      <w:r>
        <w:rPr>
          <w:rFonts w:cstheme="minorHAnsi"/>
        </w:rPr>
        <w:t xml:space="preserve">can be (business) </w:t>
      </w:r>
      <w:r w:rsidRPr="00E605B0">
        <w:rPr>
          <w:rFonts w:cstheme="minorHAnsi"/>
        </w:rPr>
        <w:t xml:space="preserve">reasons why a particular actor </w:t>
      </w:r>
      <w:r>
        <w:rPr>
          <w:rFonts w:cstheme="minorHAnsi"/>
        </w:rPr>
        <w:t xml:space="preserve">might </w:t>
      </w:r>
      <w:r w:rsidRPr="00E605B0">
        <w:rPr>
          <w:rFonts w:cstheme="minorHAnsi"/>
        </w:rPr>
        <w:t xml:space="preserve">not </w:t>
      </w:r>
      <w:r>
        <w:rPr>
          <w:rFonts w:cstheme="minorHAnsi"/>
        </w:rPr>
        <w:t xml:space="preserve">be able to </w:t>
      </w:r>
      <w:r w:rsidRPr="00E605B0">
        <w:rPr>
          <w:rFonts w:cstheme="minorHAnsi"/>
        </w:rPr>
        <w:t xml:space="preserve">allow the </w:t>
      </w:r>
      <w:r w:rsidRPr="0027001A">
        <w:rPr>
          <w:rFonts w:cstheme="minorHAnsi"/>
          <w:i/>
          <w:iCs/>
        </w:rPr>
        <w:t>straight-through processing</w:t>
      </w:r>
      <w:r w:rsidRPr="00E605B0">
        <w:rPr>
          <w:rFonts w:cstheme="minorHAnsi"/>
        </w:rPr>
        <w:t xml:space="preserve"> of a</w:t>
      </w:r>
      <w:r>
        <w:rPr>
          <w:rFonts w:cstheme="minorHAnsi"/>
        </w:rPr>
        <w:t xml:space="preserve">n information, as it is the PSET or other pieces of information we mentioned above, necessary for a good pre-settlement. Such reasons, at times, are even simply related to the software of the service provider, in use by the </w:t>
      </w:r>
      <w:r>
        <w:rPr>
          <w:rFonts w:cstheme="minorHAnsi"/>
        </w:rPr>
        <w:lastRenderedPageBreak/>
        <w:t>firm/participant, which does not allow for any flexibility and no addition of such information</w:t>
      </w:r>
      <w:r w:rsidRPr="00E605B0">
        <w:rPr>
          <w:rFonts w:cstheme="minorHAnsi"/>
        </w:rPr>
        <w:t>.</w:t>
      </w:r>
    </w:p>
    <w:p w14:paraId="6190E440" w14:textId="0AF283C0" w:rsidR="00C76D62" w:rsidRPr="00661AD8" w:rsidRDefault="00C76D62" w:rsidP="00661AD8">
      <w:pPr>
        <w:numPr>
          <w:ilvl w:val="0"/>
          <w:numId w:val="18"/>
        </w:numPr>
        <w:spacing w:after="160" w:line="259" w:lineRule="auto"/>
        <w:rPr>
          <w:rFonts w:cstheme="minorHAnsi"/>
        </w:rPr>
      </w:pPr>
      <w:r>
        <w:rPr>
          <w:rFonts w:cstheme="minorHAnsi"/>
        </w:rPr>
        <w:t>finding appropriate means to incentivise the exchange of Standard Settlement Instructions (SSI</w:t>
      </w:r>
      <w:proofErr w:type="gramStart"/>
      <w:r>
        <w:rPr>
          <w:rFonts w:cstheme="minorHAnsi"/>
        </w:rPr>
        <w:t>);</w:t>
      </w:r>
      <w:proofErr w:type="gramEnd"/>
    </w:p>
    <w:p w14:paraId="0E9150C8" w14:textId="1199C101" w:rsidR="00C76D62" w:rsidRDefault="001412D5" w:rsidP="00C76D62">
      <w:pPr>
        <w:numPr>
          <w:ilvl w:val="0"/>
          <w:numId w:val="18"/>
        </w:numPr>
        <w:spacing w:after="160" w:line="259" w:lineRule="auto"/>
        <w:rPr>
          <w:rFonts w:cstheme="minorHAnsi"/>
          <w:lang w:val="en-US"/>
        </w:rPr>
      </w:pPr>
      <w:r>
        <w:rPr>
          <w:rFonts w:cstheme="minorHAnsi"/>
          <w:lang w:val="en-US"/>
        </w:rPr>
        <w:t>i</w:t>
      </w:r>
      <w:r w:rsidR="00C76D62" w:rsidRPr="0001122E">
        <w:rPr>
          <w:rFonts w:cstheme="minorHAnsi"/>
          <w:lang w:val="en-US"/>
        </w:rPr>
        <w:t>n order to ensure t</w:t>
      </w:r>
      <w:r w:rsidR="00C76D62">
        <w:rPr>
          <w:rFonts w:cstheme="minorHAnsi"/>
          <w:lang w:val="en-US"/>
        </w:rPr>
        <w:t>hat every transaction be sent down the post-trading chain in a timely fashion, and with all the relevant and accurate information in it, depositary banks / custodians and settlement agents  should be invited to send settlement instructions to the relevant market set -up “on hold” status, so that their relevant counterparty (or its agent) would have the time to verify it adequately and run the matching phase without causing issues, compared to what done nowadays i.e. awaiting the availability of the relevant securities prior to send the relevant instructions (which causes issues as late matching and fails);</w:t>
      </w:r>
    </w:p>
    <w:p w14:paraId="77D4C0D9" w14:textId="77777777" w:rsidR="00C76D62" w:rsidRDefault="00C76D62" w:rsidP="00C76D62">
      <w:pPr>
        <w:numPr>
          <w:ilvl w:val="0"/>
          <w:numId w:val="18"/>
        </w:numPr>
        <w:spacing w:after="160" w:line="259" w:lineRule="auto"/>
        <w:rPr>
          <w:rFonts w:cstheme="minorHAnsi"/>
        </w:rPr>
      </w:pPr>
      <w:r w:rsidRPr="000262A2">
        <w:rPr>
          <w:rFonts w:cstheme="minorHAnsi"/>
        </w:rPr>
        <w:t>increas</w:t>
      </w:r>
      <w:r>
        <w:rPr>
          <w:rFonts w:cstheme="minorHAnsi"/>
        </w:rPr>
        <w:t>ing the</w:t>
      </w:r>
      <w:r w:rsidRPr="000262A2">
        <w:rPr>
          <w:rFonts w:cstheme="minorHAnsi"/>
        </w:rPr>
        <w:t xml:space="preserve"> use of </w:t>
      </w:r>
      <w:r w:rsidRPr="000262A2">
        <w:rPr>
          <w:rFonts w:cstheme="minorHAnsi"/>
          <w:b/>
          <w:bCs/>
        </w:rPr>
        <w:t xml:space="preserve">partial settlements by CSDs </w:t>
      </w:r>
      <w:r w:rsidRPr="000262A2">
        <w:rPr>
          <w:rFonts w:cstheme="minorHAnsi"/>
        </w:rPr>
        <w:t xml:space="preserve">and the concurrent increase in the use of </w:t>
      </w:r>
      <w:r w:rsidRPr="000262A2">
        <w:rPr>
          <w:rFonts w:cstheme="minorHAnsi"/>
          <w:b/>
          <w:bCs/>
        </w:rPr>
        <w:t>partial release</w:t>
      </w:r>
      <w:r w:rsidRPr="000262A2">
        <w:rPr>
          <w:rFonts w:cstheme="minorHAnsi"/>
        </w:rPr>
        <w:t xml:space="preserve"> (whose use appears decisive </w:t>
      </w:r>
      <w:proofErr w:type="gramStart"/>
      <w:r w:rsidRPr="000262A2">
        <w:rPr>
          <w:rFonts w:cstheme="minorHAnsi"/>
        </w:rPr>
        <w:t>on the basis of</w:t>
      </w:r>
      <w:proofErr w:type="gramEnd"/>
      <w:r w:rsidRPr="000262A2">
        <w:rPr>
          <w:rFonts w:cstheme="minorHAnsi"/>
        </w:rPr>
        <w:t xml:space="preserve"> the feedback received). Indeed, partial settlement “</w:t>
      </w:r>
      <w:r w:rsidRPr="000262A2">
        <w:rPr>
          <w:rFonts w:cstheme="minorHAnsi"/>
          <w:i/>
          <w:iCs/>
        </w:rPr>
        <w:t>per se</w:t>
      </w:r>
      <w:r w:rsidRPr="000262A2">
        <w:rPr>
          <w:rFonts w:cstheme="minorHAnsi"/>
        </w:rPr>
        <w:t>” may not be sufficient as by merely keeping “on hold” settlement instructions</w:t>
      </w:r>
      <w:r>
        <w:rPr>
          <w:rFonts w:cstheme="minorHAnsi"/>
        </w:rPr>
        <w:t xml:space="preserve"> and</w:t>
      </w:r>
      <w:r w:rsidRPr="000262A2">
        <w:rPr>
          <w:rFonts w:cstheme="minorHAnsi"/>
        </w:rPr>
        <w:t xml:space="preserve"> it does not automatically prompt an increase in terms of settlement rate(s). Moreover, it is also worth underlining that the procedures governing the way the “Hold &amp; Release” functionality is managed should not be modified with regards to “</w:t>
      </w:r>
      <w:proofErr w:type="gramStart"/>
      <w:r w:rsidRPr="000262A2">
        <w:rPr>
          <w:rFonts w:cstheme="minorHAnsi"/>
        </w:rPr>
        <w:t>third-parties</w:t>
      </w:r>
      <w:proofErr w:type="gramEnd"/>
      <w:r w:rsidRPr="000262A2">
        <w:rPr>
          <w:rFonts w:cstheme="minorHAnsi"/>
        </w:rPr>
        <w:t xml:space="preserve">” since eventual changes in this this would otherwise raise the need to open segregated accounts and drive upwards the operational costs for Participants. Such specific suggestion could be implemented by deleting </w:t>
      </w:r>
      <w:r w:rsidRPr="000262A2">
        <w:rPr>
          <w:rFonts w:cstheme="minorHAnsi"/>
          <w:lang w:val="en-US"/>
        </w:rPr>
        <w:t xml:space="preserve">Article 12 of Commission Delegated Regulation (EU) 2018/1229 on settlement discipline, which provides for a derogation for certain CSDs from the requirements to provide a partial settlement and hold and release mechanism. Having said this, it would however be crucial to </w:t>
      </w:r>
      <w:r w:rsidRPr="000262A2">
        <w:rPr>
          <w:rFonts w:cstheme="minorHAnsi"/>
          <w:b/>
          <w:bCs/>
          <w:lang w:val="en-US"/>
        </w:rPr>
        <w:t>provide for some exemption</w:t>
      </w:r>
      <w:r w:rsidRPr="000262A2">
        <w:rPr>
          <w:rFonts w:cstheme="minorHAnsi"/>
          <w:lang w:val="en-US"/>
        </w:rPr>
        <w:t xml:space="preserve"> </w:t>
      </w:r>
      <w:r w:rsidRPr="000262A2">
        <w:rPr>
          <w:rFonts w:cstheme="minorHAnsi"/>
          <w:b/>
          <w:bCs/>
          <w:lang w:val="en-US"/>
        </w:rPr>
        <w:t>from partial settlement</w:t>
      </w:r>
      <w:r w:rsidRPr="000262A2">
        <w:rPr>
          <w:rFonts w:cstheme="minorHAnsi"/>
          <w:lang w:val="en-US"/>
        </w:rPr>
        <w:t xml:space="preserve"> application </w:t>
      </w:r>
      <w:proofErr w:type="gramStart"/>
      <w:r w:rsidRPr="000262A2">
        <w:rPr>
          <w:rFonts w:cstheme="minorHAnsi"/>
          <w:lang w:val="en-US"/>
        </w:rPr>
        <w:t>i.e.</w:t>
      </w:r>
      <w:proofErr w:type="gramEnd"/>
      <w:r w:rsidRPr="000262A2">
        <w:rPr>
          <w:rFonts w:cstheme="minorHAnsi"/>
          <w:lang w:val="en-US"/>
        </w:rPr>
        <w:t xml:space="preserve"> for stock lending operations, and for some </w:t>
      </w:r>
      <w:r w:rsidRPr="000262A2">
        <w:rPr>
          <w:rFonts w:cstheme="minorHAnsi"/>
        </w:rPr>
        <w:t>specific types of instructions such as, for instance, portfolio transfers, primary market issuances, “mark-up/mark-downs” and claims-transformations</w:t>
      </w:r>
      <w:r>
        <w:rPr>
          <w:rFonts w:cstheme="minorHAnsi"/>
        </w:rPr>
        <w:t>;</w:t>
      </w:r>
    </w:p>
    <w:p w14:paraId="37F74DE0" w14:textId="3F83E36D" w:rsidR="00C76D62" w:rsidRPr="002239EA" w:rsidRDefault="001412D5" w:rsidP="00C76D62">
      <w:pPr>
        <w:numPr>
          <w:ilvl w:val="0"/>
          <w:numId w:val="18"/>
        </w:numPr>
        <w:spacing w:after="160" w:line="259" w:lineRule="auto"/>
        <w:rPr>
          <w:rFonts w:cstheme="minorHAnsi"/>
          <w:lang w:val="en-US"/>
        </w:rPr>
      </w:pPr>
      <w:r>
        <w:rPr>
          <w:rFonts w:cstheme="minorHAnsi"/>
          <w:lang w:val="en-US"/>
        </w:rPr>
        <w:t>i</w:t>
      </w:r>
      <w:r w:rsidR="00C76D62" w:rsidRPr="002239EA">
        <w:rPr>
          <w:rFonts w:cstheme="minorHAnsi"/>
          <w:lang w:val="en-US"/>
        </w:rPr>
        <w:t xml:space="preserve">n Target2-Securities, the </w:t>
      </w:r>
      <w:r w:rsidR="00C76D62">
        <w:rPr>
          <w:rFonts w:cstheme="minorHAnsi"/>
          <w:lang w:val="en-US"/>
        </w:rPr>
        <w:t>“</w:t>
      </w:r>
      <w:r w:rsidR="00C76D62" w:rsidRPr="002239EA">
        <w:rPr>
          <w:rFonts w:cstheme="minorHAnsi"/>
          <w:lang w:val="en-US"/>
        </w:rPr>
        <w:t>deposit account number</w:t>
      </w:r>
      <w:r w:rsidR="00C76D62">
        <w:rPr>
          <w:rFonts w:cstheme="minorHAnsi"/>
          <w:lang w:val="en-US"/>
        </w:rPr>
        <w:t>”</w:t>
      </w:r>
      <w:r w:rsidR="00C76D62" w:rsidRPr="002239EA">
        <w:rPr>
          <w:rFonts w:cstheme="minorHAnsi"/>
          <w:lang w:val="en-US"/>
        </w:rPr>
        <w:t xml:space="preserve"> an</w:t>
      </w:r>
      <w:r w:rsidR="00C76D62">
        <w:rPr>
          <w:rFonts w:cstheme="minorHAnsi"/>
          <w:lang w:val="en-US"/>
        </w:rPr>
        <w:t>d the “Buyer/Seller” field (so-called Party 2) should be qualified as additionally mandatory matching fields, in order to reduce the likelihood of mis</w:t>
      </w:r>
      <w:r w:rsidR="00661AD8">
        <w:rPr>
          <w:rFonts w:cstheme="minorHAnsi"/>
          <w:lang w:val="en-US"/>
        </w:rPr>
        <w:t>-</w:t>
      </w:r>
      <w:proofErr w:type="gramStart"/>
      <w:r w:rsidR="00C76D62">
        <w:rPr>
          <w:rFonts w:cstheme="minorHAnsi"/>
          <w:lang w:val="en-US"/>
        </w:rPr>
        <w:t>matching</w:t>
      </w:r>
      <w:r w:rsidR="00661AD8">
        <w:rPr>
          <w:rFonts w:cstheme="minorHAnsi"/>
          <w:lang w:val="en-US"/>
        </w:rPr>
        <w:t>s</w:t>
      </w:r>
      <w:r w:rsidR="00C76D62">
        <w:rPr>
          <w:rFonts w:cstheme="minorHAnsi"/>
          <w:lang w:val="en-US"/>
        </w:rPr>
        <w:t>;</w:t>
      </w:r>
      <w:proofErr w:type="gramEnd"/>
    </w:p>
    <w:p w14:paraId="25736CC2" w14:textId="475D145C" w:rsidR="00C76D62" w:rsidRPr="000262A2" w:rsidRDefault="001412D5" w:rsidP="00C76D62">
      <w:pPr>
        <w:numPr>
          <w:ilvl w:val="0"/>
          <w:numId w:val="18"/>
        </w:numPr>
        <w:spacing w:after="160" w:line="259" w:lineRule="auto"/>
        <w:rPr>
          <w:rFonts w:cstheme="minorHAnsi"/>
        </w:rPr>
      </w:pPr>
      <w:r>
        <w:rPr>
          <w:rFonts w:cstheme="minorHAnsi"/>
          <w:lang w:val="en-US"/>
        </w:rPr>
        <w:t>e</w:t>
      </w:r>
      <w:r w:rsidR="00C76D62">
        <w:rPr>
          <w:rFonts w:cstheme="minorHAnsi"/>
          <w:lang w:val="en-US"/>
        </w:rPr>
        <w:t xml:space="preserve">ventually, </w:t>
      </w:r>
      <w:r w:rsidR="00C76D62" w:rsidRPr="000262A2">
        <w:rPr>
          <w:rFonts w:cstheme="minorHAnsi"/>
        </w:rPr>
        <w:t xml:space="preserve">the provision of </w:t>
      </w:r>
      <w:r w:rsidR="00C76D62">
        <w:rPr>
          <w:rFonts w:cstheme="minorHAnsi"/>
        </w:rPr>
        <w:t xml:space="preserve">a </w:t>
      </w:r>
      <w:r w:rsidR="00C76D62" w:rsidRPr="000262A2">
        <w:rPr>
          <w:rFonts w:cstheme="minorHAnsi"/>
        </w:rPr>
        <w:t xml:space="preserve">public </w:t>
      </w:r>
      <w:r w:rsidR="00C76D62" w:rsidRPr="000262A2">
        <w:rPr>
          <w:rFonts w:cstheme="minorHAnsi"/>
          <w:u w:val="single"/>
        </w:rPr>
        <w:t>centralised</w:t>
      </w:r>
      <w:r w:rsidR="00C76D62" w:rsidRPr="000262A2">
        <w:rPr>
          <w:rFonts w:cstheme="minorHAnsi"/>
        </w:rPr>
        <w:t xml:space="preserve"> information </w:t>
      </w:r>
      <w:r w:rsidR="00C76D62">
        <w:rPr>
          <w:rFonts w:cstheme="minorHAnsi"/>
        </w:rPr>
        <w:t xml:space="preserve">source </w:t>
      </w:r>
      <w:r w:rsidR="00C76D62" w:rsidRPr="000262A2">
        <w:rPr>
          <w:rFonts w:cstheme="minorHAnsi"/>
        </w:rPr>
        <w:t xml:space="preserve">on securities </w:t>
      </w:r>
      <w:r w:rsidR="00C76D62">
        <w:rPr>
          <w:rFonts w:cstheme="minorHAnsi"/>
        </w:rPr>
        <w:t xml:space="preserve">and </w:t>
      </w:r>
      <w:r w:rsidR="00C76D62" w:rsidRPr="000262A2">
        <w:rPr>
          <w:rFonts w:cstheme="minorHAnsi"/>
        </w:rPr>
        <w:t>settlement in the Union</w:t>
      </w:r>
      <w:r w:rsidR="00C76D62">
        <w:rPr>
          <w:rFonts w:cstheme="minorHAnsi"/>
        </w:rPr>
        <w:t>,</w:t>
      </w:r>
      <w:r w:rsidR="00C76D62" w:rsidRPr="000262A2">
        <w:rPr>
          <w:rFonts w:cstheme="minorHAnsi"/>
        </w:rPr>
        <w:t xml:space="preserve"> </w:t>
      </w:r>
      <w:r w:rsidR="00C76D62">
        <w:rPr>
          <w:rFonts w:cstheme="minorHAnsi"/>
        </w:rPr>
        <w:t>by the means of a centralised database operated by ESMA that includes all securities information necessary for CSDR cash penalties computation.</w:t>
      </w:r>
    </w:p>
    <w:p w14:paraId="61CEFE97" w14:textId="77777777" w:rsidR="00C76D62" w:rsidRPr="000262A2" w:rsidRDefault="00C76D62" w:rsidP="00C76D62">
      <w:pPr>
        <w:rPr>
          <w:rFonts w:cstheme="minorHAnsi"/>
        </w:rPr>
      </w:pPr>
      <w:r>
        <w:rPr>
          <w:rFonts w:cstheme="minorHAnsi"/>
        </w:rPr>
        <w:t xml:space="preserve">In the end, </w:t>
      </w:r>
      <w:r w:rsidRPr="000262A2">
        <w:rPr>
          <w:rFonts w:cstheme="minorHAnsi"/>
        </w:rPr>
        <w:t>ABI suggest ESMA to closely work with Trading Venues, CSDs</w:t>
      </w:r>
      <w:r>
        <w:rPr>
          <w:rFonts w:cstheme="minorHAnsi"/>
        </w:rPr>
        <w:t>,</w:t>
      </w:r>
      <w:r w:rsidRPr="000262A2">
        <w:rPr>
          <w:rFonts w:cstheme="minorHAnsi"/>
        </w:rPr>
        <w:t xml:space="preserve"> Custodian Banks</w:t>
      </w:r>
      <w:r>
        <w:rPr>
          <w:rFonts w:cstheme="minorHAnsi"/>
        </w:rPr>
        <w:t xml:space="preserve">, asset manages and smaller banks representatives </w:t>
      </w:r>
      <w:r w:rsidRPr="000262A2">
        <w:rPr>
          <w:rFonts w:cstheme="minorHAnsi"/>
        </w:rPr>
        <w:t xml:space="preserve">to identify an </w:t>
      </w:r>
      <w:r w:rsidRPr="000262A2">
        <w:rPr>
          <w:rFonts w:cstheme="minorHAnsi"/>
          <w:b/>
          <w:bCs/>
        </w:rPr>
        <w:t xml:space="preserve">appropriate, </w:t>
      </w:r>
      <w:proofErr w:type="gramStart"/>
      <w:r w:rsidRPr="000262A2">
        <w:rPr>
          <w:rFonts w:cstheme="minorHAnsi"/>
          <w:b/>
          <w:bCs/>
        </w:rPr>
        <w:t>stable</w:t>
      </w:r>
      <w:proofErr w:type="gramEnd"/>
      <w:r w:rsidRPr="000262A2">
        <w:rPr>
          <w:rFonts w:cstheme="minorHAnsi"/>
          <w:b/>
          <w:bCs/>
        </w:rPr>
        <w:t xml:space="preserve"> and unique (set of) measures</w:t>
      </w:r>
      <w:r w:rsidRPr="000262A2">
        <w:rPr>
          <w:rFonts w:cstheme="minorHAnsi"/>
        </w:rPr>
        <w:t xml:space="preserve"> (or quantitative-mathematical variables) </w:t>
      </w:r>
      <w:r w:rsidRPr="000262A2">
        <w:rPr>
          <w:rFonts w:cstheme="minorHAnsi"/>
          <w:b/>
          <w:bCs/>
        </w:rPr>
        <w:t>to quantify settlement efficiency in the Union</w:t>
      </w:r>
      <w:r w:rsidRPr="000262A2">
        <w:rPr>
          <w:rFonts w:cstheme="minorHAnsi"/>
        </w:rPr>
        <w:t xml:space="preserve">. Only starting from such an “Expert Group Think Tank” tasked with this goal, we believe it will be possible to identify the current sources of settlement </w:t>
      </w:r>
      <w:r w:rsidRPr="000262A2">
        <w:rPr>
          <w:rFonts w:cstheme="minorHAnsi"/>
          <w:b/>
          <w:bCs/>
          <w:u w:val="single"/>
        </w:rPr>
        <w:lastRenderedPageBreak/>
        <w:t>in</w:t>
      </w:r>
      <w:r w:rsidRPr="000262A2">
        <w:rPr>
          <w:rFonts w:cstheme="minorHAnsi"/>
        </w:rPr>
        <w:t xml:space="preserve">efficiencies in the Union on a </w:t>
      </w:r>
      <w:r w:rsidRPr="000262A2">
        <w:rPr>
          <w:rFonts w:cstheme="minorHAnsi"/>
          <w:b/>
          <w:bCs/>
        </w:rPr>
        <w:t>by-entity, by-process, by-product basis</w:t>
      </w:r>
      <w:r w:rsidRPr="000262A2">
        <w:rPr>
          <w:rFonts w:cstheme="minorHAnsi"/>
        </w:rPr>
        <w:t>. Moving from that achievement, it will then be feasible to:</w:t>
      </w:r>
    </w:p>
    <w:p w14:paraId="5D09DFCA" w14:textId="77777777" w:rsidR="00C76D62" w:rsidRPr="00804A7B" w:rsidRDefault="00C76D62" w:rsidP="00C76D62">
      <w:pPr>
        <w:numPr>
          <w:ilvl w:val="0"/>
          <w:numId w:val="17"/>
        </w:numPr>
        <w:spacing w:after="160" w:line="259" w:lineRule="auto"/>
        <w:rPr>
          <w:rFonts w:cstheme="minorHAnsi"/>
          <w:lang w:val="en-US"/>
        </w:rPr>
      </w:pPr>
      <w:r w:rsidRPr="000262A2">
        <w:rPr>
          <w:rFonts w:cstheme="minorHAnsi"/>
        </w:rPr>
        <w:t>identify the measures to resolve the identified issues,</w:t>
      </w:r>
    </w:p>
    <w:p w14:paraId="5EDB28AA" w14:textId="77777777" w:rsidR="00C76D62" w:rsidRPr="00804A7B" w:rsidRDefault="00C76D62" w:rsidP="00C76D62">
      <w:pPr>
        <w:numPr>
          <w:ilvl w:val="0"/>
          <w:numId w:val="17"/>
        </w:numPr>
        <w:spacing w:after="160" w:line="259" w:lineRule="auto"/>
        <w:rPr>
          <w:rFonts w:cstheme="minorHAnsi"/>
        </w:rPr>
      </w:pPr>
      <w:r w:rsidRPr="000262A2">
        <w:rPr>
          <w:rFonts w:cstheme="minorHAnsi"/>
        </w:rPr>
        <w:t>quantify and allow for the necessary time to change or make processes more automated and leaner (at the entities where this is considered necessary)</w:t>
      </w:r>
    </w:p>
    <w:p w14:paraId="1CCCF983" w14:textId="3D790108" w:rsidR="00C5469A" w:rsidRPr="00C76D62" w:rsidRDefault="00C76D62" w:rsidP="00C5469A">
      <w:pPr>
        <w:numPr>
          <w:ilvl w:val="0"/>
          <w:numId w:val="17"/>
        </w:numPr>
        <w:spacing w:after="160" w:line="259" w:lineRule="auto"/>
        <w:rPr>
          <w:rFonts w:cstheme="minorHAnsi"/>
        </w:rPr>
      </w:pPr>
      <w:r w:rsidRPr="000262A2">
        <w:rPr>
          <w:rFonts w:cstheme="minorHAnsi"/>
        </w:rPr>
        <w:t xml:space="preserve">move the entire Union in a coordinated way toward </w:t>
      </w:r>
      <w:proofErr w:type="gramStart"/>
      <w:r w:rsidRPr="000262A2">
        <w:rPr>
          <w:rFonts w:cstheme="minorHAnsi"/>
        </w:rPr>
        <w:t>a</w:t>
      </w:r>
      <w:proofErr w:type="gramEnd"/>
      <w:r w:rsidRPr="000262A2">
        <w:rPr>
          <w:rFonts w:cstheme="minorHAnsi"/>
        </w:rPr>
        <w:t xml:space="preserve"> SSC equal to T+1 or even T+0.</w:t>
      </w:r>
    </w:p>
    <w:permEnd w:id="1228560568"/>
    <w:p w14:paraId="7E8CEB1B" w14:textId="77777777" w:rsidR="00C5469A" w:rsidRDefault="00C5469A" w:rsidP="00C5469A">
      <w:r>
        <w:t>&lt;ESMA_QUESTION_SETT_1&gt;</w:t>
      </w:r>
    </w:p>
    <w:p w14:paraId="7F2466D0" w14:textId="2EB1C3A2" w:rsidR="00C5469A" w:rsidRDefault="00C5469A" w:rsidP="00C5469A"/>
    <w:p w14:paraId="74AAE734" w14:textId="77777777" w:rsidR="00C5469A" w:rsidRDefault="00C5469A" w:rsidP="00C5469A"/>
    <w:p w14:paraId="32892B14" w14:textId="77777777" w:rsidR="00C5469A" w:rsidRDefault="00C5469A" w:rsidP="00C5469A">
      <w:pPr>
        <w:pStyle w:val="Questionstyle"/>
        <w:numPr>
          <w:ilvl w:val="0"/>
          <w:numId w:val="14"/>
        </w:numPr>
      </w:pPr>
      <w:r>
        <w:t>: What would be the consequences of a move to a shorter settlement cycle for (a) hedging practices (i.e. would it lead to increase pre-hedging practices?), (b) transactions with an FX component?</w:t>
      </w:r>
    </w:p>
    <w:p w14:paraId="53467F4C" w14:textId="77777777" w:rsidR="00C5469A" w:rsidRDefault="00C5469A" w:rsidP="00C5469A">
      <w:r>
        <w:t>&lt;ESMA_QUESTION_SETT_2&gt;</w:t>
      </w:r>
    </w:p>
    <w:p w14:paraId="528E6910" w14:textId="49D6C7BE" w:rsidR="00C5469A" w:rsidRDefault="009D3B70" w:rsidP="00C5469A">
      <w:permStart w:id="45707097" w:edGrp="everyone"/>
      <w:r w:rsidRPr="00804A7B">
        <w:rPr>
          <w:rFonts w:cstheme="minorHAnsi"/>
        </w:rPr>
        <w:t xml:space="preserve">We have not gathered specific feedback on the possible consequences of a move to a shorter settlement cycle for hedging practices and for transactions with an FX component. However, on the basis of </w:t>
      </w:r>
      <w:r>
        <w:rPr>
          <w:rFonts w:cstheme="minorHAnsi"/>
        </w:rPr>
        <w:t>our analysis</w:t>
      </w:r>
      <w:r w:rsidRPr="00804A7B">
        <w:rPr>
          <w:rFonts w:cstheme="minorHAnsi"/>
        </w:rPr>
        <w:t>, it seem</w:t>
      </w:r>
      <w:r>
        <w:rPr>
          <w:rFonts w:cstheme="minorHAnsi"/>
        </w:rPr>
        <w:t>s</w:t>
      </w:r>
      <w:r w:rsidRPr="00804A7B">
        <w:rPr>
          <w:rFonts w:cstheme="minorHAnsi"/>
        </w:rPr>
        <w:t xml:space="preserve"> </w:t>
      </w:r>
      <w:r w:rsidRPr="00804A7B">
        <w:rPr>
          <w:rFonts w:cstheme="minorHAnsi"/>
          <w:b/>
          <w:bCs/>
        </w:rPr>
        <w:t>plausible to expect an increase</w:t>
      </w:r>
      <w:r w:rsidRPr="00804A7B">
        <w:rPr>
          <w:rFonts w:cstheme="minorHAnsi"/>
        </w:rPr>
        <w:t xml:space="preserve"> (in relative terms) of the economic terms and conditions (i.e. pricing) </w:t>
      </w:r>
      <w:r w:rsidRPr="00804A7B">
        <w:rPr>
          <w:rFonts w:cstheme="minorHAnsi"/>
          <w:b/>
          <w:bCs/>
        </w:rPr>
        <w:t xml:space="preserve">a) </w:t>
      </w:r>
      <w:r w:rsidRPr="00804A7B">
        <w:rPr>
          <w:rFonts w:cstheme="minorHAnsi"/>
        </w:rPr>
        <w:t xml:space="preserve">to pre-hedge transactions, as well as </w:t>
      </w:r>
      <w:r w:rsidRPr="00804A7B">
        <w:rPr>
          <w:rFonts w:cstheme="minorHAnsi"/>
          <w:b/>
          <w:bCs/>
        </w:rPr>
        <w:t>b)</w:t>
      </w:r>
      <w:r w:rsidRPr="00804A7B">
        <w:rPr>
          <w:rFonts w:cstheme="minorHAnsi"/>
        </w:rPr>
        <w:t xml:space="preserve"> to procure and increase the levels of </w:t>
      </w:r>
      <w:r>
        <w:rPr>
          <w:rFonts w:cstheme="minorHAnsi"/>
        </w:rPr>
        <w:t>foreign currency “</w:t>
      </w:r>
      <w:r w:rsidRPr="00804A7B">
        <w:rPr>
          <w:rFonts w:cstheme="minorHAnsi"/>
        </w:rPr>
        <w:t>reserves</w:t>
      </w:r>
      <w:r>
        <w:rPr>
          <w:rFonts w:cstheme="minorHAnsi"/>
        </w:rPr>
        <w:t>”</w:t>
      </w:r>
      <w:r w:rsidRPr="00804A7B">
        <w:rPr>
          <w:rFonts w:cstheme="minorHAnsi"/>
        </w:rPr>
        <w:t xml:space="preserve"> which any market operator – in the context of the </w:t>
      </w:r>
      <w:r w:rsidRPr="004903E6">
        <w:rPr>
          <w:rFonts w:cstheme="minorHAnsi"/>
          <w:u w:val="single"/>
        </w:rPr>
        <w:t>shorter</w:t>
      </w:r>
      <w:r w:rsidRPr="00804A7B">
        <w:rPr>
          <w:rFonts w:cstheme="minorHAnsi"/>
        </w:rPr>
        <w:t xml:space="preserve"> time </w:t>
      </w:r>
      <w:r>
        <w:rPr>
          <w:rFonts w:cstheme="minorHAnsi"/>
        </w:rPr>
        <w:t xml:space="preserve">frame </w:t>
      </w:r>
      <w:r w:rsidRPr="00804A7B">
        <w:rPr>
          <w:rFonts w:cstheme="minorHAnsi"/>
        </w:rPr>
        <w:t xml:space="preserve">available for the post-trade activities – would have to set aside </w:t>
      </w:r>
      <w:r>
        <w:rPr>
          <w:rFonts w:cstheme="minorHAnsi"/>
        </w:rPr>
        <w:t>to ensure a smooth and timely operation</w:t>
      </w:r>
      <w:r w:rsidRPr="00804A7B">
        <w:rPr>
          <w:rFonts w:cstheme="minorHAnsi"/>
        </w:rPr>
        <w:t>.</w:t>
      </w:r>
    </w:p>
    <w:permEnd w:id="45707097"/>
    <w:p w14:paraId="3C617E94" w14:textId="77777777" w:rsidR="00C5469A" w:rsidRDefault="00C5469A" w:rsidP="00C5469A">
      <w:r>
        <w:t>&lt;ESMA_QUESTION_SETT_2&gt;</w:t>
      </w:r>
    </w:p>
    <w:p w14:paraId="0341BF99" w14:textId="77777777" w:rsidR="00C5469A" w:rsidRDefault="00C5469A" w:rsidP="00C5469A"/>
    <w:p w14:paraId="0C5FFD2B" w14:textId="77777777" w:rsidR="00C5469A" w:rsidRDefault="00C5469A" w:rsidP="00C5469A">
      <w:pPr>
        <w:pStyle w:val="Questionstyle"/>
        <w:numPr>
          <w:ilvl w:val="0"/>
          <w:numId w:val="14"/>
        </w:numPr>
      </w:pPr>
      <w:r>
        <w:t>: Which is your current rate of straight-through processing (STP ), in percentage of the number and of the volume of transactions broken down per type of transaction or per instrument as relevant? In case STP is used only for certain processes/operations, please identify them. Which are the anticipated challenges that you envisage in improving your current rate of STP?</w:t>
      </w:r>
    </w:p>
    <w:p w14:paraId="59801105" w14:textId="77777777" w:rsidR="00C5469A" w:rsidRDefault="00C5469A" w:rsidP="00C5469A">
      <w:r>
        <w:t>&lt;ESMA_QUESTION_SETT_3&gt;</w:t>
      </w:r>
    </w:p>
    <w:p w14:paraId="2119D8B5" w14:textId="53A17724" w:rsidR="00C5469A" w:rsidRDefault="004C694E" w:rsidP="00C5469A">
      <w:permStart w:id="1188046948" w:edGrp="everyone"/>
      <w:r w:rsidRPr="00804A7B">
        <w:rPr>
          <w:rFonts w:cstheme="minorHAnsi"/>
        </w:rPr>
        <w:t xml:space="preserve">As a banking association, we are not </w:t>
      </w:r>
      <w:proofErr w:type="gramStart"/>
      <w:r w:rsidRPr="00804A7B">
        <w:rPr>
          <w:rFonts w:cstheme="minorHAnsi"/>
        </w:rPr>
        <w:t>in a position</w:t>
      </w:r>
      <w:proofErr w:type="gramEnd"/>
      <w:r w:rsidRPr="00804A7B">
        <w:rPr>
          <w:rFonts w:cstheme="minorHAnsi"/>
        </w:rPr>
        <w:t xml:space="preserve"> to provide ESMA with a STP percentage level with solid representativeness, given the variety of banks and of their respective roles </w:t>
      </w:r>
      <w:r w:rsidRPr="00804A7B">
        <w:rPr>
          <w:rFonts w:cstheme="minorHAnsi"/>
        </w:rPr>
        <w:lastRenderedPageBreak/>
        <w:t>across the settlement intermediation chain. Hence, we’ll leave this aspect to the answers provided by</w:t>
      </w:r>
      <w:r>
        <w:rPr>
          <w:rFonts w:cstheme="minorHAnsi"/>
        </w:rPr>
        <w:t xml:space="preserve"> single</w:t>
      </w:r>
      <w:r w:rsidRPr="00804A7B">
        <w:rPr>
          <w:rFonts w:cstheme="minorHAnsi"/>
        </w:rPr>
        <w:t xml:space="preserve"> banks and other market operators. However, as it regards the final part of Q3 (challenges for the STP by the shortening of the settlement cycle, and its rate increase) </w:t>
      </w:r>
      <w:proofErr w:type="gramStart"/>
      <w:r w:rsidRPr="00804A7B">
        <w:rPr>
          <w:rFonts w:cstheme="minorHAnsi"/>
        </w:rPr>
        <w:t>on the basis of</w:t>
      </w:r>
      <w:proofErr w:type="gramEnd"/>
      <w:r w:rsidRPr="00804A7B">
        <w:rPr>
          <w:rFonts w:cstheme="minorHAnsi"/>
        </w:rPr>
        <w:t xml:space="preserve"> the discussions with our members, it appears that the “</w:t>
      </w:r>
      <w:r w:rsidRPr="00804A7B">
        <w:rPr>
          <w:rFonts w:cstheme="minorHAnsi"/>
          <w:i/>
          <w:iCs/>
        </w:rPr>
        <w:t>straight-through-processing</w:t>
      </w:r>
      <w:r w:rsidRPr="00804A7B">
        <w:rPr>
          <w:rFonts w:cstheme="minorHAnsi"/>
        </w:rPr>
        <w:t xml:space="preserve">” rate per </w:t>
      </w:r>
      <w:proofErr w:type="spellStart"/>
      <w:r w:rsidRPr="00804A7B">
        <w:rPr>
          <w:rFonts w:cstheme="minorHAnsi"/>
        </w:rPr>
        <w:t>sè</w:t>
      </w:r>
      <w:proofErr w:type="spellEnd"/>
      <w:r w:rsidRPr="00804A7B">
        <w:rPr>
          <w:rFonts w:cstheme="minorHAnsi"/>
        </w:rPr>
        <w:t xml:space="preserve"> would not face specific issues. More challenging, instead, it does appear a) making the STP a more common and widespread practice across market operators active post-trading, especially for smaller entities. The latter, though, </w:t>
      </w:r>
      <w:r>
        <w:rPr>
          <w:rFonts w:cstheme="minorHAnsi"/>
        </w:rPr>
        <w:t xml:space="preserve">reasonable </w:t>
      </w:r>
      <w:r w:rsidRPr="00804A7B">
        <w:rPr>
          <w:rFonts w:cstheme="minorHAnsi"/>
        </w:rPr>
        <w:t xml:space="preserve">ponder over the cost-benefit profile of investing resources in further developing their internal and external STP </w:t>
      </w:r>
      <w:r>
        <w:rPr>
          <w:rFonts w:cstheme="minorHAnsi"/>
        </w:rPr>
        <w:t xml:space="preserve">functionalities </w:t>
      </w:r>
      <w:r w:rsidRPr="00804A7B">
        <w:rPr>
          <w:rFonts w:cstheme="minorHAnsi"/>
        </w:rPr>
        <w:t>in consideration of their actual volumes and roles across the post-trade intermediation chain.</w:t>
      </w:r>
    </w:p>
    <w:permEnd w:id="1188046948"/>
    <w:p w14:paraId="779B5185" w14:textId="77777777" w:rsidR="00C5469A" w:rsidRDefault="00C5469A" w:rsidP="00C5469A">
      <w:r>
        <w:t>&lt;ESMA_QUESTION_SETT_3&gt;</w:t>
      </w:r>
    </w:p>
    <w:p w14:paraId="1C935D3F" w14:textId="77777777" w:rsidR="00C5469A" w:rsidRDefault="00C5469A" w:rsidP="00C5469A"/>
    <w:p w14:paraId="5C6CEC2A" w14:textId="77777777" w:rsidR="00C5469A" w:rsidRDefault="00C5469A" w:rsidP="00C5469A">
      <w:pPr>
        <w:pStyle w:val="Questionstyle"/>
        <w:numPr>
          <w:ilvl w:val="0"/>
          <w:numId w:val="14"/>
        </w:numPr>
      </w:pPr>
      <w:r>
        <w:t>: Please describe the impacts that, in your views, the shortening of the securities settlement cycle could have beyond post-trade processes, in particular on the functioning of markets (trading) and on the access of retail investors to financial markets. If you identify any negative impact, please identify the piece of legislation affected (MiFID II, MiFIR, Short Selling Regulation…) and elaborate on possible avenues to address it.</w:t>
      </w:r>
    </w:p>
    <w:p w14:paraId="59ACDC86" w14:textId="77777777" w:rsidR="00C5469A" w:rsidRDefault="00C5469A" w:rsidP="00C5469A">
      <w:r>
        <w:t>&lt;ESMA_QUESTION_SETT_4&gt;</w:t>
      </w:r>
    </w:p>
    <w:p w14:paraId="0BFD8C1D" w14:textId="77777777" w:rsidR="008A52C1" w:rsidRPr="009D2082" w:rsidRDefault="008A52C1" w:rsidP="008A52C1">
      <w:pPr>
        <w:rPr>
          <w:rFonts w:cstheme="minorHAnsi"/>
        </w:rPr>
      </w:pPr>
      <w:permStart w:id="19423711" w:edGrp="everyone"/>
      <w:r w:rsidRPr="00DF1A97">
        <w:rPr>
          <w:rFonts w:cstheme="minorHAnsi"/>
        </w:rPr>
        <w:t xml:space="preserve">As it regards the impacts that the shortening of the SSC might have </w:t>
      </w:r>
      <w:r>
        <w:rPr>
          <w:rFonts w:cstheme="minorHAnsi"/>
        </w:rPr>
        <w:t>b</w:t>
      </w:r>
      <w:r w:rsidRPr="00DF1A97">
        <w:rPr>
          <w:rFonts w:cstheme="minorHAnsi"/>
        </w:rPr>
        <w:t xml:space="preserve">eyond post-trade processes, an area that it could be affected would be </w:t>
      </w:r>
      <w:r w:rsidRPr="00DF1A97">
        <w:rPr>
          <w:rFonts w:cstheme="minorHAnsi"/>
          <w:b/>
          <w:bCs/>
        </w:rPr>
        <w:t>Securities Lending</w:t>
      </w:r>
      <w:r w:rsidRPr="00DF1A97">
        <w:rPr>
          <w:rFonts w:cstheme="minorHAnsi"/>
        </w:rPr>
        <w:t xml:space="preserve"> (SL) given its broadly recognised and effective role in easing market activities. Prior to mentioning the actual issues to the SL activity, we consider it important to recall that:</w:t>
      </w:r>
    </w:p>
    <w:p w14:paraId="18F4E817" w14:textId="77777777" w:rsidR="008A52C1" w:rsidRPr="001412D5" w:rsidRDefault="008A52C1" w:rsidP="00A24F1F">
      <w:pPr>
        <w:numPr>
          <w:ilvl w:val="0"/>
          <w:numId w:val="28"/>
        </w:numPr>
        <w:spacing w:after="160" w:line="259" w:lineRule="auto"/>
      </w:pPr>
      <w:r w:rsidRPr="001412D5">
        <w:t xml:space="preserve">for </w:t>
      </w:r>
      <w:r w:rsidRPr="001412D5">
        <w:rPr>
          <w:b/>
        </w:rPr>
        <w:t>illiquid and less-liquid instruments</w:t>
      </w:r>
      <w:r w:rsidRPr="001412D5">
        <w:t xml:space="preserve">, market makers play an essential role in providing liquidity. In doing so, they often offer two-way pricing of securities that it may happen they do not hold within their inventories, due to the capital constraints they have to </w:t>
      </w:r>
      <w:proofErr w:type="gramStart"/>
      <w:r w:rsidRPr="001412D5">
        <w:t>withstand;</w:t>
      </w:r>
      <w:proofErr w:type="gramEnd"/>
    </w:p>
    <w:p w14:paraId="06786CA3" w14:textId="77777777" w:rsidR="008A52C1" w:rsidRPr="001412D5" w:rsidRDefault="008A52C1" w:rsidP="00A24F1F">
      <w:pPr>
        <w:numPr>
          <w:ilvl w:val="0"/>
          <w:numId w:val="28"/>
        </w:numPr>
        <w:spacing w:after="160" w:line="259" w:lineRule="auto"/>
      </w:pPr>
      <w:r w:rsidRPr="001412D5">
        <w:t>in the EU, securities financing transactions</w:t>
      </w:r>
      <w:r w:rsidRPr="001412D5">
        <w:rPr>
          <w:b/>
        </w:rPr>
        <w:t xml:space="preserve"> (SFTs) are typically collateralised by other securities</w:t>
      </w:r>
      <w:r w:rsidRPr="001412D5">
        <w:t xml:space="preserve"> (non-cash assets) and often via tri-party agents. </w:t>
      </w:r>
    </w:p>
    <w:p w14:paraId="54EC581E" w14:textId="77777777" w:rsidR="008A52C1" w:rsidRPr="009D2082" w:rsidRDefault="008A52C1" w:rsidP="008A52C1">
      <w:pPr>
        <w:rPr>
          <w:rFonts w:cstheme="minorHAnsi"/>
        </w:rPr>
      </w:pPr>
    </w:p>
    <w:p w14:paraId="09FD6BDD" w14:textId="77777777" w:rsidR="008A52C1" w:rsidRPr="009D2082" w:rsidRDefault="008A52C1" w:rsidP="008A52C1">
      <w:pPr>
        <w:rPr>
          <w:rFonts w:cstheme="minorHAnsi"/>
        </w:rPr>
      </w:pPr>
      <w:proofErr w:type="gramStart"/>
      <w:r w:rsidRPr="009D2082">
        <w:rPr>
          <w:rFonts w:cstheme="minorHAnsi"/>
        </w:rPr>
        <w:t>On the basis of</w:t>
      </w:r>
      <w:proofErr w:type="gramEnd"/>
      <w:r w:rsidRPr="009D2082">
        <w:rPr>
          <w:rFonts w:cstheme="minorHAnsi"/>
        </w:rPr>
        <w:t xml:space="preserve"> this premise, the impacts that are likely to materialize in relation to SL by the shortening of the SSC could be described as follows:</w:t>
      </w:r>
    </w:p>
    <w:p w14:paraId="5A1FC584" w14:textId="77777777" w:rsidR="008A52C1" w:rsidRPr="001412D5" w:rsidRDefault="008A52C1" w:rsidP="00A24F1F">
      <w:pPr>
        <w:numPr>
          <w:ilvl w:val="0"/>
          <w:numId w:val="29"/>
        </w:numPr>
        <w:spacing w:after="160" w:line="259" w:lineRule="auto"/>
      </w:pPr>
      <w:r w:rsidRPr="001412D5">
        <w:lastRenderedPageBreak/>
        <w:t xml:space="preserve">compression of the time available to source any securities on which market makers execute a sale. This could consequently prompt </w:t>
      </w:r>
      <w:proofErr w:type="spellStart"/>
      <w:r w:rsidRPr="001412D5">
        <w:rPr>
          <w:b/>
        </w:rPr>
        <w:t>i</w:t>
      </w:r>
      <w:proofErr w:type="spellEnd"/>
      <w:r w:rsidRPr="001412D5">
        <w:rPr>
          <w:b/>
        </w:rPr>
        <w:t>)</w:t>
      </w:r>
      <w:r w:rsidRPr="001412D5">
        <w:t xml:space="preserve"> an </w:t>
      </w:r>
      <w:r w:rsidRPr="001412D5">
        <w:rPr>
          <w:b/>
        </w:rPr>
        <w:t>increase in the bid-offer spreads</w:t>
      </w:r>
      <w:r w:rsidRPr="001412D5">
        <w:t xml:space="preserve"> they would require on less liquid securities or even </w:t>
      </w:r>
      <w:r w:rsidRPr="001412D5">
        <w:rPr>
          <w:b/>
        </w:rPr>
        <w:t>ii)</w:t>
      </w:r>
      <w:r w:rsidRPr="001412D5">
        <w:t xml:space="preserve"> an outright </w:t>
      </w:r>
      <w:r w:rsidRPr="001412D5">
        <w:rPr>
          <w:b/>
        </w:rPr>
        <w:t>removal from their offering</w:t>
      </w:r>
      <w:r w:rsidRPr="001412D5">
        <w:t xml:space="preserve"> and, as a final outcome, make the securities lending markets less liquid, less deep and less efficient – due to the fact that lending would be required to be finalized on the same day of the related transaction and that, for this reason, it could be extremely challenging to find counterparties having the required securities – especially in occasion of </w:t>
      </w:r>
      <w:r w:rsidRPr="001412D5">
        <w:rPr>
          <w:u w:val="single"/>
        </w:rPr>
        <w:t>sudden</w:t>
      </w:r>
      <w:r w:rsidRPr="001412D5">
        <w:t xml:space="preserve"> market tensions/stress. This would reduce their ability to support the liquidity and the efficiency of EU capital markets as a </w:t>
      </w:r>
      <w:proofErr w:type="gramStart"/>
      <w:r w:rsidRPr="001412D5">
        <w:t>whole;</w:t>
      </w:r>
      <w:proofErr w:type="gramEnd"/>
    </w:p>
    <w:p w14:paraId="0FE936B1" w14:textId="77777777" w:rsidR="008A52C1" w:rsidRPr="001412D5" w:rsidRDefault="008A52C1" w:rsidP="00A24F1F">
      <w:pPr>
        <w:numPr>
          <w:ilvl w:val="0"/>
          <w:numId w:val="29"/>
        </w:numPr>
        <w:spacing w:after="160" w:line="259" w:lineRule="auto"/>
      </w:pPr>
      <w:r w:rsidRPr="001412D5">
        <w:t>compression of the time available for collateral processes bearing consequent additional frictions in these processes, forcing trading parties to post excess collateral and, as a final outcome, reduction in capital efficiency.</w:t>
      </w:r>
    </w:p>
    <w:p w14:paraId="412FCF93" w14:textId="77777777" w:rsidR="008A52C1" w:rsidRDefault="008A52C1" w:rsidP="008A52C1">
      <w:pPr>
        <w:rPr>
          <w:rFonts w:cstheme="minorHAnsi"/>
        </w:rPr>
      </w:pPr>
      <w:r>
        <w:rPr>
          <w:rFonts w:cstheme="minorHAnsi"/>
        </w:rPr>
        <w:t xml:space="preserve">Further to the above, as mentioned in other answers, the potential shortening of the SSC will certainly imply the </w:t>
      </w:r>
      <w:r w:rsidRPr="00AF0E8A">
        <w:rPr>
          <w:rFonts w:cstheme="minorHAnsi"/>
          <w:b/>
          <w:bCs/>
        </w:rPr>
        <w:t>reorganization of the timetable of post-trading, back-</w:t>
      </w:r>
      <w:proofErr w:type="gramStart"/>
      <w:r w:rsidRPr="00AF0E8A">
        <w:rPr>
          <w:rFonts w:cstheme="minorHAnsi"/>
          <w:b/>
          <w:bCs/>
        </w:rPr>
        <w:t>office</w:t>
      </w:r>
      <w:proofErr w:type="gramEnd"/>
      <w:r w:rsidRPr="00AF0E8A">
        <w:rPr>
          <w:rFonts w:cstheme="minorHAnsi"/>
          <w:b/>
          <w:bCs/>
        </w:rPr>
        <w:t xml:space="preserve"> and treasury/liquidity management units, especially at smaller banks and entities</w:t>
      </w:r>
      <w:r>
        <w:rPr>
          <w:rFonts w:cstheme="minorHAnsi"/>
        </w:rPr>
        <w:t>, which will occur also in presence of a technology enhancements, given the very significant reduction of time available to run post-trade processes between T+0 and T+1.</w:t>
      </w:r>
    </w:p>
    <w:p w14:paraId="5794F5A4" w14:textId="1897DF13" w:rsidR="00C5469A" w:rsidRDefault="008A52C1" w:rsidP="008A52C1">
      <w:r w:rsidRPr="00DF1A97">
        <w:rPr>
          <w:rFonts w:cstheme="minorHAnsi"/>
        </w:rPr>
        <w:t xml:space="preserve">As it regards the second part of the question, we are not </w:t>
      </w:r>
      <w:proofErr w:type="gramStart"/>
      <w:r w:rsidRPr="00DF1A97">
        <w:rPr>
          <w:rFonts w:cstheme="minorHAnsi"/>
        </w:rPr>
        <w:t>in a position</w:t>
      </w:r>
      <w:proofErr w:type="gramEnd"/>
      <w:r w:rsidRPr="00DF1A97">
        <w:rPr>
          <w:rFonts w:cstheme="minorHAnsi"/>
        </w:rPr>
        <w:t xml:space="preserve"> to provide more specific feedback on implications for the “</w:t>
      </w:r>
      <w:r w:rsidRPr="00DF1A97">
        <w:rPr>
          <w:rFonts w:cstheme="minorHAnsi"/>
          <w:i/>
          <w:iCs/>
        </w:rPr>
        <w:t>access of retail investors to financial markets</w:t>
      </w:r>
      <w:r w:rsidRPr="00DF1A97">
        <w:rPr>
          <w:rFonts w:cstheme="minorHAnsi"/>
        </w:rPr>
        <w:t>” by the shortening of the SSC.</w:t>
      </w:r>
    </w:p>
    <w:permEnd w:id="19423711"/>
    <w:p w14:paraId="08A0832D" w14:textId="77777777" w:rsidR="00C5469A" w:rsidRDefault="00C5469A" w:rsidP="00C5469A">
      <w:r>
        <w:t>&lt;ESMA_QUESTION_SETT_4&gt;</w:t>
      </w:r>
    </w:p>
    <w:p w14:paraId="10D50CB9" w14:textId="48742D0D" w:rsidR="00C5469A" w:rsidRDefault="00C5469A" w:rsidP="00C5469A"/>
    <w:p w14:paraId="2BF11A79" w14:textId="77777777" w:rsidR="00C5469A" w:rsidRDefault="00C5469A" w:rsidP="00C5469A"/>
    <w:p w14:paraId="5855D199" w14:textId="77777777" w:rsidR="00C5469A" w:rsidRDefault="00C5469A" w:rsidP="00C5469A">
      <w:pPr>
        <w:pStyle w:val="Questionstyle"/>
        <w:numPr>
          <w:ilvl w:val="0"/>
          <w:numId w:val="14"/>
        </w:numPr>
      </w:pPr>
      <w:r>
        <w:t>: What would be the costs you would have to incur in order to implement the technology and operational changes required to work in a T+1 environment? And in a T+0 environment? Please differentiate between one-off costs and on-going costs, comparing the on-going costs of T+1 and T+0 to those in the current T+2 environment. Where relevant please explain if these are general or asset class/instrument/ trade specific.</w:t>
      </w:r>
    </w:p>
    <w:p w14:paraId="6F56C3DB" w14:textId="77777777" w:rsidR="00C5469A" w:rsidRDefault="00C5469A" w:rsidP="00C5469A">
      <w:r>
        <w:t>&lt;ESMA_QUESTION_SETT_5&gt;</w:t>
      </w:r>
    </w:p>
    <w:p w14:paraId="6EA48A43" w14:textId="1DAF0F38" w:rsidR="00C5469A" w:rsidRDefault="008A607F" w:rsidP="00C5469A">
      <w:permStart w:id="1238857977" w:edGrp="everyone"/>
      <w:r w:rsidRPr="00804A7B">
        <w:rPr>
          <w:rFonts w:cstheme="minorHAnsi"/>
        </w:rPr>
        <w:t xml:space="preserve">As a banking association, representing an extensive number of banks acting with different roles and volumes in post-trading, we are not </w:t>
      </w:r>
      <w:proofErr w:type="gramStart"/>
      <w:r w:rsidRPr="00804A7B">
        <w:rPr>
          <w:rFonts w:cstheme="minorHAnsi"/>
        </w:rPr>
        <w:t>in a position</w:t>
      </w:r>
      <w:proofErr w:type="gramEnd"/>
      <w:r w:rsidRPr="00804A7B">
        <w:rPr>
          <w:rFonts w:cstheme="minorHAnsi"/>
        </w:rPr>
        <w:t xml:space="preserve"> to provide ESMA with an estimate of the costs that our members would incur </w:t>
      </w:r>
      <w:r>
        <w:rPr>
          <w:rFonts w:cstheme="minorHAnsi"/>
        </w:rPr>
        <w:t xml:space="preserve">into for </w:t>
      </w:r>
      <w:r w:rsidRPr="00804A7B">
        <w:rPr>
          <w:rFonts w:cstheme="minorHAnsi"/>
        </w:rPr>
        <w:t>implement</w:t>
      </w:r>
      <w:r>
        <w:rPr>
          <w:rFonts w:cstheme="minorHAnsi"/>
        </w:rPr>
        <w:t>ing</w:t>
      </w:r>
      <w:r w:rsidRPr="00804A7B">
        <w:rPr>
          <w:rFonts w:cstheme="minorHAnsi"/>
        </w:rPr>
        <w:t xml:space="preserve"> the technology and the operational changes (yet, enhancements) to work in a T+1 environment, given the great variety </w:t>
      </w:r>
      <w:r w:rsidRPr="00804A7B">
        <w:rPr>
          <w:rFonts w:cstheme="minorHAnsi"/>
        </w:rPr>
        <w:lastRenderedPageBreak/>
        <w:t xml:space="preserve">of internal systems evolution. Certainly, in a potential scenario of SSC reduction to T+1, a strengthening and widespread diffusion of STP will become a pre-condition for the whole post-trade industry to work smoothly and efficiently. Indeed, as a general instance, in a simplified world with </w:t>
      </w:r>
      <w:r>
        <w:rPr>
          <w:rFonts w:cstheme="minorHAnsi"/>
        </w:rPr>
        <w:t>more intermediaries</w:t>
      </w:r>
      <w:r w:rsidRPr="00804A7B">
        <w:rPr>
          <w:rFonts w:cstheme="minorHAnsi"/>
        </w:rPr>
        <w:t xml:space="preserve"> </w:t>
      </w:r>
      <w:r>
        <w:rPr>
          <w:rFonts w:cstheme="minorHAnsi"/>
        </w:rPr>
        <w:t xml:space="preserve">(e.g., 3 banks) </w:t>
      </w:r>
      <w:r w:rsidRPr="00804A7B">
        <w:rPr>
          <w:rFonts w:cstheme="minorHAnsi"/>
        </w:rPr>
        <w:t xml:space="preserve">involved in the post-trade processing of a transaction, it would be sufficient that the first bank on the chain does not run efficient and timely data enrichment STP processes </w:t>
      </w:r>
      <w:r>
        <w:rPr>
          <w:rFonts w:cstheme="minorHAnsi"/>
        </w:rPr>
        <w:t xml:space="preserve">at trade level </w:t>
      </w:r>
      <w:r w:rsidRPr="00804A7B">
        <w:rPr>
          <w:rFonts w:cstheme="minorHAnsi"/>
        </w:rPr>
        <w:t>to cause dela</w:t>
      </w:r>
      <w:r>
        <w:rPr>
          <w:rFonts w:cstheme="minorHAnsi"/>
        </w:rPr>
        <w:t>ys</w:t>
      </w:r>
      <w:r w:rsidRPr="00804A7B">
        <w:rPr>
          <w:rFonts w:cstheme="minorHAnsi"/>
        </w:rPr>
        <w:t xml:space="preserve"> and reconciliation issues to the other banks along the chain</w:t>
      </w:r>
      <w:r>
        <w:rPr>
          <w:rFonts w:cstheme="minorHAnsi"/>
        </w:rPr>
        <w:t xml:space="preserve"> (even though entities along such chain have prime rated ICT systems)</w:t>
      </w:r>
      <w:r w:rsidRPr="00804A7B">
        <w:rPr>
          <w:rFonts w:cstheme="minorHAnsi"/>
        </w:rPr>
        <w:t xml:space="preserve">. Hence, </w:t>
      </w:r>
      <w:r>
        <w:rPr>
          <w:rFonts w:cstheme="minorHAnsi"/>
        </w:rPr>
        <w:t xml:space="preserve">appropriately developed and run trade-level matching and data enrichment process, and </w:t>
      </w:r>
      <w:r w:rsidRPr="00804A7B">
        <w:rPr>
          <w:rFonts w:cstheme="minorHAnsi"/>
        </w:rPr>
        <w:t>STP</w:t>
      </w:r>
      <w:r>
        <w:rPr>
          <w:rFonts w:cstheme="minorHAnsi"/>
        </w:rPr>
        <w:t>,</w:t>
      </w:r>
      <w:r w:rsidRPr="00804A7B">
        <w:rPr>
          <w:rFonts w:cstheme="minorHAnsi"/>
        </w:rPr>
        <w:t xml:space="preserve"> </w:t>
      </w:r>
      <w:proofErr w:type="gramStart"/>
      <w:r>
        <w:rPr>
          <w:rFonts w:cstheme="minorHAnsi"/>
        </w:rPr>
        <w:t>are able to</w:t>
      </w:r>
      <w:proofErr w:type="gramEnd"/>
      <w:r>
        <w:rPr>
          <w:rFonts w:cstheme="minorHAnsi"/>
        </w:rPr>
        <w:t xml:space="preserve"> </w:t>
      </w:r>
      <w:r w:rsidRPr="00804A7B">
        <w:rPr>
          <w:rFonts w:cstheme="minorHAnsi"/>
        </w:rPr>
        <w:t>bear positive or negative externalit</w:t>
      </w:r>
      <w:r>
        <w:rPr>
          <w:rFonts w:cstheme="minorHAnsi"/>
        </w:rPr>
        <w:t>ies</w:t>
      </w:r>
      <w:r w:rsidRPr="00804A7B">
        <w:rPr>
          <w:rFonts w:cstheme="minorHAnsi"/>
        </w:rPr>
        <w:t xml:space="preserve"> for the entire </w:t>
      </w:r>
      <w:r>
        <w:rPr>
          <w:rFonts w:cstheme="minorHAnsi"/>
        </w:rPr>
        <w:t xml:space="preserve">Union </w:t>
      </w:r>
      <w:r w:rsidRPr="00804A7B">
        <w:rPr>
          <w:rFonts w:cstheme="minorHAnsi"/>
        </w:rPr>
        <w:t xml:space="preserve">settlement system. Yet, because of this, any eventual </w:t>
      </w:r>
      <w:r>
        <w:rPr>
          <w:rFonts w:cstheme="minorHAnsi"/>
        </w:rPr>
        <w:t xml:space="preserve">decision to migrate </w:t>
      </w:r>
      <w:r w:rsidRPr="00804A7B">
        <w:rPr>
          <w:rFonts w:cstheme="minorHAnsi"/>
        </w:rPr>
        <w:t xml:space="preserve">to a shorter SSC </w:t>
      </w:r>
      <w:r>
        <w:rPr>
          <w:rFonts w:cstheme="minorHAnsi"/>
        </w:rPr>
        <w:t xml:space="preserve">will have to be based on the analysis of a specific task force, as suggested at the end of our answer to Q.1. Peculiar consideration will have to give to </w:t>
      </w:r>
      <w:r w:rsidRPr="00963062">
        <w:rPr>
          <w:rFonts w:cstheme="minorHAnsi"/>
          <w:b/>
          <w:bCs/>
        </w:rPr>
        <w:t>smaller entities</w:t>
      </w:r>
      <w:r w:rsidRPr="00804A7B">
        <w:rPr>
          <w:rFonts w:cstheme="minorHAnsi"/>
        </w:rPr>
        <w:t xml:space="preserve"> to define their budget needs for the </w:t>
      </w:r>
      <w:r>
        <w:rPr>
          <w:rFonts w:cstheme="minorHAnsi"/>
        </w:rPr>
        <w:t>relevant systems enhancements and potential working time shifts reorganizations</w:t>
      </w:r>
      <w:r w:rsidRPr="00804A7B">
        <w:rPr>
          <w:rFonts w:cstheme="minorHAnsi"/>
        </w:rPr>
        <w:t>.</w:t>
      </w:r>
    </w:p>
    <w:permEnd w:id="1238857977"/>
    <w:p w14:paraId="39592726" w14:textId="77777777" w:rsidR="00C5469A" w:rsidRDefault="00C5469A" w:rsidP="00C5469A">
      <w:r>
        <w:t>&lt;ESMA_QUESTION_SETT_5&gt;</w:t>
      </w:r>
    </w:p>
    <w:p w14:paraId="2C3FAB8E" w14:textId="77777777" w:rsidR="00C5469A" w:rsidRDefault="00C5469A" w:rsidP="00C5469A"/>
    <w:p w14:paraId="21A53CC1" w14:textId="77777777" w:rsidR="00C5469A" w:rsidRDefault="00C5469A" w:rsidP="00C5469A">
      <w:pPr>
        <w:pStyle w:val="Questionstyle"/>
        <w:numPr>
          <w:ilvl w:val="0"/>
          <w:numId w:val="14"/>
        </w:numPr>
      </w:pPr>
      <w:r>
        <w:t>: In your view, by how much would settlement fails increase if T+1 would be required in the short, medium and long term? What about T+0? Please provide estimates where possible.</w:t>
      </w:r>
    </w:p>
    <w:p w14:paraId="5B188D9B" w14:textId="77777777" w:rsidR="00C5469A" w:rsidRDefault="00C5469A" w:rsidP="00C5469A">
      <w:r>
        <w:t>&lt;ESMA_QUESTION_SETT_6&gt;</w:t>
      </w:r>
    </w:p>
    <w:p w14:paraId="6D3EA8CA" w14:textId="77777777" w:rsidR="00176AAE" w:rsidRPr="00804A7B" w:rsidRDefault="00176AAE" w:rsidP="00176AAE">
      <w:pPr>
        <w:rPr>
          <w:rFonts w:cstheme="minorHAnsi"/>
        </w:rPr>
      </w:pPr>
      <w:permStart w:id="367399486" w:edGrp="everyone"/>
      <w:r w:rsidRPr="00804A7B">
        <w:rPr>
          <w:rFonts w:cstheme="minorHAnsi"/>
        </w:rPr>
        <w:t xml:space="preserve">We are not </w:t>
      </w:r>
      <w:proofErr w:type="gramStart"/>
      <w:r w:rsidRPr="00804A7B">
        <w:rPr>
          <w:rFonts w:cstheme="minorHAnsi"/>
        </w:rPr>
        <w:t>in a position</w:t>
      </w:r>
      <w:proofErr w:type="gramEnd"/>
      <w:r w:rsidRPr="00804A7B">
        <w:rPr>
          <w:rFonts w:cstheme="minorHAnsi"/>
        </w:rPr>
        <w:t xml:space="preserve"> to provide ESMA with an estimate of the potential increase of settlement fails should T+1 be required in future in any of the 3 different scenarios mentioned in the question (short-, medium- and long-term period). Certainly, in order to have the relevant conditions in place across the Union in the medium</w:t>
      </w:r>
      <w:r>
        <w:rPr>
          <w:rFonts w:cstheme="minorHAnsi"/>
        </w:rPr>
        <w:t>-to-</w:t>
      </w:r>
      <w:r w:rsidRPr="00804A7B">
        <w:rPr>
          <w:rFonts w:cstheme="minorHAnsi"/>
        </w:rPr>
        <w:t>long term, ESMA should provide the Commission with all the relevant issues gathered by this Call for Evidence and divide them up into tranches o</w:t>
      </w:r>
      <w:r>
        <w:rPr>
          <w:rFonts w:cstheme="minorHAnsi"/>
        </w:rPr>
        <w:t>r</w:t>
      </w:r>
      <w:r w:rsidRPr="00804A7B">
        <w:rPr>
          <w:rFonts w:cstheme="minorHAnsi"/>
        </w:rPr>
        <w:t xml:space="preserve"> bucket of initiative</w:t>
      </w:r>
      <w:r>
        <w:rPr>
          <w:rFonts w:cstheme="minorHAnsi"/>
        </w:rPr>
        <w:t>s</w:t>
      </w:r>
      <w:r w:rsidRPr="00804A7B">
        <w:rPr>
          <w:rFonts w:cstheme="minorHAnsi"/>
        </w:rPr>
        <w:t xml:space="preserve"> to </w:t>
      </w:r>
      <w:r>
        <w:rPr>
          <w:rFonts w:cstheme="minorHAnsi"/>
        </w:rPr>
        <w:t xml:space="preserve">be </w:t>
      </w:r>
      <w:r w:rsidRPr="00804A7B">
        <w:rPr>
          <w:rFonts w:cstheme="minorHAnsi"/>
        </w:rPr>
        <w:t>implement</w:t>
      </w:r>
      <w:r>
        <w:rPr>
          <w:rFonts w:cstheme="minorHAnsi"/>
        </w:rPr>
        <w:t>ed</w:t>
      </w:r>
      <w:r w:rsidRPr="00804A7B">
        <w:rPr>
          <w:rFonts w:cstheme="minorHAnsi"/>
        </w:rPr>
        <w:t xml:space="preserve"> gradually </w:t>
      </w:r>
      <w:r>
        <w:rPr>
          <w:rFonts w:cstheme="minorHAnsi"/>
        </w:rPr>
        <w:t xml:space="preserve">in </w:t>
      </w:r>
      <w:r w:rsidRPr="00804A7B">
        <w:rPr>
          <w:rFonts w:cstheme="minorHAnsi"/>
        </w:rPr>
        <w:t>the Union</w:t>
      </w:r>
      <w:r>
        <w:rPr>
          <w:rFonts w:cstheme="minorHAnsi"/>
        </w:rPr>
        <w:t>,</w:t>
      </w:r>
      <w:r w:rsidRPr="00804A7B">
        <w:rPr>
          <w:rFonts w:cstheme="minorHAnsi"/>
        </w:rPr>
        <w:t xml:space="preserve"> so that any market operator will be guided through the necessary steps to let a shorter SSC be achieved in the medium-to-longer term, with the least possible side effects, especially in terms of Union-wide settlement efficiency. </w:t>
      </w:r>
    </w:p>
    <w:p w14:paraId="57FD56D0" w14:textId="17DE3649" w:rsidR="00C5469A" w:rsidRDefault="00176AAE" w:rsidP="00176AAE">
      <w:r w:rsidRPr="00804A7B">
        <w:rPr>
          <w:rFonts w:cstheme="minorHAnsi"/>
        </w:rPr>
        <w:t xml:space="preserve">As a final consideration, though, we would suggest incentivising and / or introducing some sort of mandatory system for </w:t>
      </w:r>
      <w:r w:rsidRPr="00804A7B">
        <w:rPr>
          <w:rFonts w:cstheme="minorHAnsi"/>
          <w:b/>
          <w:bCs/>
        </w:rPr>
        <w:t>pre-matching</w:t>
      </w:r>
      <w:r w:rsidRPr="00804A7B">
        <w:rPr>
          <w:rFonts w:cstheme="minorHAnsi"/>
        </w:rPr>
        <w:t xml:space="preserve">, given the positive externality it would bear to the entire system, despite the awareness of the challenges the implementation of such measure would bear in the EU, given the peculiarities of its post-trading landscape and, more broadly, the </w:t>
      </w:r>
      <w:r w:rsidRPr="00804A7B">
        <w:rPr>
          <w:rFonts w:cstheme="minorHAnsi"/>
          <w:lang w:val="en-US"/>
        </w:rPr>
        <w:t>heterogeneity (hence complexity) of Member states’ legal, tax and regulatory frameworks, and related number of regulatory and supervisory bodies, and market infrastructures entities.</w:t>
      </w:r>
    </w:p>
    <w:permEnd w:id="367399486"/>
    <w:p w14:paraId="2CF84BCC" w14:textId="77777777" w:rsidR="00C5469A" w:rsidRDefault="00C5469A" w:rsidP="00C5469A">
      <w:r>
        <w:lastRenderedPageBreak/>
        <w:t>&lt;ESMA_QUESTION_SETT_6&gt;</w:t>
      </w:r>
    </w:p>
    <w:p w14:paraId="4C80899B" w14:textId="77777777" w:rsidR="00C5469A" w:rsidRDefault="00C5469A" w:rsidP="00C5469A"/>
    <w:p w14:paraId="7A2BD77F" w14:textId="77777777" w:rsidR="00C5469A" w:rsidRDefault="00C5469A" w:rsidP="00C5469A">
      <w:pPr>
        <w:pStyle w:val="Questionstyle"/>
        <w:numPr>
          <w:ilvl w:val="0"/>
          <w:numId w:val="14"/>
        </w:numPr>
      </w:pPr>
      <w:r>
        <w:t>: In your opinion, would the increase in settlement fails/cash penalties remain permanent or would you expect settlement efficiency to come back to higher rates with time? Please elaborate.</w:t>
      </w:r>
    </w:p>
    <w:p w14:paraId="7EF71B51" w14:textId="77777777" w:rsidR="00C5469A" w:rsidRDefault="00C5469A" w:rsidP="00C5469A">
      <w:r>
        <w:t>&lt;ESMA_QUESTION_SETT_7&gt;</w:t>
      </w:r>
    </w:p>
    <w:p w14:paraId="68E0001D" w14:textId="77777777" w:rsidR="00C5469A" w:rsidRDefault="00C5469A" w:rsidP="00C5469A">
      <w:permStart w:id="1217420632" w:edGrp="everyone"/>
      <w:r>
        <w:t>TYPE YOUR TEXT HERE</w:t>
      </w:r>
    </w:p>
    <w:permEnd w:id="1217420632"/>
    <w:p w14:paraId="747144F4" w14:textId="77777777" w:rsidR="00C5469A" w:rsidRDefault="00C5469A" w:rsidP="00C5469A">
      <w:r>
        <w:t>&lt;ESMA_QUESTION_SETT_7&gt;</w:t>
      </w:r>
    </w:p>
    <w:p w14:paraId="386F3E7A" w14:textId="23022D63" w:rsidR="00C5469A" w:rsidRDefault="00C5469A" w:rsidP="00C5469A"/>
    <w:p w14:paraId="2593F09B" w14:textId="77777777" w:rsidR="00C5469A" w:rsidRDefault="00C5469A" w:rsidP="00C5469A"/>
    <w:p w14:paraId="1EBC8F49" w14:textId="77777777" w:rsidR="00C5469A" w:rsidRDefault="00C5469A" w:rsidP="00C5469A">
      <w:pPr>
        <w:pStyle w:val="Questionstyle"/>
        <w:numPr>
          <w:ilvl w:val="0"/>
          <w:numId w:val="14"/>
        </w:numPr>
        <w:ind w:left="0"/>
      </w:pPr>
      <w:r>
        <w:t>: Is there any other cost (in particular those resulting from potential impacts to trading identified in the previous section) that ESMA should take into consideration? If yes, please describe the type of cost and provide estimates.</w:t>
      </w:r>
    </w:p>
    <w:p w14:paraId="42D1A981" w14:textId="77777777" w:rsidR="00C5469A" w:rsidRDefault="00C5469A" w:rsidP="00C5469A">
      <w:r>
        <w:t>&lt;ESMA_QUESTION_SETT_8&gt;</w:t>
      </w:r>
    </w:p>
    <w:p w14:paraId="0060865F" w14:textId="77777777" w:rsidR="00C5469A" w:rsidRDefault="00C5469A" w:rsidP="00C5469A">
      <w:permStart w:id="736563321" w:edGrp="everyone"/>
      <w:r>
        <w:t>TYPE YOUR TEXT HERE</w:t>
      </w:r>
    </w:p>
    <w:permEnd w:id="736563321"/>
    <w:p w14:paraId="120F8916" w14:textId="77777777" w:rsidR="00C5469A" w:rsidRDefault="00C5469A" w:rsidP="00C5469A">
      <w:r>
        <w:t>&lt;ESMA_QUESTION_SETT_8&gt;</w:t>
      </w:r>
    </w:p>
    <w:p w14:paraId="790AC8AA" w14:textId="77777777" w:rsidR="00C5469A" w:rsidRDefault="00C5469A" w:rsidP="00C5469A"/>
    <w:p w14:paraId="2DC10864" w14:textId="77777777" w:rsidR="00C5469A" w:rsidRDefault="00C5469A" w:rsidP="00C5469A">
      <w:pPr>
        <w:pStyle w:val="Questionstyle"/>
        <w:numPr>
          <w:ilvl w:val="0"/>
          <w:numId w:val="14"/>
        </w:numPr>
        <w:ind w:left="0"/>
      </w:pPr>
      <w:r>
        <w:t>: Do you agree with the mentioned benefits? Are there other benefits that should be accounted for in the assessment of an eventual shortening of the securities settlement cycle?</w:t>
      </w:r>
    </w:p>
    <w:p w14:paraId="616BC043" w14:textId="77777777" w:rsidR="00C5469A" w:rsidRDefault="00C5469A" w:rsidP="00C5469A">
      <w:r>
        <w:t>&lt;ESMA_QUESTION_SETT_9&gt;</w:t>
      </w:r>
    </w:p>
    <w:p w14:paraId="2D56D883" w14:textId="77777777" w:rsidR="00226C36" w:rsidRDefault="00226C36" w:rsidP="00226C36">
      <w:pPr>
        <w:rPr>
          <w:rFonts w:cstheme="minorHAnsi"/>
        </w:rPr>
      </w:pPr>
      <w:permStart w:id="1982556193" w:edGrp="everyone"/>
      <w:r>
        <w:rPr>
          <w:rFonts w:cstheme="minorHAnsi"/>
        </w:rPr>
        <w:t xml:space="preserve">We are aware of - and on a theoretical basis we could even agree with ESMA on - the generic description of the benefits mentioned under paragraph 31 (i.e. T+1 would contribute to reduced counterparty risk, lower collateral requirement, additional adoption of STP technologies, and we would add reduced market and credit risk). However, any of the potentially identifiable benefits would come at a very high expense, even more for smaller entities, </w:t>
      </w:r>
      <w:r w:rsidRPr="0027001A">
        <w:rPr>
          <w:rFonts w:cstheme="minorHAnsi"/>
          <w:b/>
          <w:bCs/>
          <w:u w:val="single"/>
        </w:rPr>
        <w:t>if</w:t>
      </w:r>
      <w:r>
        <w:rPr>
          <w:rFonts w:cstheme="minorHAnsi"/>
        </w:rPr>
        <w:t xml:space="preserve"> ESMA and the Commission would limit data gathering only to this current </w:t>
      </w:r>
      <w:r w:rsidRPr="0027001A">
        <w:rPr>
          <w:rFonts w:cstheme="minorHAnsi"/>
          <w:i/>
          <w:iCs/>
        </w:rPr>
        <w:t>Call for Evidence</w:t>
      </w:r>
      <w:r>
        <w:rPr>
          <w:rFonts w:cstheme="minorHAnsi"/>
        </w:rPr>
        <w:t xml:space="preserve"> and would not engage in future market participants, market infrastructures and other constituencies in an </w:t>
      </w:r>
      <w:r>
        <w:rPr>
          <w:rFonts w:cstheme="minorHAnsi"/>
        </w:rPr>
        <w:lastRenderedPageBreak/>
        <w:t>appropriate experts-based Task Force(s), as it was the case (for instance and by analogy) for when the Commission founded the EPTF Forum to tackle barriers in post-trading. Assessing the potential migration to a reduced SSC in the Union (given its fragmentation in terms of Trading Venues, CSDs, local legislation and data standards) does require an equal high standing Task Force.</w:t>
      </w:r>
    </w:p>
    <w:p w14:paraId="77BCEE55" w14:textId="77777777" w:rsidR="00226C36" w:rsidRPr="00D71C41" w:rsidRDefault="00226C36" w:rsidP="00226C36">
      <w:pPr>
        <w:rPr>
          <w:rFonts w:cstheme="minorHAnsi"/>
        </w:rPr>
      </w:pPr>
      <w:r>
        <w:rPr>
          <w:rFonts w:cstheme="minorHAnsi"/>
        </w:rPr>
        <w:t>Further to this, we do not agree with ESMA when, still under in par. 31, it mentions “</w:t>
      </w:r>
      <w:r w:rsidRPr="0027001A">
        <w:rPr>
          <w:rFonts w:cstheme="minorHAnsi"/>
          <w:i/>
          <w:iCs/>
        </w:rPr>
        <w:t>elimination of issues associated with unharmonized settlement cycles</w:t>
      </w:r>
      <w:r>
        <w:rPr>
          <w:rFonts w:cstheme="minorHAnsi"/>
        </w:rPr>
        <w:t xml:space="preserve">” as a potential benefit deriving from a migration to T+1 in the Union as, on the basis of the feedback we have gathered, the issues related to </w:t>
      </w:r>
      <w:r w:rsidRPr="00D71C41">
        <w:rPr>
          <w:rFonts w:cstheme="minorHAnsi"/>
          <w:i/>
          <w:iCs/>
        </w:rPr>
        <w:t>unharmonized settlement cycles</w:t>
      </w:r>
      <w:r>
        <w:rPr>
          <w:rFonts w:cstheme="minorHAnsi"/>
          <w:i/>
          <w:iCs/>
        </w:rPr>
        <w:t xml:space="preserve"> </w:t>
      </w:r>
      <w:r>
        <w:rPr>
          <w:rFonts w:cstheme="minorHAnsi"/>
        </w:rPr>
        <w:t xml:space="preserve">would currently be “confined” to a subset of securities and entities, should the Union (temporarily or permanently) decide to remain on the T+2 cycle. </w:t>
      </w:r>
    </w:p>
    <w:p w14:paraId="26101D6E" w14:textId="77777777" w:rsidR="00226C36" w:rsidRDefault="00226C36" w:rsidP="00226C36">
      <w:pPr>
        <w:rPr>
          <w:rFonts w:cstheme="minorHAnsi"/>
        </w:rPr>
      </w:pPr>
      <w:r>
        <w:rPr>
          <w:rFonts w:cstheme="minorHAnsi"/>
        </w:rPr>
        <w:t xml:space="preserve">Those benefits will be achievable only in the very long term and only if that is preceded by a profound harmonisation process across the Union to address and tackle the </w:t>
      </w:r>
      <w:r w:rsidRPr="0027001A">
        <w:rPr>
          <w:rFonts w:cstheme="minorHAnsi"/>
          <w:u w:val="single"/>
        </w:rPr>
        <w:t>current</w:t>
      </w:r>
      <w:r>
        <w:rPr>
          <w:rFonts w:cstheme="minorHAnsi"/>
        </w:rPr>
        <w:t xml:space="preserve"> </w:t>
      </w:r>
      <w:r w:rsidRPr="0027001A">
        <w:rPr>
          <w:rFonts w:cstheme="minorHAnsi"/>
          <w:u w:val="single"/>
        </w:rPr>
        <w:t>varied</w:t>
      </w:r>
      <w:r>
        <w:rPr>
          <w:rFonts w:cstheme="minorHAnsi"/>
        </w:rPr>
        <w:t xml:space="preserve"> sources of inefficiency.</w:t>
      </w:r>
    </w:p>
    <w:p w14:paraId="5345C3D3" w14:textId="77777777" w:rsidR="00226C36" w:rsidRDefault="00226C36" w:rsidP="00226C36">
      <w:pPr>
        <w:rPr>
          <w:rFonts w:cstheme="minorHAnsi"/>
        </w:rPr>
      </w:pPr>
      <w:r>
        <w:rPr>
          <w:rFonts w:cstheme="minorHAnsi"/>
        </w:rPr>
        <w:t xml:space="preserve">Some of our members, though, </w:t>
      </w:r>
      <w:proofErr w:type="gramStart"/>
      <w:r>
        <w:rPr>
          <w:rFonts w:cstheme="minorHAnsi"/>
        </w:rPr>
        <w:t>in an effort to</w:t>
      </w:r>
      <w:proofErr w:type="gramEnd"/>
      <w:r>
        <w:rPr>
          <w:rFonts w:cstheme="minorHAnsi"/>
        </w:rPr>
        <w:t xml:space="preserve"> adequately answer this question on “benefits”, have highlighted the following.</w:t>
      </w:r>
    </w:p>
    <w:p w14:paraId="36765EB4" w14:textId="0A692831" w:rsidR="00226C36" w:rsidRPr="007423ED" w:rsidRDefault="00520B29" w:rsidP="00520B29">
      <w:r>
        <w:t xml:space="preserve">1) </w:t>
      </w:r>
      <w:r w:rsidR="00226C36" w:rsidRPr="007423ED">
        <w:t>Potential Reduction of Costs</w:t>
      </w:r>
    </w:p>
    <w:p w14:paraId="761BEC30" w14:textId="77777777" w:rsidR="00226C36" w:rsidRPr="00463D5B" w:rsidRDefault="00226C36" w:rsidP="00226C36">
      <w:pPr>
        <w:rPr>
          <w:rFonts w:cstheme="minorHAnsi"/>
          <w:lang w:val="en-US"/>
        </w:rPr>
      </w:pPr>
      <w:r w:rsidRPr="00463D5B">
        <w:rPr>
          <w:rFonts w:cstheme="minorHAnsi"/>
          <w:lang w:val="en-US"/>
        </w:rPr>
        <w:t xml:space="preserve">Thanks to the reduction of the open exposures of firms over the </w:t>
      </w:r>
      <w:r>
        <w:rPr>
          <w:rFonts w:cstheme="minorHAnsi"/>
          <w:lang w:val="en-US"/>
        </w:rPr>
        <w:t xml:space="preserve">(shorter) </w:t>
      </w:r>
      <w:r w:rsidRPr="00463D5B">
        <w:rPr>
          <w:rFonts w:cstheme="minorHAnsi"/>
          <w:lang w:val="en-US"/>
        </w:rPr>
        <w:t xml:space="preserve">settlement period, </w:t>
      </w:r>
      <w:r>
        <w:rPr>
          <w:rFonts w:cstheme="minorHAnsi"/>
          <w:lang w:val="en-US"/>
        </w:rPr>
        <w:t xml:space="preserve">it would likely </w:t>
      </w:r>
      <w:proofErr w:type="gramStart"/>
      <w:r>
        <w:rPr>
          <w:rFonts w:cstheme="minorHAnsi"/>
          <w:lang w:val="en-US"/>
        </w:rPr>
        <w:t>materialized</w:t>
      </w:r>
      <w:proofErr w:type="gramEnd"/>
      <w:r>
        <w:rPr>
          <w:rFonts w:cstheme="minorHAnsi"/>
          <w:lang w:val="en-US"/>
        </w:rPr>
        <w:t xml:space="preserve"> </w:t>
      </w:r>
      <w:r w:rsidRPr="00463D5B">
        <w:rPr>
          <w:rFonts w:cstheme="minorHAnsi"/>
          <w:lang w:val="en-US"/>
        </w:rPr>
        <w:t xml:space="preserve">a </w:t>
      </w:r>
      <w:r w:rsidRPr="0027001A">
        <w:rPr>
          <w:rFonts w:cstheme="minorHAnsi"/>
          <w:b/>
          <w:bCs/>
          <w:lang w:val="en-US"/>
        </w:rPr>
        <w:t>reduction in margin requirements</w:t>
      </w:r>
      <w:r w:rsidRPr="00463D5B">
        <w:rPr>
          <w:rFonts w:cstheme="minorHAnsi"/>
          <w:lang w:val="en-US"/>
        </w:rPr>
        <w:t xml:space="preserve">, </w:t>
      </w:r>
      <w:r>
        <w:rPr>
          <w:rFonts w:cstheme="minorHAnsi"/>
          <w:lang w:val="en-US"/>
        </w:rPr>
        <w:t xml:space="preserve">thus </w:t>
      </w:r>
      <w:r w:rsidRPr="00463D5B">
        <w:rPr>
          <w:rFonts w:cstheme="minorHAnsi"/>
          <w:lang w:val="en-US"/>
        </w:rPr>
        <w:t xml:space="preserve">improving the ability of market participants to manage capital and liquidity risk. Savings associated to CCP collateral requirements are likely to occur and this, on its turn, </w:t>
      </w:r>
      <w:r w:rsidRPr="0027001A">
        <w:rPr>
          <w:rFonts w:cstheme="minorHAnsi"/>
          <w:b/>
          <w:bCs/>
          <w:lang w:val="en-US"/>
        </w:rPr>
        <w:t>could free up capital for other purposes</w:t>
      </w:r>
      <w:r>
        <w:rPr>
          <w:rFonts w:cstheme="minorHAnsi"/>
          <w:lang w:val="en-US"/>
        </w:rPr>
        <w:t xml:space="preserve"> and</w:t>
      </w:r>
      <w:r w:rsidRPr="00463D5B">
        <w:rPr>
          <w:rFonts w:cstheme="minorHAnsi"/>
          <w:lang w:val="en-US"/>
        </w:rPr>
        <w:t xml:space="preserve"> improv</w:t>
      </w:r>
      <w:r>
        <w:rPr>
          <w:rFonts w:cstheme="minorHAnsi"/>
          <w:lang w:val="en-US"/>
        </w:rPr>
        <w:t>e</w:t>
      </w:r>
      <w:r w:rsidRPr="00463D5B">
        <w:rPr>
          <w:rFonts w:cstheme="minorHAnsi"/>
          <w:lang w:val="en-US"/>
        </w:rPr>
        <w:t xml:space="preserve"> ROI </w:t>
      </w:r>
      <w:r w:rsidRPr="0027001A">
        <w:rPr>
          <w:rFonts w:cstheme="minorHAnsi"/>
          <w:i/>
          <w:iCs/>
          <w:lang w:val="en-US"/>
        </w:rPr>
        <w:t>Return-on-Investments</w:t>
      </w:r>
      <w:r>
        <w:rPr>
          <w:rFonts w:cstheme="minorHAnsi"/>
          <w:lang w:val="en-US"/>
        </w:rPr>
        <w:t xml:space="preserve"> </w:t>
      </w:r>
      <w:r w:rsidRPr="00463D5B">
        <w:rPr>
          <w:rFonts w:cstheme="minorHAnsi"/>
          <w:lang w:val="en-US"/>
        </w:rPr>
        <w:t xml:space="preserve">metrics. </w:t>
      </w:r>
    </w:p>
    <w:p w14:paraId="2840F49C" w14:textId="77777777" w:rsidR="00226C36" w:rsidRDefault="00226C36" w:rsidP="00226C36">
      <w:pPr>
        <w:rPr>
          <w:rFonts w:cstheme="minorHAnsi"/>
          <w:lang w:val="en-US"/>
        </w:rPr>
      </w:pPr>
      <w:r w:rsidRPr="00463D5B">
        <w:rPr>
          <w:rFonts w:cstheme="minorHAnsi"/>
          <w:lang w:val="en-US"/>
        </w:rPr>
        <w:t xml:space="preserve">That said, </w:t>
      </w:r>
      <w:r>
        <w:rPr>
          <w:rFonts w:cstheme="minorHAnsi"/>
          <w:lang w:val="en-US"/>
        </w:rPr>
        <w:t xml:space="preserve">as the flip of a coin, </w:t>
      </w:r>
      <w:r w:rsidRPr="00463D5B">
        <w:rPr>
          <w:rFonts w:cstheme="minorHAnsi"/>
          <w:lang w:val="en-US"/>
        </w:rPr>
        <w:t xml:space="preserve">these savings should be balanced </w:t>
      </w:r>
      <w:r>
        <w:rPr>
          <w:rFonts w:cstheme="minorHAnsi"/>
          <w:lang w:val="en-US"/>
        </w:rPr>
        <w:t xml:space="preserve">(and potentially vanished) by </w:t>
      </w:r>
      <w:r w:rsidRPr="00463D5B">
        <w:rPr>
          <w:rFonts w:cstheme="minorHAnsi"/>
          <w:lang w:val="en-US"/>
        </w:rPr>
        <w:t xml:space="preserve">the impact of </w:t>
      </w:r>
      <w:r>
        <w:rPr>
          <w:rFonts w:cstheme="minorHAnsi"/>
          <w:lang w:val="en-US"/>
        </w:rPr>
        <w:t xml:space="preserve">the </w:t>
      </w:r>
      <w:r w:rsidRPr="00463D5B">
        <w:rPr>
          <w:rFonts w:cstheme="minorHAnsi"/>
          <w:lang w:val="en-US"/>
        </w:rPr>
        <w:t xml:space="preserve">changes </w:t>
      </w:r>
      <w:r>
        <w:rPr>
          <w:rFonts w:cstheme="minorHAnsi"/>
          <w:lang w:val="en-US"/>
        </w:rPr>
        <w:t xml:space="preserve">which would occur </w:t>
      </w:r>
      <w:r w:rsidRPr="00463D5B">
        <w:rPr>
          <w:rFonts w:cstheme="minorHAnsi"/>
          <w:lang w:val="en-US"/>
        </w:rPr>
        <w:t xml:space="preserve">to </w:t>
      </w:r>
      <w:r>
        <w:rPr>
          <w:rFonts w:cstheme="minorHAnsi"/>
          <w:lang w:val="en-US"/>
        </w:rPr>
        <w:t>S</w:t>
      </w:r>
      <w:r w:rsidRPr="00463D5B">
        <w:rPr>
          <w:rFonts w:cstheme="minorHAnsi"/>
          <w:lang w:val="en-US"/>
        </w:rPr>
        <w:t xml:space="preserve">ecurities </w:t>
      </w:r>
      <w:r>
        <w:rPr>
          <w:rFonts w:cstheme="minorHAnsi"/>
          <w:lang w:val="en-US"/>
        </w:rPr>
        <w:t>L</w:t>
      </w:r>
      <w:r w:rsidRPr="00463D5B">
        <w:rPr>
          <w:rFonts w:cstheme="minorHAnsi"/>
          <w:lang w:val="en-US"/>
        </w:rPr>
        <w:t>ending processes</w:t>
      </w:r>
      <w:r>
        <w:rPr>
          <w:rFonts w:cstheme="minorHAnsi"/>
          <w:lang w:val="en-US"/>
        </w:rPr>
        <w:t>,</w:t>
      </w:r>
      <w:r w:rsidRPr="00463D5B">
        <w:rPr>
          <w:rFonts w:cstheme="minorHAnsi"/>
          <w:lang w:val="en-US"/>
        </w:rPr>
        <w:t xml:space="preserve"> that may arise as an outcome of posting excess margins, thereby jeopardizing the uplifts in terms of capital efficiency</w:t>
      </w:r>
      <w:r>
        <w:rPr>
          <w:rFonts w:cstheme="minorHAnsi"/>
          <w:lang w:val="en-US"/>
        </w:rPr>
        <w:t>.</w:t>
      </w:r>
    </w:p>
    <w:p w14:paraId="5EF4D239" w14:textId="2B309E40" w:rsidR="00226C36" w:rsidRPr="007423ED" w:rsidRDefault="00520B29" w:rsidP="00520B29">
      <w:r>
        <w:t xml:space="preserve">2) </w:t>
      </w:r>
      <w:r w:rsidR="00226C36" w:rsidRPr="007423ED">
        <w:t>Modernization of Capital Markets</w:t>
      </w:r>
    </w:p>
    <w:p w14:paraId="7DBBC5AB" w14:textId="7131AE78" w:rsidR="00C5469A" w:rsidRDefault="00226C36" w:rsidP="00226C36">
      <w:proofErr w:type="gramStart"/>
      <w:r w:rsidRPr="00514546">
        <w:rPr>
          <w:rFonts w:cstheme="minorHAnsi"/>
          <w:lang w:val="en-US"/>
        </w:rPr>
        <w:t>As a consequence of</w:t>
      </w:r>
      <w:proofErr w:type="gramEnd"/>
      <w:r w:rsidRPr="00514546">
        <w:rPr>
          <w:rFonts w:cstheme="minorHAnsi"/>
          <w:lang w:val="en-US"/>
        </w:rPr>
        <w:t xml:space="preserve"> the adoption of T+1, the industry </w:t>
      </w:r>
      <w:r>
        <w:rPr>
          <w:rFonts w:cstheme="minorHAnsi"/>
          <w:lang w:val="en-US"/>
        </w:rPr>
        <w:t xml:space="preserve">at wide could </w:t>
      </w:r>
      <w:r w:rsidRPr="00514546">
        <w:rPr>
          <w:rFonts w:cstheme="minorHAnsi"/>
          <w:lang w:val="en-US"/>
        </w:rPr>
        <w:t>have</w:t>
      </w:r>
      <w:r>
        <w:rPr>
          <w:rFonts w:cstheme="minorHAnsi"/>
          <w:lang w:val="en-US"/>
        </w:rPr>
        <w:t xml:space="preserve"> the occasion to</w:t>
      </w:r>
      <w:r w:rsidRPr="00514546">
        <w:rPr>
          <w:rFonts w:cstheme="minorHAnsi"/>
          <w:lang w:val="en-US"/>
        </w:rPr>
        <w:t xml:space="preserve"> removing dependencies on manual processes and </w:t>
      </w:r>
      <w:r>
        <w:rPr>
          <w:rFonts w:cstheme="minorHAnsi"/>
          <w:lang w:val="en-US"/>
        </w:rPr>
        <w:t xml:space="preserve">to </w:t>
      </w:r>
      <w:r w:rsidRPr="00514546">
        <w:rPr>
          <w:rFonts w:cstheme="minorHAnsi"/>
          <w:lang w:val="en-US"/>
        </w:rPr>
        <w:t>embracing automation</w:t>
      </w:r>
      <w:r>
        <w:rPr>
          <w:rFonts w:cstheme="minorHAnsi"/>
          <w:lang w:val="en-US"/>
        </w:rPr>
        <w:t xml:space="preserve">, </w:t>
      </w:r>
      <w:r w:rsidRPr="00514546">
        <w:rPr>
          <w:rFonts w:cstheme="minorHAnsi"/>
          <w:lang w:val="en-US"/>
        </w:rPr>
        <w:t>as well as optimizing inventory management</w:t>
      </w:r>
      <w:r>
        <w:rPr>
          <w:rFonts w:cstheme="minorHAnsi"/>
          <w:lang w:val="en-US"/>
        </w:rPr>
        <w:t>.</w:t>
      </w:r>
    </w:p>
    <w:permEnd w:id="1982556193"/>
    <w:p w14:paraId="279B3093" w14:textId="77777777" w:rsidR="00C5469A" w:rsidRDefault="00C5469A" w:rsidP="00C5469A">
      <w:r>
        <w:t>&lt;ESMA_QUESTION_SETT_9&gt;</w:t>
      </w:r>
    </w:p>
    <w:p w14:paraId="07A35032" w14:textId="77777777" w:rsidR="00C5469A" w:rsidRDefault="00C5469A" w:rsidP="00C5469A"/>
    <w:p w14:paraId="1F484B02" w14:textId="70286B38" w:rsidR="00C5469A" w:rsidRDefault="00C5469A" w:rsidP="00C5469A">
      <w:pPr>
        <w:pStyle w:val="Questionstyle"/>
        <w:numPr>
          <w:ilvl w:val="0"/>
          <w:numId w:val="14"/>
        </w:numPr>
        <w:ind w:left="0"/>
      </w:pPr>
      <w:r>
        <w:lastRenderedPageBreak/>
        <w:t>:Please quantify the expected savings from an eventual reduction of collateral requirements derived from T+1 and T+0 (for cleared transactions as well as for non-cleared transactions subject to margin requirements).</w:t>
      </w:r>
    </w:p>
    <w:p w14:paraId="33725216" w14:textId="77777777" w:rsidR="00C5469A" w:rsidRDefault="00C5469A" w:rsidP="00C5469A">
      <w:r>
        <w:t>&lt;ESMA_QUESTION_SETT_10&gt;</w:t>
      </w:r>
    </w:p>
    <w:p w14:paraId="43C3DEF9" w14:textId="77777777" w:rsidR="00C5469A" w:rsidRDefault="00C5469A" w:rsidP="00C5469A">
      <w:permStart w:id="639642393" w:edGrp="everyone"/>
      <w:r>
        <w:t>TYPE YOUR TEXT HERE</w:t>
      </w:r>
    </w:p>
    <w:permEnd w:id="639642393"/>
    <w:p w14:paraId="4C4DCD26" w14:textId="77777777" w:rsidR="00C5469A" w:rsidRDefault="00C5469A" w:rsidP="00C5469A">
      <w:r>
        <w:t>&lt;ESMA_QUESTION_SETT_10&gt;</w:t>
      </w:r>
    </w:p>
    <w:p w14:paraId="5FC40AB6" w14:textId="30F37AE7" w:rsidR="00C5469A" w:rsidRDefault="00C5469A" w:rsidP="00C5469A"/>
    <w:p w14:paraId="07BEC62A" w14:textId="3CC4EF5B" w:rsidR="00C5469A" w:rsidRDefault="00C5469A" w:rsidP="00C5469A"/>
    <w:p w14:paraId="6A1F5571" w14:textId="4F1DB2A8" w:rsidR="00C5469A" w:rsidRDefault="00C5469A" w:rsidP="00C5469A"/>
    <w:p w14:paraId="415BB25E" w14:textId="77777777" w:rsidR="00C5469A" w:rsidRDefault="00C5469A" w:rsidP="00C5469A"/>
    <w:p w14:paraId="7EDBD522" w14:textId="77777777" w:rsidR="00C5469A" w:rsidRDefault="00C5469A" w:rsidP="00C5469A">
      <w:pPr>
        <w:pStyle w:val="Questionstyle"/>
        <w:numPr>
          <w:ilvl w:val="0"/>
          <w:numId w:val="14"/>
        </w:numPr>
        <w:ind w:left="0"/>
      </w:pPr>
      <w:r>
        <w:t>: If possible, please provide estimates of the benefits that you would expect from T+1 and from T+0, for example the on-going savings of potentially more automated processes.</w:t>
      </w:r>
    </w:p>
    <w:p w14:paraId="528C8491" w14:textId="77777777" w:rsidR="00C5469A" w:rsidRDefault="00C5469A" w:rsidP="00C5469A">
      <w:r>
        <w:t>&lt;ESMA_QUESTION_SETT_11&gt;</w:t>
      </w:r>
    </w:p>
    <w:p w14:paraId="73C69B65" w14:textId="77777777" w:rsidR="00C5469A" w:rsidRDefault="00C5469A" w:rsidP="00C5469A">
      <w:permStart w:id="78006216" w:edGrp="everyone"/>
      <w:r>
        <w:t>TYPE YOUR TEXT HERE</w:t>
      </w:r>
    </w:p>
    <w:permEnd w:id="78006216"/>
    <w:p w14:paraId="25446109" w14:textId="77777777" w:rsidR="00C5469A" w:rsidRDefault="00C5469A" w:rsidP="00C5469A">
      <w:r>
        <w:t>&lt;ESMA_QUESTION_SETT_11&gt;</w:t>
      </w:r>
    </w:p>
    <w:p w14:paraId="4B4B6D1C" w14:textId="77777777" w:rsidR="00C5469A" w:rsidRDefault="00C5469A" w:rsidP="00C5469A"/>
    <w:p w14:paraId="27A5B905" w14:textId="77777777" w:rsidR="00C5469A" w:rsidRDefault="00C5469A" w:rsidP="00C5469A">
      <w:pPr>
        <w:pStyle w:val="Questionstyle"/>
        <w:numPr>
          <w:ilvl w:val="0"/>
          <w:numId w:val="14"/>
        </w:numPr>
        <w:ind w:left="0"/>
      </w:pPr>
      <w:r>
        <w:t>: How do you assess the impact that a shorter settlement cycle could have on the liquidity for EU markets (from your perspective and for the market in general)? Please differentiate between T+1 and T+0 where possible.</w:t>
      </w:r>
    </w:p>
    <w:p w14:paraId="1BB7B33C" w14:textId="77777777" w:rsidR="00C5469A" w:rsidRDefault="00C5469A" w:rsidP="00C5469A">
      <w:r>
        <w:t>&lt;ESMA_QUESTION_SETT_12&gt;</w:t>
      </w:r>
    </w:p>
    <w:p w14:paraId="7163C409" w14:textId="77777777" w:rsidR="00C5469A" w:rsidRDefault="00C5469A" w:rsidP="00C5469A">
      <w:permStart w:id="27267923" w:edGrp="everyone"/>
      <w:r>
        <w:t>TYPE YOUR TEXT HERE</w:t>
      </w:r>
    </w:p>
    <w:permEnd w:id="27267923"/>
    <w:p w14:paraId="1B6472CD" w14:textId="77777777" w:rsidR="00C5469A" w:rsidRDefault="00C5469A" w:rsidP="00C5469A">
      <w:r>
        <w:t>&lt;ESMA_QUESTION_SETT_12&gt;</w:t>
      </w:r>
    </w:p>
    <w:p w14:paraId="7794DABE" w14:textId="77777777" w:rsidR="00C5469A" w:rsidRDefault="00C5469A" w:rsidP="00C5469A"/>
    <w:p w14:paraId="249894AD" w14:textId="77777777" w:rsidR="00C5469A" w:rsidRDefault="00C5469A" w:rsidP="00C5469A">
      <w:pPr>
        <w:pStyle w:val="Questionstyle"/>
        <w:numPr>
          <w:ilvl w:val="0"/>
          <w:numId w:val="14"/>
        </w:numPr>
        <w:ind w:left="0"/>
      </w:pPr>
      <w:r>
        <w:t>: What would be the benefits for retail clients?</w:t>
      </w:r>
    </w:p>
    <w:p w14:paraId="0C8C68D3" w14:textId="77777777" w:rsidR="00C5469A" w:rsidRDefault="00C5469A" w:rsidP="00C5469A">
      <w:r>
        <w:lastRenderedPageBreak/>
        <w:t>&lt;ESMA_QUESTION_SETT_13&gt;</w:t>
      </w:r>
    </w:p>
    <w:p w14:paraId="5D6FF962" w14:textId="77777777" w:rsidR="00645CDB" w:rsidRDefault="00645CDB" w:rsidP="00645CDB">
      <w:pPr>
        <w:rPr>
          <w:rFonts w:cstheme="minorHAnsi"/>
        </w:rPr>
      </w:pPr>
      <w:permStart w:id="75696228" w:edGrp="everyone"/>
      <w:r>
        <w:rPr>
          <w:rFonts w:cstheme="minorHAnsi"/>
        </w:rPr>
        <w:t>In term of benefits for retail clients, we have not gathered much feedback at this stage and the following considerations must be read as partial preliminary feedback, susceptible of future adjustments or changes.</w:t>
      </w:r>
    </w:p>
    <w:p w14:paraId="2BBF1ED0" w14:textId="77777777" w:rsidR="00645CDB" w:rsidRPr="009F3EB0" w:rsidRDefault="00645CDB" w:rsidP="00645CDB">
      <w:pPr>
        <w:rPr>
          <w:rFonts w:cstheme="minorHAnsi"/>
          <w:lang w:val="en-US"/>
        </w:rPr>
      </w:pPr>
      <w:r w:rsidRPr="009F3EB0">
        <w:rPr>
          <w:rFonts w:cstheme="minorHAnsi"/>
          <w:lang w:val="en-US"/>
        </w:rPr>
        <w:t xml:space="preserve">The shortening of the settlement cycle </w:t>
      </w:r>
      <w:r>
        <w:rPr>
          <w:rFonts w:cstheme="minorHAnsi"/>
          <w:lang w:val="en-US"/>
        </w:rPr>
        <w:t xml:space="preserve">could </w:t>
      </w:r>
      <w:r w:rsidRPr="009F3EB0">
        <w:rPr>
          <w:rFonts w:cstheme="minorHAnsi"/>
          <w:lang w:val="en-US"/>
        </w:rPr>
        <w:t xml:space="preserve">bring </w:t>
      </w:r>
      <w:r>
        <w:rPr>
          <w:rFonts w:cstheme="minorHAnsi"/>
          <w:lang w:val="en-US"/>
        </w:rPr>
        <w:t xml:space="preserve">some </w:t>
      </w:r>
      <w:r w:rsidRPr="009F3EB0">
        <w:rPr>
          <w:rFonts w:cstheme="minorHAnsi"/>
          <w:lang w:val="en-US"/>
        </w:rPr>
        <w:t>benefits to customer</w:t>
      </w:r>
      <w:r>
        <w:rPr>
          <w:rFonts w:cstheme="minorHAnsi"/>
          <w:lang w:val="en-US"/>
        </w:rPr>
        <w:t>s</w:t>
      </w:r>
      <w:r w:rsidRPr="009F3EB0">
        <w:rPr>
          <w:rFonts w:cstheme="minorHAnsi"/>
          <w:lang w:val="en-US"/>
        </w:rPr>
        <w:t xml:space="preserve"> and could constitute an element of further attractiveness towards investments in the sector. Indeed, retail clients </w:t>
      </w:r>
      <w:r>
        <w:rPr>
          <w:rFonts w:cstheme="minorHAnsi"/>
          <w:lang w:val="en-US"/>
        </w:rPr>
        <w:t xml:space="preserve">should be </w:t>
      </w:r>
      <w:proofErr w:type="gramStart"/>
      <w:r>
        <w:rPr>
          <w:rFonts w:cstheme="minorHAnsi"/>
          <w:lang w:val="en-US"/>
        </w:rPr>
        <w:t>in a position</w:t>
      </w:r>
      <w:proofErr w:type="gramEnd"/>
      <w:r>
        <w:rPr>
          <w:rFonts w:cstheme="minorHAnsi"/>
          <w:lang w:val="en-US"/>
        </w:rPr>
        <w:t xml:space="preserve"> to </w:t>
      </w:r>
      <w:r w:rsidRPr="009F3EB0">
        <w:rPr>
          <w:rFonts w:cstheme="minorHAnsi"/>
          <w:lang w:val="en-US"/>
        </w:rPr>
        <w:t>benefit a shorter settlement cycle since they would be in the position to buy securities at</w:t>
      </w:r>
      <w:r>
        <w:rPr>
          <w:rFonts w:cstheme="minorHAnsi"/>
          <w:lang w:val="en-US"/>
        </w:rPr>
        <w:t xml:space="preserve"> day </w:t>
      </w:r>
      <w:r w:rsidRPr="009F3EB0">
        <w:rPr>
          <w:rFonts w:cstheme="minorHAnsi"/>
          <w:lang w:val="en-US"/>
        </w:rPr>
        <w:t xml:space="preserve">“D” and sell them at D+1 (while, at present, they have to wait for “D+2” in order to sell securities bought </w:t>
      </w:r>
      <w:r>
        <w:rPr>
          <w:rFonts w:cstheme="minorHAnsi"/>
          <w:lang w:val="en-US"/>
        </w:rPr>
        <w:t>in</w:t>
      </w:r>
      <w:r w:rsidRPr="009F3EB0">
        <w:rPr>
          <w:rFonts w:cstheme="minorHAnsi"/>
          <w:lang w:val="en-US"/>
        </w:rPr>
        <w:t xml:space="preserve"> “D”).</w:t>
      </w:r>
    </w:p>
    <w:p w14:paraId="019E0E12" w14:textId="5E0DCEDA" w:rsidR="00C5469A" w:rsidRDefault="00645CDB" w:rsidP="00645CDB">
      <w:r w:rsidRPr="009F3EB0">
        <w:rPr>
          <w:rFonts w:cstheme="minorHAnsi"/>
          <w:lang w:val="en-US"/>
        </w:rPr>
        <w:t xml:space="preserve">The current “contractualization” of </w:t>
      </w:r>
      <w:r>
        <w:rPr>
          <w:rFonts w:cstheme="minorHAnsi"/>
          <w:lang w:val="en-US"/>
        </w:rPr>
        <w:t xml:space="preserve">retail clients at the </w:t>
      </w:r>
      <w:proofErr w:type="gramStart"/>
      <w:r>
        <w:rPr>
          <w:rFonts w:cstheme="minorHAnsi"/>
          <w:lang w:val="en-US"/>
        </w:rPr>
        <w:t>current status</w:t>
      </w:r>
      <w:proofErr w:type="gramEnd"/>
      <w:r>
        <w:rPr>
          <w:rFonts w:cstheme="minorHAnsi"/>
          <w:lang w:val="en-US"/>
        </w:rPr>
        <w:t xml:space="preserve"> embeds </w:t>
      </w:r>
      <w:r w:rsidRPr="009F3EB0">
        <w:rPr>
          <w:rFonts w:cstheme="minorHAnsi"/>
          <w:lang w:val="en-US"/>
        </w:rPr>
        <w:t xml:space="preserve">that </w:t>
      </w:r>
      <w:r>
        <w:rPr>
          <w:rFonts w:cstheme="minorHAnsi"/>
          <w:lang w:val="en-US"/>
        </w:rPr>
        <w:t xml:space="preserve">a </w:t>
      </w:r>
      <w:r w:rsidRPr="009F3EB0">
        <w:rPr>
          <w:rFonts w:cstheme="minorHAnsi"/>
          <w:lang w:val="en-US"/>
        </w:rPr>
        <w:t xml:space="preserve">customer is always granted the </w:t>
      </w:r>
      <w:r>
        <w:rPr>
          <w:rFonts w:cstheme="minorHAnsi"/>
          <w:lang w:val="en-US"/>
        </w:rPr>
        <w:t xml:space="preserve">so-called </w:t>
      </w:r>
      <w:r w:rsidRPr="009F3EB0">
        <w:rPr>
          <w:rFonts w:cstheme="minorHAnsi"/>
          <w:lang w:val="en-US"/>
        </w:rPr>
        <w:t>"contractual regulation</w:t>
      </w:r>
      <w:r>
        <w:rPr>
          <w:rFonts w:cstheme="minorHAnsi"/>
          <w:lang w:val="en-US"/>
        </w:rPr>
        <w:t>” or “contractual settlement” (the reception of a given security is guaranteed by the relevant bank/intermediary)</w:t>
      </w:r>
      <w:r w:rsidRPr="009F3EB0">
        <w:rPr>
          <w:rFonts w:cstheme="minorHAnsi"/>
          <w:lang w:val="en-US"/>
        </w:rPr>
        <w:t xml:space="preserve">. In a </w:t>
      </w:r>
      <w:r>
        <w:rPr>
          <w:rFonts w:cstheme="minorHAnsi"/>
          <w:lang w:val="en-US"/>
        </w:rPr>
        <w:t xml:space="preserve">potential future scenario where settlement in T+1 embeds (in the initial phase) a higher </w:t>
      </w:r>
      <w:r w:rsidRPr="009F3EB0">
        <w:rPr>
          <w:rFonts w:cstheme="minorHAnsi"/>
          <w:lang w:val="en-US"/>
        </w:rPr>
        <w:t>"settlement risk</w:t>
      </w:r>
      <w:r>
        <w:rPr>
          <w:rFonts w:cstheme="minorHAnsi"/>
          <w:lang w:val="en-US"/>
        </w:rPr>
        <w:t>”</w:t>
      </w:r>
      <w:r w:rsidRPr="009F3EB0">
        <w:rPr>
          <w:rFonts w:cstheme="minorHAnsi"/>
          <w:lang w:val="en-US"/>
        </w:rPr>
        <w:t xml:space="preserve"> </w:t>
      </w:r>
      <w:r>
        <w:rPr>
          <w:rFonts w:cstheme="minorHAnsi"/>
          <w:lang w:val="en-US"/>
        </w:rPr>
        <w:t>(due to any emerging potential issue)</w:t>
      </w:r>
      <w:r w:rsidRPr="009F3EB0">
        <w:rPr>
          <w:rFonts w:cstheme="minorHAnsi"/>
          <w:lang w:val="en-US"/>
        </w:rPr>
        <w:t xml:space="preserve">, </w:t>
      </w:r>
      <w:r>
        <w:rPr>
          <w:rFonts w:cstheme="minorHAnsi"/>
          <w:lang w:val="en-US"/>
        </w:rPr>
        <w:t xml:space="preserve">such </w:t>
      </w:r>
      <w:r w:rsidRPr="009F3EB0">
        <w:rPr>
          <w:rFonts w:cstheme="minorHAnsi"/>
          <w:lang w:val="en-US"/>
        </w:rPr>
        <w:t>increase</w:t>
      </w:r>
      <w:r>
        <w:rPr>
          <w:rFonts w:cstheme="minorHAnsi"/>
          <w:lang w:val="en-US"/>
        </w:rPr>
        <w:t>d</w:t>
      </w:r>
      <w:r w:rsidRPr="009F3EB0">
        <w:rPr>
          <w:rFonts w:cstheme="minorHAnsi"/>
          <w:lang w:val="en-US"/>
        </w:rPr>
        <w:t xml:space="preserve"> risk would </w:t>
      </w:r>
      <w:r>
        <w:rPr>
          <w:rFonts w:cstheme="minorHAnsi"/>
          <w:lang w:val="en-US"/>
        </w:rPr>
        <w:t>not get to the final retail client (all considerations are preliminary and to be further investigated).</w:t>
      </w:r>
    </w:p>
    <w:permEnd w:id="75696228"/>
    <w:p w14:paraId="278E6A7C" w14:textId="77777777" w:rsidR="00C5469A" w:rsidRDefault="00C5469A" w:rsidP="00C5469A">
      <w:r>
        <w:t>&lt;ESMA_QUESTION_SETT_13&gt;</w:t>
      </w:r>
    </w:p>
    <w:p w14:paraId="1D97D564" w14:textId="77777777" w:rsidR="00C5469A" w:rsidRDefault="00C5469A" w:rsidP="00C5469A"/>
    <w:p w14:paraId="64E22119" w14:textId="77777777" w:rsidR="00C5469A" w:rsidRDefault="00C5469A" w:rsidP="00C5469A">
      <w:pPr>
        <w:pStyle w:val="Questionstyle"/>
        <w:numPr>
          <w:ilvl w:val="0"/>
          <w:numId w:val="14"/>
        </w:numPr>
        <w:ind w:left="0"/>
      </w:pPr>
      <w:r>
        <w:t>: How would you weigh the benefits against the costs of moving to a shorter settlement cycle? Please differentiate between a potential move to T+1 and to T+0.</w:t>
      </w:r>
    </w:p>
    <w:p w14:paraId="521CB461" w14:textId="77777777" w:rsidR="00C5469A" w:rsidRDefault="00C5469A" w:rsidP="00C5469A">
      <w:r>
        <w:t>&lt;ESMA_QUESTION_SETT_14&gt;</w:t>
      </w:r>
    </w:p>
    <w:p w14:paraId="3240CBCD" w14:textId="77777777" w:rsidR="00C5469A" w:rsidRDefault="00C5469A" w:rsidP="00C5469A">
      <w:permStart w:id="1702320082" w:edGrp="everyone"/>
      <w:r>
        <w:t>TYPE YOUR TEXT HERE</w:t>
      </w:r>
    </w:p>
    <w:permEnd w:id="1702320082"/>
    <w:p w14:paraId="2CEAAEB1" w14:textId="67273781" w:rsidR="00C5469A" w:rsidRDefault="00C5469A" w:rsidP="00C5469A">
      <w:r>
        <w:t>&lt;ESMA_QUESTION_SETT_14&gt;</w:t>
      </w:r>
    </w:p>
    <w:p w14:paraId="423C7BC4" w14:textId="77777777" w:rsidR="00C5469A" w:rsidRDefault="00C5469A" w:rsidP="00C5469A">
      <w:pPr>
        <w:pStyle w:val="Questionstyle"/>
        <w:numPr>
          <w:ilvl w:val="0"/>
          <w:numId w:val="14"/>
        </w:numPr>
        <w:ind w:left="0"/>
      </w:pPr>
      <w:r>
        <w:t>: Please describe the main steps that you would envisage to achieve an eventual shorter securities settlement cycle. In particular, specify: (i) the regulatory and industry milestones; and (ii) the time needed for each milestone and the proposed ultimate deadline.</w:t>
      </w:r>
    </w:p>
    <w:p w14:paraId="2564E246" w14:textId="77777777" w:rsidR="00C5469A" w:rsidRDefault="00C5469A" w:rsidP="00C5469A">
      <w:r>
        <w:t>&lt;ESMA_QUESTION_SETT_15&gt;</w:t>
      </w:r>
    </w:p>
    <w:p w14:paraId="50EB5E1E" w14:textId="77777777" w:rsidR="006E1DC5" w:rsidRPr="000262A2" w:rsidRDefault="006E1DC5" w:rsidP="006E1DC5">
      <w:pPr>
        <w:rPr>
          <w:rFonts w:cstheme="minorHAnsi"/>
        </w:rPr>
      </w:pPr>
      <w:permStart w:id="1673478500" w:edGrp="everyone"/>
      <w:r>
        <w:rPr>
          <w:rFonts w:cstheme="minorHAnsi"/>
        </w:rPr>
        <w:t xml:space="preserve">As mentioned at the end of our answer to Q.1., </w:t>
      </w:r>
      <w:r w:rsidRPr="000262A2">
        <w:rPr>
          <w:rFonts w:cstheme="minorHAnsi"/>
        </w:rPr>
        <w:t xml:space="preserve">ABI </w:t>
      </w:r>
      <w:r>
        <w:rPr>
          <w:rFonts w:cstheme="minorHAnsi"/>
        </w:rPr>
        <w:t xml:space="preserve">believes that the main initial step to take is for the Union, and </w:t>
      </w:r>
      <w:r w:rsidRPr="000262A2">
        <w:rPr>
          <w:rFonts w:cstheme="minorHAnsi"/>
        </w:rPr>
        <w:t xml:space="preserve">ESMA </w:t>
      </w:r>
      <w:r>
        <w:rPr>
          <w:rFonts w:cstheme="minorHAnsi"/>
        </w:rPr>
        <w:t xml:space="preserve">in particular, </w:t>
      </w:r>
      <w:r w:rsidRPr="000262A2">
        <w:rPr>
          <w:rFonts w:cstheme="minorHAnsi"/>
        </w:rPr>
        <w:t xml:space="preserve">to work </w:t>
      </w:r>
      <w:r>
        <w:rPr>
          <w:rFonts w:cstheme="minorHAnsi"/>
        </w:rPr>
        <w:t xml:space="preserve">closely and on a regular basis </w:t>
      </w:r>
      <w:r w:rsidRPr="000262A2">
        <w:rPr>
          <w:rFonts w:cstheme="minorHAnsi"/>
        </w:rPr>
        <w:t>with Trading Venues, CSDs</w:t>
      </w:r>
      <w:r>
        <w:rPr>
          <w:rFonts w:cstheme="minorHAnsi"/>
        </w:rPr>
        <w:t>,</w:t>
      </w:r>
      <w:r w:rsidRPr="000262A2">
        <w:rPr>
          <w:rFonts w:cstheme="minorHAnsi"/>
        </w:rPr>
        <w:t xml:space="preserve"> Custodian Banks</w:t>
      </w:r>
      <w:r>
        <w:rPr>
          <w:rFonts w:cstheme="minorHAnsi"/>
        </w:rPr>
        <w:t xml:space="preserve">, asset manages and </w:t>
      </w:r>
      <w:r w:rsidRPr="0027001A">
        <w:rPr>
          <w:rFonts w:cstheme="minorHAnsi"/>
          <w:u w:val="single"/>
        </w:rPr>
        <w:t>smaller banks representatives</w:t>
      </w:r>
      <w:r>
        <w:rPr>
          <w:rFonts w:cstheme="minorHAnsi"/>
        </w:rPr>
        <w:t xml:space="preserve"> </w:t>
      </w:r>
      <w:r w:rsidRPr="00931BBD">
        <w:rPr>
          <w:rFonts w:cstheme="minorHAnsi"/>
          <w:b/>
          <w:bCs/>
        </w:rPr>
        <w:t xml:space="preserve">to </w:t>
      </w:r>
      <w:r w:rsidRPr="0027001A">
        <w:rPr>
          <w:rFonts w:cstheme="minorHAnsi"/>
          <w:b/>
          <w:bCs/>
        </w:rPr>
        <w:t>identify</w:t>
      </w:r>
      <w:r w:rsidRPr="00931BBD">
        <w:rPr>
          <w:rFonts w:cstheme="minorHAnsi"/>
          <w:b/>
          <w:bCs/>
        </w:rPr>
        <w:t xml:space="preserve"> an</w:t>
      </w:r>
      <w:r w:rsidRPr="000262A2">
        <w:rPr>
          <w:rFonts w:cstheme="minorHAnsi"/>
        </w:rPr>
        <w:t xml:space="preserve"> </w:t>
      </w:r>
      <w:r w:rsidRPr="000262A2">
        <w:rPr>
          <w:rFonts w:cstheme="minorHAnsi"/>
          <w:b/>
          <w:bCs/>
        </w:rPr>
        <w:t>appropriate, stable and unique (set of) measures</w:t>
      </w:r>
      <w:r w:rsidRPr="000262A2">
        <w:rPr>
          <w:rFonts w:cstheme="minorHAnsi"/>
        </w:rPr>
        <w:t xml:space="preserve"> (or quantitative-mathematical </w:t>
      </w:r>
      <w:r w:rsidRPr="000262A2">
        <w:rPr>
          <w:rFonts w:cstheme="minorHAnsi"/>
        </w:rPr>
        <w:lastRenderedPageBreak/>
        <w:t xml:space="preserve">variables) </w:t>
      </w:r>
      <w:r w:rsidRPr="000262A2">
        <w:rPr>
          <w:rFonts w:cstheme="minorHAnsi"/>
          <w:b/>
          <w:bCs/>
        </w:rPr>
        <w:t>to quantify settlement efficiency in the Union</w:t>
      </w:r>
      <w:r w:rsidRPr="000262A2">
        <w:rPr>
          <w:rFonts w:cstheme="minorHAnsi"/>
        </w:rPr>
        <w:t xml:space="preserve">. Only starting from such an “Expert Group Think Tank” tasked with this goal, we believe it will be possible to </w:t>
      </w:r>
      <w:r w:rsidRPr="00931BBD">
        <w:rPr>
          <w:rFonts w:cstheme="minorHAnsi"/>
          <w:b/>
          <w:bCs/>
        </w:rPr>
        <w:t>identify the current sources</w:t>
      </w:r>
      <w:r w:rsidRPr="000262A2">
        <w:rPr>
          <w:rFonts w:cstheme="minorHAnsi"/>
        </w:rPr>
        <w:t xml:space="preserve"> of settlement </w:t>
      </w:r>
      <w:r w:rsidRPr="00C04234">
        <w:rPr>
          <w:rFonts w:cstheme="minorHAnsi"/>
          <w:b/>
          <w:bCs/>
          <w:u w:val="single"/>
        </w:rPr>
        <w:t>in</w:t>
      </w:r>
      <w:r w:rsidRPr="00931BBD">
        <w:rPr>
          <w:rFonts w:cstheme="minorHAnsi"/>
          <w:b/>
          <w:bCs/>
          <w:u w:val="single"/>
        </w:rPr>
        <w:t>efficiencies</w:t>
      </w:r>
      <w:r w:rsidRPr="000262A2">
        <w:rPr>
          <w:rFonts w:cstheme="minorHAnsi"/>
        </w:rPr>
        <w:t xml:space="preserve"> in the Union</w:t>
      </w:r>
      <w:r>
        <w:rPr>
          <w:rFonts w:cstheme="minorHAnsi"/>
        </w:rPr>
        <w:t>,</w:t>
      </w:r>
      <w:r w:rsidRPr="000262A2">
        <w:rPr>
          <w:rFonts w:cstheme="minorHAnsi"/>
        </w:rPr>
        <w:t xml:space="preserve"> </w:t>
      </w:r>
      <w:r>
        <w:rPr>
          <w:rFonts w:cstheme="minorHAnsi"/>
        </w:rPr>
        <w:t xml:space="preserve">broken-down </w:t>
      </w:r>
      <w:r w:rsidRPr="000262A2">
        <w:rPr>
          <w:rFonts w:cstheme="minorHAnsi"/>
          <w:b/>
          <w:bCs/>
        </w:rPr>
        <w:t>by</w:t>
      </w:r>
      <w:r>
        <w:rPr>
          <w:rFonts w:cstheme="minorHAnsi"/>
          <w:b/>
          <w:bCs/>
        </w:rPr>
        <w:t xml:space="preserve"> </w:t>
      </w:r>
      <w:r w:rsidRPr="000262A2">
        <w:rPr>
          <w:rFonts w:cstheme="minorHAnsi"/>
          <w:b/>
          <w:bCs/>
        </w:rPr>
        <w:t>entity</w:t>
      </w:r>
      <w:r>
        <w:rPr>
          <w:rFonts w:cstheme="minorHAnsi"/>
          <w:b/>
          <w:bCs/>
        </w:rPr>
        <w:t xml:space="preserve"> categories</w:t>
      </w:r>
      <w:r w:rsidRPr="000262A2">
        <w:rPr>
          <w:rFonts w:cstheme="minorHAnsi"/>
          <w:b/>
          <w:bCs/>
        </w:rPr>
        <w:t xml:space="preserve">, </w:t>
      </w:r>
      <w:proofErr w:type="gramStart"/>
      <w:r w:rsidRPr="000262A2">
        <w:rPr>
          <w:rFonts w:cstheme="minorHAnsi"/>
          <w:b/>
          <w:bCs/>
        </w:rPr>
        <w:t>process</w:t>
      </w:r>
      <w:proofErr w:type="gramEnd"/>
      <w:r>
        <w:rPr>
          <w:rFonts w:cstheme="minorHAnsi"/>
          <w:b/>
          <w:bCs/>
        </w:rPr>
        <w:t xml:space="preserve"> and </w:t>
      </w:r>
      <w:r w:rsidRPr="000262A2">
        <w:rPr>
          <w:rFonts w:cstheme="minorHAnsi"/>
          <w:b/>
          <w:bCs/>
        </w:rPr>
        <w:t>product</w:t>
      </w:r>
      <w:r>
        <w:rPr>
          <w:rFonts w:cstheme="minorHAnsi"/>
          <w:b/>
          <w:bCs/>
        </w:rPr>
        <w:t>(s)</w:t>
      </w:r>
      <w:r w:rsidRPr="000262A2">
        <w:rPr>
          <w:rFonts w:cstheme="minorHAnsi"/>
        </w:rPr>
        <w:t xml:space="preserve">. </w:t>
      </w:r>
      <w:r>
        <w:rPr>
          <w:rFonts w:cstheme="minorHAnsi"/>
        </w:rPr>
        <w:t>Only once such issues will have been clearly identified</w:t>
      </w:r>
      <w:r w:rsidRPr="000262A2">
        <w:rPr>
          <w:rFonts w:cstheme="minorHAnsi"/>
        </w:rPr>
        <w:t>, it will then be feasible to:</w:t>
      </w:r>
    </w:p>
    <w:p w14:paraId="708686FB" w14:textId="77777777" w:rsidR="006E1DC5" w:rsidRPr="00EA1A89" w:rsidRDefault="006E1DC5" w:rsidP="00532FF0">
      <w:pPr>
        <w:pStyle w:val="Paragrafoelenco"/>
        <w:numPr>
          <w:ilvl w:val="0"/>
          <w:numId w:val="24"/>
        </w:numPr>
      </w:pPr>
      <w:r w:rsidRPr="001412D5">
        <w:t>define the measures to tackle and resolve the identified issues,</w:t>
      </w:r>
    </w:p>
    <w:p w14:paraId="73F5331B" w14:textId="77777777" w:rsidR="006E1DC5" w:rsidRPr="001412D5" w:rsidRDefault="006E1DC5" w:rsidP="00532FF0">
      <w:pPr>
        <w:pStyle w:val="Paragrafoelenco"/>
        <w:numPr>
          <w:ilvl w:val="0"/>
          <w:numId w:val="24"/>
        </w:numPr>
      </w:pPr>
      <w:r w:rsidRPr="001412D5">
        <w:t>adequately quantify and allow for the necessary time to change some post-trade processes, or make them more automated and leaner (at the entities where this is considered necessary);</w:t>
      </w:r>
    </w:p>
    <w:p w14:paraId="20B6909E" w14:textId="77777777" w:rsidR="006E1DC5" w:rsidRPr="001412D5" w:rsidRDefault="006E1DC5" w:rsidP="00532FF0">
      <w:pPr>
        <w:pStyle w:val="Paragrafoelenco"/>
        <w:numPr>
          <w:ilvl w:val="0"/>
          <w:numId w:val="24"/>
        </w:numPr>
      </w:pPr>
      <w:r w:rsidRPr="001412D5">
        <w:t>let the entire Union move forward in a coordinated way towards a SSC equal to T+1 or even T+0</w:t>
      </w:r>
    </w:p>
    <w:p w14:paraId="16D6AFFA" w14:textId="77777777" w:rsidR="006E1DC5" w:rsidRDefault="006E1DC5" w:rsidP="006E1DC5"/>
    <w:p w14:paraId="4529D499" w14:textId="77777777" w:rsidR="006E1DC5" w:rsidRPr="00D2772A" w:rsidRDefault="006E1DC5" w:rsidP="006E1DC5">
      <w:pPr>
        <w:rPr>
          <w:b/>
          <w:bCs/>
        </w:rPr>
      </w:pPr>
      <w:r>
        <w:rPr>
          <w:lang w:val="en-US"/>
        </w:rPr>
        <w:t>Further, a</w:t>
      </w:r>
      <w:r w:rsidRPr="00D2772A">
        <w:rPr>
          <w:lang w:val="en-US"/>
        </w:rPr>
        <w:t xml:space="preserve">ny compression of the </w:t>
      </w:r>
      <w:r>
        <w:rPr>
          <w:lang w:val="en-US"/>
        </w:rPr>
        <w:t xml:space="preserve">current </w:t>
      </w:r>
      <w:r w:rsidRPr="00D2772A">
        <w:rPr>
          <w:lang w:val="en-US"/>
        </w:rPr>
        <w:t xml:space="preserve">settlement cycle should be decided and implemented only after the changes and the adaptations required by CSDR </w:t>
      </w:r>
      <w:r>
        <w:rPr>
          <w:lang w:val="en-US"/>
        </w:rPr>
        <w:t xml:space="preserve">Review (due to the be published soon on the OJEU) </w:t>
      </w:r>
      <w:r w:rsidRPr="00D2772A">
        <w:rPr>
          <w:lang w:val="en-US"/>
        </w:rPr>
        <w:t xml:space="preserve">will be put into operation. Otherwise, it would be extremely problematic to manage </w:t>
      </w:r>
      <w:proofErr w:type="spellStart"/>
      <w:r w:rsidRPr="00D2772A">
        <w:rPr>
          <w:lang w:val="en-US"/>
        </w:rPr>
        <w:t>i</w:t>
      </w:r>
      <w:proofErr w:type="spellEnd"/>
      <w:r w:rsidRPr="00D2772A">
        <w:rPr>
          <w:lang w:val="en-US"/>
        </w:rPr>
        <w:t>) the changes and the adaptations required by CSDR and ii) concurrently, the impacts due to arise from the change-over to T+1 or T+0 in the EU.</w:t>
      </w:r>
    </w:p>
    <w:p w14:paraId="70CDD60F" w14:textId="77777777" w:rsidR="006E1DC5" w:rsidRPr="00D2772A" w:rsidRDefault="006E1DC5" w:rsidP="006E1DC5">
      <w:pPr>
        <w:rPr>
          <w:b/>
          <w:bCs/>
          <w:lang w:val="en-US"/>
        </w:rPr>
      </w:pPr>
      <w:r>
        <w:rPr>
          <w:u w:val="single"/>
          <w:lang w:val="en-US"/>
        </w:rPr>
        <w:t>In terms of r</w:t>
      </w:r>
      <w:r w:rsidRPr="00D2772A">
        <w:rPr>
          <w:u w:val="single"/>
          <w:lang w:val="en-US"/>
        </w:rPr>
        <w:t xml:space="preserve">egulatory </w:t>
      </w:r>
      <w:r>
        <w:rPr>
          <w:u w:val="single"/>
          <w:lang w:val="en-US"/>
        </w:rPr>
        <w:t>c</w:t>
      </w:r>
      <w:r w:rsidRPr="00D2772A">
        <w:rPr>
          <w:u w:val="single"/>
          <w:lang w:val="en-US"/>
        </w:rPr>
        <w:t>hanges</w:t>
      </w:r>
      <w:r w:rsidRPr="0027001A">
        <w:rPr>
          <w:lang w:val="en-US"/>
        </w:rPr>
        <w:t>,</w:t>
      </w:r>
      <w:r>
        <w:rPr>
          <w:lang w:val="en-US"/>
        </w:rPr>
        <w:t xml:space="preserve"> t</w:t>
      </w:r>
      <w:r w:rsidRPr="00D2772A">
        <w:t>he European post-trade industry has undergone major regulatory changes throughout recent years</w:t>
      </w:r>
      <w:r>
        <w:t>: 1</w:t>
      </w:r>
      <w:r w:rsidRPr="0027001A">
        <w:rPr>
          <w:vertAlign w:val="superscript"/>
        </w:rPr>
        <w:t>st</w:t>
      </w:r>
      <w:r>
        <w:t>)</w:t>
      </w:r>
      <w:r w:rsidRPr="00D2772A">
        <w:t xml:space="preserve"> the CSDR settlement discipline (Commission Delegated Regulation (EU) 2018/1229) entered into force on February 1st, 2022</w:t>
      </w:r>
      <w:r>
        <w:t>.</w:t>
      </w:r>
      <w:r w:rsidRPr="00D2772A">
        <w:t xml:space="preserve"> </w:t>
      </w:r>
      <w:r>
        <w:t>O</w:t>
      </w:r>
      <w:r w:rsidRPr="00D2772A">
        <w:t>riginally, the initial date of entry into force of the RTS on settlement discipline was 13 September 2020; afterwards, the entry into force of Delegated Regulation (EU) 2018/1229 was deferred until 1 February 2021 according to Delegated Regulation (EU) 2020/12122</w:t>
      </w:r>
      <w:r>
        <w:t>; 2</w:t>
      </w:r>
      <w:r w:rsidRPr="0027001A">
        <w:rPr>
          <w:vertAlign w:val="superscript"/>
        </w:rPr>
        <w:t>nd</w:t>
      </w:r>
      <w:r>
        <w:t xml:space="preserve">) </w:t>
      </w:r>
      <w:r w:rsidRPr="00D2772A">
        <w:t xml:space="preserve">the CSDR Regulation (Regulation (EU) 909/2014) </w:t>
      </w:r>
      <w:r>
        <w:t xml:space="preserve">which </w:t>
      </w:r>
      <w:r w:rsidRPr="00D2772A">
        <w:t xml:space="preserve">is </w:t>
      </w:r>
      <w:r>
        <w:t>about to be published in the OJEU and it carries with it a relevant number RTS to be issued or reviewed in the 12-to-24 months following its entry into force</w:t>
      </w:r>
      <w:r w:rsidRPr="00D2772A">
        <w:t xml:space="preserve">. </w:t>
      </w:r>
    </w:p>
    <w:p w14:paraId="2399ED8B" w14:textId="77777777" w:rsidR="006E1DC5" w:rsidRPr="00D2772A" w:rsidRDefault="006E1DC5" w:rsidP="006E1DC5">
      <w:pPr>
        <w:rPr>
          <w:b/>
          <w:bCs/>
        </w:rPr>
      </w:pPr>
      <w:r>
        <w:t>In term of specific amendments, t</w:t>
      </w:r>
      <w:r w:rsidRPr="00D2772A">
        <w:t xml:space="preserve">he </w:t>
      </w:r>
      <w:r>
        <w:t xml:space="preserve">potential </w:t>
      </w:r>
      <w:r w:rsidRPr="00D2772A">
        <w:t xml:space="preserve">move to T+1 would require </w:t>
      </w:r>
      <w:r>
        <w:t>amending L1 and L2 regulations. Specifically, we have identified the following:</w:t>
      </w:r>
    </w:p>
    <w:p w14:paraId="633ABD25" w14:textId="031A11BA" w:rsidR="006E1DC5" w:rsidRPr="00D2772A" w:rsidRDefault="00520B29" w:rsidP="006E1DC5">
      <w:pPr>
        <w:rPr>
          <w:u w:val="single"/>
        </w:rPr>
      </w:pPr>
      <w:r w:rsidRPr="00520B29">
        <w:t xml:space="preserve">1) </w:t>
      </w:r>
      <w:r w:rsidR="006E1DC5" w:rsidRPr="00D2772A">
        <w:rPr>
          <w:u w:val="single"/>
        </w:rPr>
        <w:t>Amendments to CSDR</w:t>
      </w:r>
    </w:p>
    <w:p w14:paraId="5F771180" w14:textId="77777777" w:rsidR="006E1DC5" w:rsidRPr="00D2772A" w:rsidRDefault="006E1DC5" w:rsidP="006E1DC5">
      <w:pPr>
        <w:rPr>
          <w:b/>
          <w:bCs/>
        </w:rPr>
      </w:pPr>
      <w:r w:rsidRPr="00D2772A">
        <w:t>Article 5(2) of CSDR prescribes that the “</w:t>
      </w:r>
      <w:r w:rsidRPr="0027001A">
        <w:rPr>
          <w:i/>
          <w:iCs/>
        </w:rPr>
        <w:t>intended settlement date shall be no later than on the second business day after the trading takes place</w:t>
      </w:r>
      <w:r w:rsidRPr="00D2772A">
        <w:t xml:space="preserve">”. From a legal point of view, the above-mentioned provision is </w:t>
      </w:r>
      <w:r w:rsidRPr="0027001A">
        <w:rPr>
          <w:u w:val="single"/>
        </w:rPr>
        <w:t>not</w:t>
      </w:r>
      <w:r w:rsidRPr="00D2772A">
        <w:t xml:space="preserve"> inconsistent with </w:t>
      </w:r>
      <w:r>
        <w:t xml:space="preserve">the reduction to </w:t>
      </w:r>
      <w:r w:rsidRPr="00D2772A">
        <w:t xml:space="preserve">T+1 </w:t>
      </w:r>
      <w:r>
        <w:t xml:space="preserve">of the </w:t>
      </w:r>
      <w:r w:rsidRPr="00D2772A">
        <w:t>settlement cycle</w:t>
      </w:r>
      <w:r>
        <w:t xml:space="preserve"> (as also mentioned by ESMA during the Open Hearing held in early October and then in early December)</w:t>
      </w:r>
      <w:r w:rsidRPr="00D2772A">
        <w:t xml:space="preserve">. However, </w:t>
      </w:r>
      <w:r>
        <w:t xml:space="preserve">should it ever be decided to migrate to T+1, </w:t>
      </w:r>
      <w:r w:rsidRPr="00D2772A">
        <w:t xml:space="preserve">it would be advisable to update to this provision </w:t>
      </w:r>
      <w:proofErr w:type="gramStart"/>
      <w:r w:rsidRPr="00D2772A">
        <w:t>in order to</w:t>
      </w:r>
      <w:proofErr w:type="gramEnd"/>
      <w:r w:rsidRPr="00D2772A">
        <w:t xml:space="preserve"> ensure that the </w:t>
      </w:r>
      <w:r>
        <w:t xml:space="preserve">change </w:t>
      </w:r>
      <w:r w:rsidRPr="00D2772A">
        <w:t xml:space="preserve">is adopted and implemented by </w:t>
      </w:r>
      <w:r>
        <w:t xml:space="preserve">every </w:t>
      </w:r>
      <w:r w:rsidRPr="00D2772A">
        <w:t xml:space="preserve">market participant </w:t>
      </w:r>
      <w:r>
        <w:t xml:space="preserve">in scope, </w:t>
      </w:r>
      <w:r w:rsidRPr="00D2772A">
        <w:t xml:space="preserve">in a harmonized way across the </w:t>
      </w:r>
      <w:r>
        <w:t>entire Union</w:t>
      </w:r>
      <w:r w:rsidRPr="00D2772A">
        <w:t xml:space="preserve">.  </w:t>
      </w:r>
    </w:p>
    <w:p w14:paraId="75E74C44" w14:textId="39048738" w:rsidR="006E1DC5" w:rsidRPr="00D2772A" w:rsidRDefault="00520B29" w:rsidP="006E1DC5">
      <w:pPr>
        <w:rPr>
          <w:b/>
          <w:bCs/>
          <w:u w:val="single"/>
        </w:rPr>
      </w:pPr>
      <w:r w:rsidRPr="00520B29">
        <w:lastRenderedPageBreak/>
        <w:t xml:space="preserve">2) </w:t>
      </w:r>
      <w:r w:rsidR="006E1DC5" w:rsidRPr="00D2772A">
        <w:rPr>
          <w:u w:val="single"/>
        </w:rPr>
        <w:t>Amendments to the Settlement Discipline RTS</w:t>
      </w:r>
    </w:p>
    <w:p w14:paraId="4565B4B4" w14:textId="77777777" w:rsidR="006E1DC5" w:rsidRPr="00D2772A" w:rsidRDefault="006E1DC5" w:rsidP="006E1DC5">
      <w:pPr>
        <w:numPr>
          <w:ilvl w:val="0"/>
          <w:numId w:val="11"/>
        </w:numPr>
        <w:spacing w:after="160" w:line="259" w:lineRule="auto"/>
        <w:ind w:left="567"/>
      </w:pPr>
      <w:r w:rsidRPr="00D2772A">
        <w:t>Article 2 (Measures concerning professional clients)</w:t>
      </w:r>
      <w:r>
        <w:t>.</w:t>
      </w:r>
      <w:r w:rsidRPr="00D2772A">
        <w:t xml:space="preserve"> </w:t>
      </w:r>
      <w:r>
        <w:t>T</w:t>
      </w:r>
      <w:r w:rsidRPr="00D2772A">
        <w:t xml:space="preserve">he </w:t>
      </w:r>
      <w:r w:rsidRPr="0027001A">
        <w:rPr>
          <w:b/>
          <w:bCs/>
        </w:rPr>
        <w:t>timings</w:t>
      </w:r>
      <w:r w:rsidRPr="00D2772A">
        <w:t xml:space="preserve"> set forth in this Article should </w:t>
      </w:r>
      <w:r w:rsidRPr="0027001A">
        <w:rPr>
          <w:b/>
          <w:bCs/>
        </w:rPr>
        <w:t>probably be amended</w:t>
      </w:r>
      <w:r w:rsidRPr="00D2772A">
        <w:t xml:space="preserve"> with reference to the allocation/confirmation process </w:t>
      </w:r>
      <w:proofErr w:type="gramStart"/>
      <w:r w:rsidRPr="00D2772A">
        <w:t>in order to</w:t>
      </w:r>
      <w:proofErr w:type="gramEnd"/>
      <w:r w:rsidRPr="00D2772A">
        <w:t xml:space="preserve"> ensure its conclusion on T+0. In addition to that, further requirements should be considered with a view to ensuring that the method used to exchange this information enables </w:t>
      </w:r>
      <w:r w:rsidRPr="0027001A">
        <w:rPr>
          <w:i/>
          <w:iCs/>
        </w:rPr>
        <w:t>straight-through-</w:t>
      </w:r>
      <w:proofErr w:type="gramStart"/>
      <w:r w:rsidRPr="0027001A">
        <w:rPr>
          <w:i/>
          <w:iCs/>
        </w:rPr>
        <w:t>processing</w:t>
      </w:r>
      <w:r>
        <w:t>;</w:t>
      </w:r>
      <w:proofErr w:type="gramEnd"/>
      <w:r w:rsidRPr="00D2772A">
        <w:t xml:space="preserve"> </w:t>
      </w:r>
    </w:p>
    <w:p w14:paraId="69D23BB9" w14:textId="77777777" w:rsidR="006E1DC5" w:rsidRPr="00D2772A" w:rsidRDefault="006E1DC5" w:rsidP="006E1DC5">
      <w:pPr>
        <w:numPr>
          <w:ilvl w:val="0"/>
          <w:numId w:val="11"/>
        </w:numPr>
        <w:spacing w:after="160" w:line="259" w:lineRule="auto"/>
        <w:ind w:left="567"/>
      </w:pPr>
      <w:r w:rsidRPr="00D2772A">
        <w:t>Article 10 (Partial Settlement)</w:t>
      </w:r>
      <w:r>
        <w:t>.</w:t>
      </w:r>
      <w:r w:rsidRPr="00D2772A">
        <w:t xml:space="preserve"> </w:t>
      </w:r>
      <w:r>
        <w:t>A</w:t>
      </w:r>
      <w:r w:rsidRPr="00D2772A">
        <w:t xml:space="preserve">n update to mandate the provision of </w:t>
      </w:r>
      <w:r w:rsidRPr="0027001A">
        <w:rPr>
          <w:b/>
          <w:bCs/>
        </w:rPr>
        <w:t>partial release functionality</w:t>
      </w:r>
      <w:r w:rsidRPr="00D2772A">
        <w:t xml:space="preserve"> by CSDs </w:t>
      </w:r>
      <w:r>
        <w:t>should be introduced, and d</w:t>
      </w:r>
      <w:r w:rsidRPr="00D2772A">
        <w:t xml:space="preserve">erogation from </w:t>
      </w:r>
      <w:r>
        <w:t xml:space="preserve">such </w:t>
      </w:r>
      <w:r w:rsidRPr="00D2772A">
        <w:t xml:space="preserve">requirement should be removed, to ensure </w:t>
      </w:r>
      <w:r>
        <w:t xml:space="preserve">that </w:t>
      </w:r>
      <w:r w:rsidRPr="00D2772A">
        <w:t xml:space="preserve">all CSDs provide a consistent </w:t>
      </w:r>
      <w:proofErr w:type="gramStart"/>
      <w:r w:rsidRPr="00D2772A">
        <w:t>service</w:t>
      </w:r>
      <w:r>
        <w:t>;</w:t>
      </w:r>
      <w:proofErr w:type="gramEnd"/>
      <w:r w:rsidRPr="00D2772A">
        <w:t xml:space="preserve"> </w:t>
      </w:r>
    </w:p>
    <w:p w14:paraId="414A1C59" w14:textId="77777777" w:rsidR="006E1DC5" w:rsidRPr="00D2772A" w:rsidRDefault="006E1DC5" w:rsidP="006E1DC5">
      <w:pPr>
        <w:numPr>
          <w:ilvl w:val="0"/>
          <w:numId w:val="11"/>
        </w:numPr>
        <w:spacing w:after="160" w:line="259" w:lineRule="auto"/>
        <w:ind w:left="567"/>
      </w:pPr>
      <w:r w:rsidRPr="00D2772A">
        <w:t>Article 11.4 (Additional Facilities and Information)</w:t>
      </w:r>
      <w:r>
        <w:t>.</w:t>
      </w:r>
      <w:r w:rsidRPr="00D2772A">
        <w:t xml:space="preserve"> </w:t>
      </w:r>
      <w:r>
        <w:t>A</w:t>
      </w:r>
      <w:r w:rsidRPr="00D2772A">
        <w:t xml:space="preserve">n amendment would be required to mandate the provision of </w:t>
      </w:r>
      <w:r w:rsidRPr="0027001A">
        <w:rPr>
          <w:i/>
          <w:iCs/>
        </w:rPr>
        <w:t>real-time gross settlement</w:t>
      </w:r>
      <w:r w:rsidRPr="00D2772A">
        <w:t xml:space="preserve"> </w:t>
      </w:r>
      <w:r>
        <w:t xml:space="preserve">(RTGS) </w:t>
      </w:r>
      <w:r w:rsidRPr="00D2772A">
        <w:t>for all settlement instructions, including partials, in all CSDs.</w:t>
      </w:r>
    </w:p>
    <w:p w14:paraId="2A4969A1" w14:textId="532E4AA3" w:rsidR="00C5469A" w:rsidRDefault="006E1DC5" w:rsidP="006E1DC5">
      <w:r w:rsidRPr="00D2772A">
        <w:rPr>
          <w:u w:val="single"/>
        </w:rPr>
        <w:t>Coordination between EU and non-EU jurisdictions</w:t>
      </w:r>
      <w:r w:rsidRPr="0027001A">
        <w:t xml:space="preserve">. </w:t>
      </w:r>
      <w:r w:rsidRPr="00D2772A">
        <w:t xml:space="preserve">Due to the global nature of post-trade activities and, more broadly, of capital markets, initiatives aimed at enhancing the degree of coordination between EU and non-EU jurisdictions would be </w:t>
      </w:r>
      <w:r>
        <w:t xml:space="preserve">appreciated </w:t>
      </w:r>
      <w:proofErr w:type="gramStart"/>
      <w:r w:rsidRPr="00D2772A">
        <w:t>in order to</w:t>
      </w:r>
      <w:proofErr w:type="gramEnd"/>
      <w:r w:rsidRPr="00D2772A">
        <w:t xml:space="preserve"> steer a smooth path towards any potential reduction of settlement cycle in the EU</w:t>
      </w:r>
      <w:r>
        <w:t>.</w:t>
      </w:r>
    </w:p>
    <w:permEnd w:id="1673478500"/>
    <w:p w14:paraId="5D6602EE" w14:textId="77777777" w:rsidR="00C5469A" w:rsidRDefault="00C5469A" w:rsidP="00C5469A">
      <w:r>
        <w:t>&lt;ESMA_QUESTION_SETT_15&gt;</w:t>
      </w:r>
    </w:p>
    <w:p w14:paraId="2D8B3C34" w14:textId="77777777" w:rsidR="00C5469A" w:rsidRDefault="00C5469A" w:rsidP="00C5469A"/>
    <w:p w14:paraId="51916544" w14:textId="77777777" w:rsidR="00C5469A" w:rsidRDefault="00C5469A" w:rsidP="00C5469A">
      <w:pPr>
        <w:pStyle w:val="Questionstyle"/>
        <w:numPr>
          <w:ilvl w:val="0"/>
          <w:numId w:val="14"/>
        </w:numPr>
        <w:ind w:left="0"/>
      </w:pPr>
      <w:r>
        <w:t>: Assuming that the EU institutions would decide to shorten the securities settlement cycle in the EU, how long would you need to adapt to the new settlement cycle? And in the case of a move to T+0?</w:t>
      </w:r>
    </w:p>
    <w:p w14:paraId="51E6BB64" w14:textId="77777777" w:rsidR="00C5469A" w:rsidRDefault="00C5469A" w:rsidP="00C5469A">
      <w:r>
        <w:t>&lt;ESMA_QUESTION_SETT_16&gt;</w:t>
      </w:r>
    </w:p>
    <w:p w14:paraId="62A84EF7" w14:textId="77777777" w:rsidR="00C91AC0" w:rsidRPr="007A6879" w:rsidRDefault="00C91AC0" w:rsidP="00C91AC0">
      <w:pPr>
        <w:rPr>
          <w:rFonts w:cstheme="minorHAnsi"/>
        </w:rPr>
      </w:pPr>
      <w:permStart w:id="1134712045" w:edGrp="everyone"/>
      <w:r w:rsidRPr="007A6879">
        <w:rPr>
          <w:rFonts w:cstheme="minorHAnsi"/>
        </w:rPr>
        <w:t xml:space="preserve">At the current stage, it seems premature to make forecasts as to the time span needed to adapt to the new settlement cycle both in the case of T+1 and in the case of a T+0 scenario. </w:t>
      </w:r>
    </w:p>
    <w:p w14:paraId="6DEA43FA" w14:textId="2613725C" w:rsidR="00C91AC0" w:rsidRPr="007A6879" w:rsidRDefault="00520B29" w:rsidP="00C91AC0">
      <w:pPr>
        <w:rPr>
          <w:rFonts w:cstheme="minorHAnsi"/>
          <w:u w:val="single"/>
          <w:lang w:val="fr-FR"/>
        </w:rPr>
      </w:pPr>
      <w:r w:rsidRPr="00520B29">
        <w:rPr>
          <w:rFonts w:cstheme="minorHAnsi"/>
          <w:lang w:val="fr-FR"/>
        </w:rPr>
        <w:t xml:space="preserve">1) </w:t>
      </w:r>
      <w:r w:rsidR="00C91AC0" w:rsidRPr="007A6879">
        <w:rPr>
          <w:rFonts w:cstheme="minorHAnsi"/>
          <w:u w:val="single"/>
          <w:lang w:val="fr-FR"/>
        </w:rPr>
        <w:t>EU move to T+1/T+0 vs EU move to T+2</w:t>
      </w:r>
    </w:p>
    <w:p w14:paraId="4F3EBD63" w14:textId="77777777" w:rsidR="00C91AC0" w:rsidRPr="007A6879" w:rsidRDefault="00C91AC0" w:rsidP="00C91AC0">
      <w:pPr>
        <w:rPr>
          <w:rFonts w:cstheme="minorHAnsi"/>
        </w:rPr>
      </w:pPr>
      <w:r>
        <w:rPr>
          <w:rFonts w:cstheme="minorHAnsi"/>
        </w:rPr>
        <w:t>I</w:t>
      </w:r>
      <w:r w:rsidRPr="007A6879">
        <w:rPr>
          <w:rFonts w:cstheme="minorHAnsi"/>
        </w:rPr>
        <w:t xml:space="preserve">t seems fair to </w:t>
      </w:r>
      <w:r>
        <w:rPr>
          <w:rFonts w:cstheme="minorHAnsi"/>
        </w:rPr>
        <w:t xml:space="preserve">recall </w:t>
      </w:r>
      <w:r w:rsidRPr="007A6879">
        <w:rPr>
          <w:rFonts w:cstheme="minorHAnsi"/>
        </w:rPr>
        <w:t>that the depth and the breadth of a move to T+1 or</w:t>
      </w:r>
      <w:r>
        <w:rPr>
          <w:rFonts w:cstheme="minorHAnsi"/>
        </w:rPr>
        <w:t xml:space="preserve"> </w:t>
      </w:r>
      <w:r w:rsidRPr="007A6879">
        <w:rPr>
          <w:rFonts w:cstheme="minorHAnsi"/>
        </w:rPr>
        <w:t xml:space="preserve">to T+0 would </w:t>
      </w:r>
      <w:r>
        <w:rPr>
          <w:rFonts w:cstheme="minorHAnsi"/>
        </w:rPr>
        <w:t xml:space="preserve">create </w:t>
      </w:r>
      <w:r w:rsidRPr="007A6879">
        <w:rPr>
          <w:rFonts w:cstheme="minorHAnsi"/>
        </w:rPr>
        <w:t xml:space="preserve">considerably higher number of dauting challenges than the move from T+3 to T+2 that took place in EU markets in October 2014 </w:t>
      </w:r>
      <w:proofErr w:type="gramStart"/>
      <w:r w:rsidRPr="007A6879">
        <w:rPr>
          <w:rFonts w:cstheme="minorHAnsi"/>
        </w:rPr>
        <w:t>in order to</w:t>
      </w:r>
      <w:proofErr w:type="gramEnd"/>
      <w:r w:rsidRPr="007A6879">
        <w:rPr>
          <w:rFonts w:cstheme="minorHAnsi"/>
        </w:rPr>
        <w:t xml:space="preserve"> fulfil the prescriptions of Article 5 CSDR</w:t>
      </w:r>
      <w:r w:rsidRPr="007A6879">
        <w:rPr>
          <w:rFonts w:cstheme="minorHAnsi"/>
          <w:vertAlign w:val="superscript"/>
        </w:rPr>
        <w:footnoteReference w:id="8"/>
      </w:r>
      <w:r w:rsidRPr="007A6879">
        <w:rPr>
          <w:rFonts w:cstheme="minorHAnsi"/>
        </w:rPr>
        <w:t xml:space="preserve">.  In </w:t>
      </w:r>
      <w:r w:rsidRPr="007A6879">
        <w:rPr>
          <w:rFonts w:cstheme="minorHAnsi"/>
        </w:rPr>
        <w:lastRenderedPageBreak/>
        <w:t>this respect, it must be recalled that the success of that move to T+2 was the outcome of a significant effort undertaken by all market participants</w:t>
      </w:r>
      <w:r>
        <w:rPr>
          <w:rFonts w:cstheme="minorHAnsi"/>
        </w:rPr>
        <w:t>,</w:t>
      </w:r>
      <w:r w:rsidRPr="007A6879">
        <w:rPr>
          <w:rFonts w:cstheme="minorHAnsi"/>
        </w:rPr>
        <w:t xml:space="preserve"> the outcome of many years of planning, testing and coordination. </w:t>
      </w:r>
    </w:p>
    <w:p w14:paraId="34F46AA3" w14:textId="77777777" w:rsidR="00C91AC0" w:rsidRPr="007A6879" w:rsidRDefault="00C91AC0" w:rsidP="00C91AC0">
      <w:pPr>
        <w:rPr>
          <w:rFonts w:cstheme="minorHAnsi"/>
        </w:rPr>
      </w:pPr>
      <w:r w:rsidRPr="007A6879">
        <w:rPr>
          <w:rFonts w:cstheme="minorHAnsi"/>
        </w:rPr>
        <w:t xml:space="preserve">Therefore, it is fair to conclude the time span that will be required for market participants to adapt to an EU decision to move to T+1 or T+0 will have to be necessarily longer than the one envisaged </w:t>
      </w:r>
      <w:proofErr w:type="gramStart"/>
      <w:r w:rsidRPr="007A6879">
        <w:rPr>
          <w:rFonts w:cstheme="minorHAnsi"/>
        </w:rPr>
        <w:t>on the occasion of</w:t>
      </w:r>
      <w:proofErr w:type="gramEnd"/>
      <w:r w:rsidRPr="007A6879">
        <w:rPr>
          <w:rFonts w:cstheme="minorHAnsi"/>
        </w:rPr>
        <w:t xml:space="preserve"> the move to T+2. </w:t>
      </w:r>
    </w:p>
    <w:p w14:paraId="1FABC9BB" w14:textId="4600C14A" w:rsidR="00C91AC0" w:rsidRPr="007A6879" w:rsidRDefault="00520B29" w:rsidP="00C91AC0">
      <w:pPr>
        <w:rPr>
          <w:rFonts w:cstheme="minorHAnsi"/>
          <w:u w:val="single"/>
          <w:lang w:val="en-US"/>
        </w:rPr>
      </w:pPr>
      <w:r w:rsidRPr="00520B29">
        <w:rPr>
          <w:rFonts w:cstheme="minorHAnsi"/>
          <w:lang w:val="en-US"/>
        </w:rPr>
        <w:t xml:space="preserve">2) </w:t>
      </w:r>
      <w:r w:rsidR="00C91AC0" w:rsidRPr="007A6879">
        <w:rPr>
          <w:rFonts w:cstheme="minorHAnsi"/>
          <w:u w:val="single"/>
          <w:lang w:val="en-US"/>
        </w:rPr>
        <w:t>EU move vs other jurisdictions to T+1/T+0 in the light of the structural uniqueness of the EU</w:t>
      </w:r>
    </w:p>
    <w:p w14:paraId="1C66CE99" w14:textId="77777777" w:rsidR="00C91AC0" w:rsidRPr="007A6879" w:rsidRDefault="00C91AC0" w:rsidP="00C91AC0">
      <w:pPr>
        <w:rPr>
          <w:rFonts w:cstheme="minorHAnsi"/>
          <w:lang w:val="en-US"/>
        </w:rPr>
      </w:pPr>
      <w:r w:rsidRPr="007A6879">
        <w:rPr>
          <w:rFonts w:cstheme="minorHAnsi"/>
          <w:lang w:val="en-US"/>
        </w:rPr>
        <w:t>The structural differences which exist</w:t>
      </w:r>
      <w:r>
        <w:rPr>
          <w:rFonts w:cstheme="minorHAnsi"/>
          <w:lang w:val="en-US"/>
        </w:rPr>
        <w:t>, on the one hand,</w:t>
      </w:r>
      <w:r w:rsidRPr="007A6879">
        <w:rPr>
          <w:rFonts w:cstheme="minorHAnsi"/>
          <w:lang w:val="en-US"/>
        </w:rPr>
        <w:t xml:space="preserve"> between the US, Canada, </w:t>
      </w:r>
      <w:proofErr w:type="gramStart"/>
      <w:r w:rsidRPr="007A6879">
        <w:rPr>
          <w:rFonts w:cstheme="minorHAnsi"/>
          <w:lang w:val="en-US"/>
        </w:rPr>
        <w:t>China</w:t>
      </w:r>
      <w:proofErr w:type="gramEnd"/>
      <w:r w:rsidRPr="007A6879">
        <w:rPr>
          <w:rFonts w:cstheme="minorHAnsi"/>
          <w:lang w:val="en-US"/>
        </w:rPr>
        <w:t xml:space="preserve"> or India (all of them constitute single national markets) and</w:t>
      </w:r>
      <w:r>
        <w:rPr>
          <w:rFonts w:cstheme="minorHAnsi"/>
          <w:lang w:val="en-US"/>
        </w:rPr>
        <w:t>, on the other hand,</w:t>
      </w:r>
      <w:r w:rsidRPr="007A6879">
        <w:rPr>
          <w:rFonts w:cstheme="minorHAnsi"/>
          <w:lang w:val="en-US"/>
        </w:rPr>
        <w:t xml:space="preserve"> the European region</w:t>
      </w:r>
      <w:r>
        <w:rPr>
          <w:rFonts w:cstheme="minorHAnsi"/>
          <w:lang w:val="en-US"/>
        </w:rPr>
        <w:t xml:space="preserve"> (</w:t>
      </w:r>
      <w:r w:rsidRPr="007A6879">
        <w:rPr>
          <w:rFonts w:cstheme="minorHAnsi"/>
          <w:lang w:val="en-US"/>
        </w:rPr>
        <w:t xml:space="preserve">which includes the </w:t>
      </w:r>
      <w:r>
        <w:rPr>
          <w:rFonts w:cstheme="minorHAnsi"/>
          <w:lang w:val="en-US"/>
        </w:rPr>
        <w:t xml:space="preserve">Union, the </w:t>
      </w:r>
      <w:r w:rsidRPr="007A6879">
        <w:rPr>
          <w:rFonts w:cstheme="minorHAnsi"/>
          <w:lang w:val="en-US"/>
        </w:rPr>
        <w:t>EEA jurisdiction</w:t>
      </w:r>
      <w:r>
        <w:rPr>
          <w:rFonts w:cstheme="minorHAnsi"/>
          <w:lang w:val="en-US"/>
        </w:rPr>
        <w:t>s,</w:t>
      </w:r>
      <w:r w:rsidRPr="007A6879">
        <w:rPr>
          <w:rFonts w:cstheme="minorHAnsi"/>
          <w:lang w:val="en-US"/>
        </w:rPr>
        <w:t xml:space="preserve"> the UK and Swiss national markets</w:t>
      </w:r>
      <w:r>
        <w:rPr>
          <w:rFonts w:cstheme="minorHAnsi"/>
          <w:lang w:val="en-US"/>
        </w:rPr>
        <w:t>)</w:t>
      </w:r>
      <w:r w:rsidRPr="007A6879">
        <w:rPr>
          <w:rFonts w:cstheme="minorHAnsi"/>
          <w:lang w:val="en-US"/>
        </w:rPr>
        <w:t xml:space="preserve"> make adoption of T+1 in Europe extremely more complex </w:t>
      </w:r>
      <w:r>
        <w:rPr>
          <w:rFonts w:cstheme="minorHAnsi"/>
          <w:lang w:val="en-US"/>
        </w:rPr>
        <w:t xml:space="preserve">task for </w:t>
      </w:r>
      <w:r w:rsidRPr="007A6879">
        <w:rPr>
          <w:rFonts w:cstheme="minorHAnsi"/>
          <w:lang w:val="en-US"/>
        </w:rPr>
        <w:t xml:space="preserve">the above-mentioned single national markets. </w:t>
      </w:r>
    </w:p>
    <w:p w14:paraId="2F1077E2" w14:textId="77777777" w:rsidR="00C91AC0" w:rsidRPr="007A6879" w:rsidRDefault="00C91AC0" w:rsidP="00C91AC0">
      <w:pPr>
        <w:rPr>
          <w:rFonts w:cstheme="minorHAnsi"/>
          <w:lang w:val="en-US"/>
        </w:rPr>
      </w:pPr>
      <w:r w:rsidRPr="007A6879">
        <w:rPr>
          <w:rFonts w:cstheme="minorHAnsi"/>
          <w:lang w:val="en-US"/>
        </w:rPr>
        <w:t xml:space="preserve">European capital markets stand out for their considerable </w:t>
      </w:r>
      <w:proofErr w:type="spellStart"/>
      <w:r w:rsidRPr="007A6879">
        <w:rPr>
          <w:rFonts w:cstheme="minorHAnsi"/>
          <w:lang w:val="en-US"/>
        </w:rPr>
        <w:t>i</w:t>
      </w:r>
      <w:proofErr w:type="spellEnd"/>
      <w:r w:rsidRPr="007A6879">
        <w:rPr>
          <w:rFonts w:cstheme="minorHAnsi"/>
          <w:lang w:val="en-US"/>
        </w:rPr>
        <w:t xml:space="preserve">) heterogeneity ii) complexity of their legal, tax and regulatory frameworks iii) number of regulatory and supervisory bodies as well as market infrastructures entities (for trading, clearing and settlement) and other stakeholders. </w:t>
      </w:r>
    </w:p>
    <w:p w14:paraId="25D3EAB3" w14:textId="32D63623" w:rsidR="00C91AC0" w:rsidRPr="007A6879" w:rsidRDefault="00520B29" w:rsidP="00C91AC0">
      <w:pPr>
        <w:rPr>
          <w:rFonts w:cstheme="minorHAnsi"/>
          <w:u w:val="single"/>
          <w:lang w:val="en-US"/>
        </w:rPr>
      </w:pPr>
      <w:r w:rsidRPr="00520B29">
        <w:rPr>
          <w:rFonts w:cstheme="minorHAnsi"/>
          <w:lang w:val="en-US"/>
        </w:rPr>
        <w:t xml:space="preserve">3) </w:t>
      </w:r>
      <w:r w:rsidR="00C91AC0" w:rsidRPr="007A6879">
        <w:rPr>
          <w:rFonts w:cstheme="minorHAnsi"/>
          <w:u w:val="single"/>
          <w:lang w:val="en-US"/>
        </w:rPr>
        <w:t>US vs EU comparison</w:t>
      </w:r>
    </w:p>
    <w:p w14:paraId="4DDFA773" w14:textId="77777777" w:rsidR="00C91AC0" w:rsidRPr="007A6879" w:rsidRDefault="00C91AC0" w:rsidP="00C91AC0">
      <w:pPr>
        <w:rPr>
          <w:rFonts w:cstheme="minorHAnsi"/>
          <w:lang w:val="en-US"/>
        </w:rPr>
      </w:pPr>
      <w:r w:rsidRPr="007A6879">
        <w:rPr>
          <w:rFonts w:cstheme="minorHAnsi"/>
          <w:lang w:val="en-US"/>
        </w:rPr>
        <w:t>Even narrowing the comparison only to the US, it is quite evident that the US market structure features a remarkably higher degree of concentration, with fewer market infrastructures for trading, clearing, and settlement. Typically, post-trade operations are centralized and integrated through a single CCP (</w:t>
      </w:r>
      <w:r>
        <w:rPr>
          <w:rFonts w:cstheme="minorHAnsi"/>
          <w:lang w:val="en-US"/>
        </w:rPr>
        <w:t xml:space="preserve">i.e., the </w:t>
      </w:r>
      <w:r w:rsidRPr="007A6879">
        <w:rPr>
          <w:rFonts w:cstheme="minorHAnsi"/>
          <w:lang w:val="en-US"/>
        </w:rPr>
        <w:t>NSCC) and CSD (</w:t>
      </w:r>
      <w:r>
        <w:rPr>
          <w:rFonts w:cstheme="minorHAnsi"/>
          <w:lang w:val="en-US"/>
        </w:rPr>
        <w:t xml:space="preserve">i.e., the </w:t>
      </w:r>
      <w:r w:rsidRPr="007A6879">
        <w:rPr>
          <w:rFonts w:cstheme="minorHAnsi"/>
          <w:lang w:val="en-US"/>
        </w:rPr>
        <w:t xml:space="preserve">DTC), both operated by the Depository Trust and Clearing Corporation (DTCC). </w:t>
      </w:r>
    </w:p>
    <w:p w14:paraId="1827B920" w14:textId="77777777" w:rsidR="00C91AC0" w:rsidRPr="007A6879" w:rsidRDefault="00C91AC0" w:rsidP="00C91AC0">
      <w:pPr>
        <w:rPr>
          <w:rFonts w:cstheme="minorHAnsi"/>
          <w:lang w:val="en-US"/>
        </w:rPr>
      </w:pPr>
      <w:r w:rsidRPr="007A6879">
        <w:rPr>
          <w:rFonts w:cstheme="minorHAnsi"/>
          <w:lang w:val="en-US"/>
        </w:rPr>
        <w:t>In addition, the US post-trade ecosystem and related regulatory framework 1) includes the process of affirmation which allows settlement activity between executing brokers and prime brokers to be matched and net settled via the CCP (a concept still nascent in the EU)</w:t>
      </w:r>
      <w:r>
        <w:rPr>
          <w:rFonts w:cstheme="minorHAnsi"/>
          <w:lang w:val="en-US"/>
        </w:rPr>
        <w:t>,</w:t>
      </w:r>
      <w:r w:rsidRPr="007A6879">
        <w:rPr>
          <w:rFonts w:cstheme="minorHAnsi"/>
          <w:lang w:val="en-US"/>
        </w:rPr>
        <w:t xml:space="preserve"> 2) provides for mechanisms to encourage settlement discipline</w:t>
      </w:r>
      <w:r>
        <w:rPr>
          <w:rFonts w:cstheme="minorHAnsi"/>
          <w:lang w:val="en-US"/>
        </w:rPr>
        <w:t>,</w:t>
      </w:r>
      <w:r w:rsidRPr="007A6879">
        <w:rPr>
          <w:rFonts w:cstheme="minorHAnsi"/>
          <w:lang w:val="en-US"/>
        </w:rPr>
        <w:t xml:space="preserve"> 3) but does not have the equivalent of the EU CSDR cash penalties mechanism applied to market participants responsible for the late settlement of a transaction.</w:t>
      </w:r>
    </w:p>
    <w:p w14:paraId="46F5CC01" w14:textId="77777777" w:rsidR="00C91AC0" w:rsidRPr="007A6879" w:rsidRDefault="00C91AC0" w:rsidP="00C91AC0">
      <w:pPr>
        <w:rPr>
          <w:rFonts w:cstheme="minorHAnsi"/>
          <w:lang w:val="en-US"/>
        </w:rPr>
      </w:pPr>
      <w:r w:rsidRPr="007A6879">
        <w:rPr>
          <w:rFonts w:cstheme="minorHAnsi"/>
          <w:lang w:val="en-US"/>
        </w:rPr>
        <w:t>In the light of that, it is fair to draw at least two conclusions:</w:t>
      </w:r>
    </w:p>
    <w:p w14:paraId="5EA011DC" w14:textId="77777777" w:rsidR="00C91AC0" w:rsidRPr="00EA1A89" w:rsidRDefault="00C91AC0" w:rsidP="00532FF0">
      <w:pPr>
        <w:pStyle w:val="Paragrafoelenco"/>
        <w:numPr>
          <w:ilvl w:val="0"/>
          <w:numId w:val="26"/>
        </w:numPr>
      </w:pPr>
      <w:r w:rsidRPr="00EA1A89">
        <w:t>“all other things being equal”, the shift to T+1 in the US might reveal much easier to accomplish than any potential similar shift by the EU;</w:t>
      </w:r>
    </w:p>
    <w:p w14:paraId="1BAFD56E" w14:textId="3DDA1A69" w:rsidR="00C5469A" w:rsidRPr="001412D5" w:rsidRDefault="00C91AC0" w:rsidP="00532FF0">
      <w:pPr>
        <w:pStyle w:val="Paragrafoelenco"/>
        <w:numPr>
          <w:ilvl w:val="0"/>
          <w:numId w:val="26"/>
        </w:numPr>
      </w:pPr>
      <w:r w:rsidRPr="00C91AC0">
        <w:t xml:space="preserve">due to the inherent complexities of the European capital markets that are unknown to other jurisdictions, the time span </w:t>
      </w:r>
      <w:r w:rsidRPr="001412D5">
        <w:t>that will be required for market participants to adapt to an EU decision to move to T+1 or T+0 will have to be necessarily longer.</w:t>
      </w:r>
    </w:p>
    <w:permEnd w:id="1134712045"/>
    <w:p w14:paraId="439B983B" w14:textId="77777777" w:rsidR="00C5469A" w:rsidRDefault="00C5469A" w:rsidP="00C5469A">
      <w:r>
        <w:lastRenderedPageBreak/>
        <w:t>&lt;ESMA_QUESTION_SETT_16&gt;</w:t>
      </w:r>
    </w:p>
    <w:p w14:paraId="432BDCE9" w14:textId="77777777" w:rsidR="00C5469A" w:rsidRDefault="00C5469A" w:rsidP="00C5469A"/>
    <w:p w14:paraId="04C6A972" w14:textId="77777777" w:rsidR="00C5469A" w:rsidRDefault="00C5469A" w:rsidP="00C5469A">
      <w:pPr>
        <w:pStyle w:val="Questionstyle"/>
        <w:numPr>
          <w:ilvl w:val="0"/>
          <w:numId w:val="14"/>
        </w:numPr>
        <w:ind w:left="0"/>
      </w:pPr>
      <w:r>
        <w:t>: Do you think that the CSDR scope of financial instruments is adequate for a shorter settlement cycle? If not, what would be in your views a more adequate scope?</w:t>
      </w:r>
    </w:p>
    <w:p w14:paraId="545F22E0" w14:textId="77777777" w:rsidR="00C5469A" w:rsidRDefault="00C5469A" w:rsidP="00C5469A">
      <w:r>
        <w:t>&lt;ESMA_QUESTION_SETT_17&gt;</w:t>
      </w:r>
    </w:p>
    <w:p w14:paraId="60C9C882" w14:textId="77777777" w:rsidR="00C5469A" w:rsidRDefault="00C5469A" w:rsidP="00C5469A">
      <w:permStart w:id="1013345542" w:edGrp="everyone"/>
      <w:r>
        <w:t>TYPE YOUR TEXT HERE</w:t>
      </w:r>
    </w:p>
    <w:permEnd w:id="1013345542"/>
    <w:p w14:paraId="381E1AF6" w14:textId="77777777" w:rsidR="00C5469A" w:rsidRDefault="00C5469A" w:rsidP="00C5469A">
      <w:r>
        <w:t>&lt;ESMA_QUESTION_SETT_17&gt;</w:t>
      </w:r>
    </w:p>
    <w:p w14:paraId="75FD333E" w14:textId="20661BD4" w:rsidR="00C5469A" w:rsidRDefault="00C5469A" w:rsidP="00C5469A"/>
    <w:p w14:paraId="0846611F" w14:textId="0F089238" w:rsidR="00C5469A" w:rsidRDefault="00C5469A" w:rsidP="00C5469A"/>
    <w:p w14:paraId="56DE2B69" w14:textId="24343669" w:rsidR="00C5469A" w:rsidRDefault="00C5469A" w:rsidP="00C5469A"/>
    <w:p w14:paraId="021816C4" w14:textId="77777777" w:rsidR="00C5469A" w:rsidRDefault="00C5469A" w:rsidP="00C5469A"/>
    <w:p w14:paraId="0DA3D699" w14:textId="77777777" w:rsidR="00C5469A" w:rsidRDefault="00C5469A" w:rsidP="00C5469A">
      <w:pPr>
        <w:pStyle w:val="Questionstyle"/>
        <w:numPr>
          <w:ilvl w:val="0"/>
          <w:numId w:val="14"/>
        </w:numPr>
        <w:ind w:left="0"/>
      </w:pPr>
      <w:r>
        <w:t>: Is it feasible to have different settlement cycles across different instruments? Which are the ones that would benefit most? Which least?</w:t>
      </w:r>
    </w:p>
    <w:p w14:paraId="616C75D6" w14:textId="77777777" w:rsidR="00C5469A" w:rsidRDefault="00C5469A" w:rsidP="00C5469A">
      <w:r>
        <w:t>&lt;ESMA_QUESTION_SETT_18&gt;</w:t>
      </w:r>
    </w:p>
    <w:p w14:paraId="18F16CCF" w14:textId="77777777" w:rsidR="00C5469A" w:rsidRDefault="00C5469A" w:rsidP="00C5469A">
      <w:permStart w:id="254495919" w:edGrp="everyone"/>
      <w:r>
        <w:t>TYPE YOUR TEXT HERE</w:t>
      </w:r>
    </w:p>
    <w:permEnd w:id="254495919"/>
    <w:p w14:paraId="00E8016B" w14:textId="77777777" w:rsidR="00C5469A" w:rsidRDefault="00C5469A" w:rsidP="00C5469A">
      <w:r>
        <w:t>&lt;ESMA_QUESTION_SETT_18&gt;</w:t>
      </w:r>
    </w:p>
    <w:p w14:paraId="5F8B0C88" w14:textId="77777777" w:rsidR="00C5469A" w:rsidRDefault="00C5469A" w:rsidP="00C5469A"/>
    <w:p w14:paraId="746CB31E" w14:textId="77777777" w:rsidR="00C5469A" w:rsidRDefault="00C5469A" w:rsidP="00C5469A">
      <w:pPr>
        <w:pStyle w:val="Questionstyle"/>
        <w:numPr>
          <w:ilvl w:val="0"/>
          <w:numId w:val="14"/>
        </w:numPr>
        <w:ind w:left="0"/>
      </w:pPr>
      <w:r>
        <w:t>: Which financial instruments/ transaction types are easier to migrate to a shorter settlement period in the EU capital markets? Does the answer differ by asset class? Should it be feasible/advisable to have different migration times for different products/markets/assets? If yes, please elaborate.</w:t>
      </w:r>
    </w:p>
    <w:p w14:paraId="092078EB" w14:textId="77777777" w:rsidR="00C5469A" w:rsidRDefault="00C5469A" w:rsidP="00C5469A">
      <w:r>
        <w:t>&lt;ESMA_QUESTION_SETT_19&gt;</w:t>
      </w:r>
    </w:p>
    <w:p w14:paraId="3DCB7BF4" w14:textId="77777777" w:rsidR="00C5469A" w:rsidRDefault="00C5469A" w:rsidP="00C5469A">
      <w:permStart w:id="1982605857" w:edGrp="everyone"/>
      <w:r>
        <w:t>TYPE YOUR TEXT HERE</w:t>
      </w:r>
    </w:p>
    <w:permEnd w:id="1982605857"/>
    <w:p w14:paraId="425F1C67" w14:textId="77777777" w:rsidR="00C5469A" w:rsidRDefault="00C5469A" w:rsidP="00C5469A">
      <w:r>
        <w:t>&lt;ESMA_QUESTION_SETT_19&gt;</w:t>
      </w:r>
    </w:p>
    <w:p w14:paraId="55D17050" w14:textId="77777777" w:rsidR="00C5469A" w:rsidRDefault="00C5469A" w:rsidP="00C5469A"/>
    <w:p w14:paraId="5ECE7F2F" w14:textId="77777777" w:rsidR="00C5469A" w:rsidRDefault="00C5469A" w:rsidP="00C5469A">
      <w:pPr>
        <w:pStyle w:val="Questionstyle"/>
        <w:numPr>
          <w:ilvl w:val="0"/>
          <w:numId w:val="14"/>
        </w:numPr>
        <w:ind w:left="0"/>
      </w:pPr>
      <w:r>
        <w:t>: Do you think that the settlement cycle for transactions currently excluded by Article 5 of CSDR should be regulated? If you think that the settlement cycle of some or all of these transactions should be regulated, what would be in your view an appropriate length for their settlement cycle?</w:t>
      </w:r>
    </w:p>
    <w:p w14:paraId="32F20AE9" w14:textId="77777777" w:rsidR="00C5469A" w:rsidRDefault="00C5469A" w:rsidP="00C5469A">
      <w:r>
        <w:t>&lt;ESMA_QUESTION_SETT_20&gt;</w:t>
      </w:r>
    </w:p>
    <w:p w14:paraId="0A996883" w14:textId="77777777" w:rsidR="00C5469A" w:rsidRDefault="00C5469A" w:rsidP="00C5469A">
      <w:permStart w:id="558774206" w:edGrp="everyone"/>
      <w:r>
        <w:t>TYPE YOUR TEXT HERE</w:t>
      </w:r>
    </w:p>
    <w:permEnd w:id="558774206"/>
    <w:p w14:paraId="3A4B113A" w14:textId="77777777" w:rsidR="00C5469A" w:rsidRDefault="00C5469A" w:rsidP="00C5469A">
      <w:r>
        <w:t>&lt;ESMA_QUESTION_SETT_20&gt;</w:t>
      </w:r>
    </w:p>
    <w:p w14:paraId="6CE0BB47" w14:textId="31BA3366" w:rsidR="00C5469A" w:rsidRDefault="00C5469A" w:rsidP="00C5469A"/>
    <w:p w14:paraId="4F52A1CD" w14:textId="301615D5" w:rsidR="00C5469A" w:rsidRDefault="00C5469A" w:rsidP="00C5469A"/>
    <w:p w14:paraId="5A50567B" w14:textId="57129F2C" w:rsidR="00C5469A" w:rsidRDefault="00C5469A" w:rsidP="00C5469A"/>
    <w:p w14:paraId="007149CF" w14:textId="77777777" w:rsidR="00C5469A" w:rsidRDefault="00C5469A" w:rsidP="00C5469A"/>
    <w:p w14:paraId="047D9180" w14:textId="77777777" w:rsidR="00C5469A" w:rsidRDefault="00C5469A" w:rsidP="00C5469A">
      <w:pPr>
        <w:pStyle w:val="Questionstyle"/>
        <w:numPr>
          <w:ilvl w:val="0"/>
          <w:numId w:val="14"/>
        </w:numPr>
        <w:ind w:left="0"/>
      </w:pPr>
      <w:r>
        <w:t>: Please describe the impact(s) that the transition to T+1 in other jurisdictions has had or will have on your operations, assuming the EU remains on a T+2 cycle.</w:t>
      </w:r>
    </w:p>
    <w:p w14:paraId="604394F8" w14:textId="77777777" w:rsidR="00C5469A" w:rsidRDefault="00C5469A" w:rsidP="00C5469A">
      <w:r>
        <w:t>&lt;ESMA_QUESTION_SETT_21&gt;</w:t>
      </w:r>
    </w:p>
    <w:p w14:paraId="0D67ECDB" w14:textId="77777777" w:rsidR="0023589B" w:rsidRPr="00F13B7A" w:rsidRDefault="0023589B" w:rsidP="0023589B">
      <w:pPr>
        <w:rPr>
          <w:rFonts w:cstheme="minorHAnsi"/>
          <w:lang w:val="en-US"/>
        </w:rPr>
      </w:pPr>
      <w:permStart w:id="6054277" w:edGrp="everyone"/>
      <w:r w:rsidRPr="00F13B7A">
        <w:rPr>
          <w:rFonts w:cstheme="minorHAnsi"/>
          <w:lang w:val="en-US"/>
        </w:rPr>
        <w:t>A reduction of the settlement cycle in other jurisdictions (</w:t>
      </w:r>
      <w:proofErr w:type="gramStart"/>
      <w:r w:rsidRPr="00F13B7A">
        <w:rPr>
          <w:rFonts w:cstheme="minorHAnsi"/>
          <w:lang w:val="en-US"/>
        </w:rPr>
        <w:t xml:space="preserve">assuming </w:t>
      </w:r>
      <w:r>
        <w:rPr>
          <w:rFonts w:cstheme="minorHAnsi"/>
          <w:lang w:val="en-US"/>
        </w:rPr>
        <w:t>that</w:t>
      </w:r>
      <w:proofErr w:type="gramEnd"/>
      <w:r>
        <w:rPr>
          <w:rFonts w:cstheme="minorHAnsi"/>
          <w:lang w:val="en-US"/>
        </w:rPr>
        <w:t xml:space="preserve"> </w:t>
      </w:r>
      <w:r w:rsidRPr="00F13B7A">
        <w:rPr>
          <w:rFonts w:cstheme="minorHAnsi"/>
          <w:lang w:val="en-US"/>
        </w:rPr>
        <w:t>the EU remains on a T+2 cycle and the absence of global coordination</w:t>
      </w:r>
      <w:r>
        <w:rPr>
          <w:rFonts w:cstheme="minorHAnsi"/>
          <w:lang w:val="en-US"/>
        </w:rPr>
        <w:t>)</w:t>
      </w:r>
      <w:r w:rsidRPr="00F13B7A">
        <w:rPr>
          <w:rFonts w:cstheme="minorHAnsi"/>
          <w:lang w:val="en-US"/>
        </w:rPr>
        <w:t xml:space="preserve"> will make it necessary to modify the operational processes and the technology systems used by financial institutions that connect to those markets, including EU-based firms. </w:t>
      </w:r>
    </w:p>
    <w:p w14:paraId="66F632A5" w14:textId="77777777" w:rsidR="0023589B" w:rsidRPr="00F13B7A" w:rsidRDefault="0023589B" w:rsidP="0023589B">
      <w:pPr>
        <w:rPr>
          <w:rFonts w:cstheme="minorHAnsi"/>
        </w:rPr>
      </w:pPr>
      <w:r>
        <w:rPr>
          <w:rFonts w:cstheme="minorHAnsi"/>
        </w:rPr>
        <w:t>S</w:t>
      </w:r>
      <w:r w:rsidRPr="00F13B7A">
        <w:rPr>
          <w:rFonts w:cstheme="minorHAnsi"/>
        </w:rPr>
        <w:t>even key areas deserve to be considered when addressing the issue of the potential impact that the transition to T+1 in extra-EU jurisdictions will have assuming the EU remains on a T+2 cycle</w:t>
      </w:r>
      <w:r>
        <w:rPr>
          <w:rFonts w:cstheme="minorHAnsi"/>
        </w:rPr>
        <w:t>, as explained below.</w:t>
      </w:r>
    </w:p>
    <w:p w14:paraId="0E01E0C6" w14:textId="0256B5A6" w:rsidR="0023589B" w:rsidRPr="00F13B7A" w:rsidRDefault="0023589B" w:rsidP="0023589B">
      <w:pPr>
        <w:rPr>
          <w:rFonts w:cstheme="minorHAnsi"/>
          <w:u w:val="single"/>
          <w:lang w:val="en-US"/>
        </w:rPr>
      </w:pPr>
      <w:r w:rsidRPr="00520B29">
        <w:rPr>
          <w:rFonts w:cstheme="minorHAnsi"/>
          <w:lang w:val="en-US"/>
        </w:rPr>
        <w:t>1</w:t>
      </w:r>
      <w:r w:rsidR="00520B29" w:rsidRPr="00520B29">
        <w:rPr>
          <w:rFonts w:cstheme="minorHAnsi"/>
          <w:lang w:val="en-US"/>
        </w:rPr>
        <w:t xml:space="preserve">) </w:t>
      </w:r>
      <w:r w:rsidRPr="00F13B7A">
        <w:rPr>
          <w:rFonts w:cstheme="minorHAnsi"/>
          <w:u w:val="single"/>
          <w:lang w:val="en-US"/>
        </w:rPr>
        <w:t>Time zones</w:t>
      </w:r>
    </w:p>
    <w:p w14:paraId="7918D6EE" w14:textId="77777777" w:rsidR="0023589B" w:rsidRPr="00F13B7A" w:rsidRDefault="0023589B" w:rsidP="0023589B">
      <w:pPr>
        <w:rPr>
          <w:rFonts w:cstheme="minorHAnsi"/>
          <w:lang w:val="en-US"/>
        </w:rPr>
      </w:pPr>
      <w:r w:rsidRPr="00F13B7A">
        <w:rPr>
          <w:rFonts w:cstheme="minorHAnsi"/>
          <w:lang w:val="en-US"/>
        </w:rPr>
        <w:t>Operating across various time zones raises communication and coordination challenges for</w:t>
      </w:r>
      <w:r>
        <w:rPr>
          <w:rFonts w:cstheme="minorHAnsi"/>
          <w:lang w:val="en-US"/>
        </w:rPr>
        <w:t xml:space="preserve"> and </w:t>
      </w:r>
      <w:r w:rsidRPr="00F13B7A">
        <w:rPr>
          <w:rFonts w:cstheme="minorHAnsi"/>
          <w:lang w:val="en-US"/>
        </w:rPr>
        <w:t xml:space="preserve">between EU and other global/non-EU market participants. In the </w:t>
      </w:r>
      <w:r w:rsidRPr="00027F1C">
        <w:rPr>
          <w:rFonts w:cstheme="minorHAnsi"/>
          <w:u w:val="single"/>
          <w:lang w:val="en-US"/>
        </w:rPr>
        <w:t>current</w:t>
      </w:r>
      <w:r w:rsidRPr="00F13B7A">
        <w:rPr>
          <w:rFonts w:cstheme="minorHAnsi"/>
          <w:lang w:val="en-US"/>
        </w:rPr>
        <w:t xml:space="preserve"> operational setting</w:t>
      </w:r>
      <w:r>
        <w:rPr>
          <w:rFonts w:cstheme="minorHAnsi"/>
          <w:lang w:val="en-US"/>
        </w:rPr>
        <w:t xml:space="preserve"> (T+2)</w:t>
      </w:r>
      <w:r w:rsidRPr="00F13B7A">
        <w:rPr>
          <w:rFonts w:cstheme="minorHAnsi"/>
          <w:lang w:val="en-US"/>
        </w:rPr>
        <w:t xml:space="preserve">, the one-day window between trade date </w:t>
      </w:r>
      <w:r>
        <w:rPr>
          <w:rFonts w:cstheme="minorHAnsi"/>
          <w:lang w:val="en-US"/>
        </w:rPr>
        <w:t xml:space="preserve">(T) </w:t>
      </w:r>
      <w:r w:rsidRPr="00F13B7A">
        <w:rPr>
          <w:rFonts w:cstheme="minorHAnsi"/>
          <w:lang w:val="en-US"/>
        </w:rPr>
        <w:t xml:space="preserve">and settlement date </w:t>
      </w:r>
      <w:r>
        <w:rPr>
          <w:rFonts w:cstheme="minorHAnsi"/>
          <w:lang w:val="en-US"/>
        </w:rPr>
        <w:t xml:space="preserve">(T+2) </w:t>
      </w:r>
      <w:r w:rsidRPr="00F13B7A">
        <w:rPr>
          <w:rFonts w:cstheme="minorHAnsi"/>
          <w:lang w:val="en-US"/>
        </w:rPr>
        <w:t xml:space="preserve">makes it feasible to solve </w:t>
      </w:r>
      <w:r>
        <w:rPr>
          <w:rFonts w:cstheme="minorHAnsi"/>
          <w:lang w:val="en-US"/>
        </w:rPr>
        <w:t xml:space="preserve">any </w:t>
      </w:r>
      <w:r w:rsidRPr="00F13B7A">
        <w:rPr>
          <w:rFonts w:cstheme="minorHAnsi"/>
          <w:lang w:val="en-US"/>
        </w:rPr>
        <w:t>issues that impede timely settlement. Insofar</w:t>
      </w:r>
      <w:r>
        <w:rPr>
          <w:rFonts w:cstheme="minorHAnsi"/>
          <w:lang w:val="en-US"/>
        </w:rPr>
        <w:t>,</w:t>
      </w:r>
      <w:r w:rsidRPr="00F13B7A">
        <w:rPr>
          <w:rFonts w:cstheme="minorHAnsi"/>
          <w:lang w:val="en-US"/>
        </w:rPr>
        <w:t xml:space="preserve"> as extra-EU jurisdictions shift to T+1, this window is likely to disappear</w:t>
      </w:r>
      <w:r>
        <w:rPr>
          <w:rFonts w:cstheme="minorHAnsi"/>
          <w:lang w:val="en-US"/>
        </w:rPr>
        <w:t>, as also elaborated in our answer to Q.1.</w:t>
      </w:r>
    </w:p>
    <w:p w14:paraId="48FA61D8" w14:textId="77777777" w:rsidR="0023589B" w:rsidRPr="00F13B7A" w:rsidRDefault="0023589B" w:rsidP="0023589B">
      <w:pPr>
        <w:rPr>
          <w:rFonts w:cstheme="minorHAnsi"/>
          <w:lang w:val="en-US"/>
        </w:rPr>
      </w:pPr>
      <w:r w:rsidRPr="00F13B7A">
        <w:rPr>
          <w:rFonts w:cstheme="minorHAnsi"/>
          <w:lang w:val="en-US"/>
        </w:rPr>
        <w:lastRenderedPageBreak/>
        <w:t xml:space="preserve">The exchange of trade details on timely basis and the completion of associated processes, such as </w:t>
      </w:r>
      <w:r>
        <w:rPr>
          <w:rFonts w:cstheme="minorHAnsi"/>
          <w:lang w:val="en-US"/>
        </w:rPr>
        <w:t xml:space="preserve">those on </w:t>
      </w:r>
      <w:r w:rsidRPr="00F13B7A">
        <w:rPr>
          <w:rFonts w:cstheme="minorHAnsi"/>
          <w:lang w:val="en-US"/>
        </w:rPr>
        <w:t>FX, will require efficient coordination across a plurality of different time zones: achieving this goal might turn out to be very challenging, considering the limited overlapping working hours</w:t>
      </w:r>
      <w:r>
        <w:rPr>
          <w:rFonts w:cstheme="minorHAnsi"/>
          <w:lang w:val="en-US"/>
        </w:rPr>
        <w:t xml:space="preserve">, and could likely lead some major market plays to amend the working time shift for some business units. This would instead be too challenging and not viable for EU-based smaller entities which nowadays (in T+2 environment) are capable to manage on </w:t>
      </w:r>
      <w:proofErr w:type="gramStart"/>
      <w:r>
        <w:rPr>
          <w:rFonts w:cstheme="minorHAnsi"/>
          <w:lang w:val="en-US"/>
        </w:rPr>
        <w:t>the their</w:t>
      </w:r>
      <w:proofErr w:type="gramEnd"/>
      <w:r>
        <w:rPr>
          <w:rFonts w:cstheme="minorHAnsi"/>
          <w:lang w:val="en-US"/>
        </w:rPr>
        <w:t xml:space="preserve"> own for the provision of the relevant currency (be it even USD or other ones) thanks to the day available between T and T+2</w:t>
      </w:r>
      <w:r w:rsidRPr="00F13B7A">
        <w:rPr>
          <w:rFonts w:cstheme="minorHAnsi"/>
          <w:lang w:val="en-US"/>
        </w:rPr>
        <w:t>.</w:t>
      </w:r>
    </w:p>
    <w:p w14:paraId="48887F33" w14:textId="071D16F1" w:rsidR="0023589B" w:rsidRPr="00F13B7A" w:rsidRDefault="0023589B" w:rsidP="0023589B">
      <w:pPr>
        <w:rPr>
          <w:rFonts w:cstheme="minorHAnsi"/>
          <w:u w:val="single"/>
          <w:lang w:val="en-US"/>
        </w:rPr>
      </w:pPr>
      <w:proofErr w:type="gramStart"/>
      <w:r w:rsidRPr="00520B29">
        <w:rPr>
          <w:rFonts w:cstheme="minorHAnsi"/>
          <w:lang w:val="en-US"/>
        </w:rPr>
        <w:t>2</w:t>
      </w:r>
      <w:r w:rsidR="00520B29" w:rsidRPr="00520B29">
        <w:rPr>
          <w:rFonts w:cstheme="minorHAnsi"/>
          <w:lang w:val="en-US"/>
        </w:rPr>
        <w:t>)</w:t>
      </w:r>
      <w:r w:rsidRPr="00520B29">
        <w:rPr>
          <w:rFonts w:cstheme="minorHAnsi"/>
          <w:lang w:val="en-US"/>
        </w:rPr>
        <w:t>.</w:t>
      </w:r>
      <w:r w:rsidRPr="00F13B7A">
        <w:rPr>
          <w:rFonts w:cstheme="minorHAnsi"/>
          <w:u w:val="single"/>
          <w:lang w:val="en-US"/>
        </w:rPr>
        <w:t>Allocation</w:t>
      </w:r>
      <w:proofErr w:type="gramEnd"/>
      <w:r w:rsidRPr="00F13B7A">
        <w:rPr>
          <w:rFonts w:cstheme="minorHAnsi"/>
          <w:u w:val="single"/>
          <w:lang w:val="en-US"/>
        </w:rPr>
        <w:t xml:space="preserve"> and affirmations</w:t>
      </w:r>
    </w:p>
    <w:p w14:paraId="3784984D" w14:textId="77777777" w:rsidR="0023589B" w:rsidRPr="00F13B7A" w:rsidRDefault="0023589B" w:rsidP="0023589B">
      <w:pPr>
        <w:rPr>
          <w:rFonts w:cstheme="minorHAnsi"/>
          <w:lang w:val="en-US"/>
        </w:rPr>
      </w:pPr>
      <w:r w:rsidRPr="00F13B7A">
        <w:rPr>
          <w:rFonts w:cstheme="minorHAnsi"/>
          <w:lang w:val="en-US"/>
        </w:rPr>
        <w:t xml:space="preserve">Tighter deadlines will have to be faced by firms for trade allocation and affirmation in extra-EU jurisdictions with reduced settlement cycles. </w:t>
      </w:r>
      <w:proofErr w:type="gramStart"/>
      <w:r w:rsidRPr="00F13B7A">
        <w:rPr>
          <w:rFonts w:cstheme="minorHAnsi"/>
          <w:lang w:val="en-US"/>
        </w:rPr>
        <w:t>As a consequence</w:t>
      </w:r>
      <w:proofErr w:type="gramEnd"/>
      <w:r w:rsidRPr="00F13B7A">
        <w:rPr>
          <w:rFonts w:cstheme="minorHAnsi"/>
          <w:lang w:val="en-US"/>
        </w:rPr>
        <w:t xml:space="preserve">, firms will be forced to ensure </w:t>
      </w:r>
      <w:proofErr w:type="spellStart"/>
      <w:r w:rsidRPr="00F13B7A">
        <w:rPr>
          <w:rFonts w:cstheme="minorHAnsi"/>
          <w:lang w:val="en-US"/>
        </w:rPr>
        <w:t>i</w:t>
      </w:r>
      <w:proofErr w:type="spellEnd"/>
      <w:r w:rsidRPr="00F13B7A">
        <w:rPr>
          <w:rFonts w:cstheme="minorHAnsi"/>
          <w:lang w:val="en-US"/>
        </w:rPr>
        <w:t>) efficient and timely allocation of trades ii) confirmations with counterparties and iii) submission of trade details to the corresponding systems and platforms. Pressure on the adequate staffing of operations may arise.</w:t>
      </w:r>
    </w:p>
    <w:p w14:paraId="74D39477" w14:textId="00DBC06B" w:rsidR="0023589B" w:rsidRPr="00F13B7A" w:rsidRDefault="0023589B" w:rsidP="0023589B">
      <w:pPr>
        <w:rPr>
          <w:rFonts w:cstheme="minorHAnsi"/>
          <w:u w:val="single"/>
          <w:lang w:val="en-US"/>
        </w:rPr>
      </w:pPr>
      <w:r w:rsidRPr="00A615B0">
        <w:rPr>
          <w:rFonts w:cstheme="minorHAnsi"/>
          <w:lang w:val="en-US"/>
        </w:rPr>
        <w:t>3</w:t>
      </w:r>
      <w:r w:rsidR="00520B29" w:rsidRPr="00A615B0">
        <w:rPr>
          <w:rFonts w:cstheme="minorHAnsi"/>
          <w:lang w:val="en-US"/>
        </w:rPr>
        <w:t>)</w:t>
      </w:r>
      <w:r w:rsidR="00A615B0" w:rsidRPr="00A615B0">
        <w:rPr>
          <w:rFonts w:cstheme="minorHAnsi"/>
          <w:lang w:val="en-US"/>
        </w:rPr>
        <w:t xml:space="preserve"> </w:t>
      </w:r>
      <w:r w:rsidRPr="00F13B7A">
        <w:rPr>
          <w:rFonts w:cstheme="minorHAnsi"/>
          <w:u w:val="single"/>
          <w:lang w:val="en-US"/>
        </w:rPr>
        <w:t xml:space="preserve">Foreign exchange, </w:t>
      </w:r>
      <w:proofErr w:type="gramStart"/>
      <w:r w:rsidRPr="00F13B7A">
        <w:rPr>
          <w:rFonts w:cstheme="minorHAnsi"/>
          <w:u w:val="single"/>
          <w:lang w:val="en-US"/>
        </w:rPr>
        <w:t>funding</w:t>
      </w:r>
      <w:proofErr w:type="gramEnd"/>
      <w:r w:rsidRPr="00F13B7A">
        <w:rPr>
          <w:rFonts w:cstheme="minorHAnsi"/>
          <w:u w:val="single"/>
          <w:lang w:val="en-US"/>
        </w:rPr>
        <w:t xml:space="preserve"> and liquidity management</w:t>
      </w:r>
    </w:p>
    <w:p w14:paraId="73F398E8" w14:textId="77777777" w:rsidR="0023589B" w:rsidRPr="00F13B7A" w:rsidRDefault="0023589B" w:rsidP="0023589B">
      <w:pPr>
        <w:rPr>
          <w:rFonts w:cstheme="minorHAnsi"/>
          <w:lang w:val="en-US"/>
        </w:rPr>
      </w:pPr>
      <w:r w:rsidRPr="00F13B7A">
        <w:rPr>
          <w:rFonts w:cstheme="minorHAnsi"/>
        </w:rPr>
        <w:t>A reduced timeframe for settlement in extra-EU jurisdictions will require a review of the timing of the FX trade in relation to the security trade</w:t>
      </w:r>
      <w:r>
        <w:rPr>
          <w:rFonts w:cstheme="minorHAnsi"/>
        </w:rPr>
        <w:t>,</w:t>
      </w:r>
      <w:r w:rsidRPr="00F13B7A">
        <w:rPr>
          <w:rFonts w:cstheme="minorHAnsi"/>
        </w:rPr>
        <w:t xml:space="preserve"> and of the settlement process for both the FX and the security trades considered as a whole. Firms will need to be aware </w:t>
      </w:r>
      <w:proofErr w:type="spellStart"/>
      <w:r w:rsidRPr="00F13B7A">
        <w:rPr>
          <w:rFonts w:cstheme="minorHAnsi"/>
        </w:rPr>
        <w:t>i</w:t>
      </w:r>
      <w:proofErr w:type="spellEnd"/>
      <w:r w:rsidRPr="00F13B7A">
        <w:rPr>
          <w:rFonts w:cstheme="minorHAnsi"/>
        </w:rPr>
        <w:t xml:space="preserve">) of local currency cut-off times, public </w:t>
      </w:r>
      <w:proofErr w:type="gramStart"/>
      <w:r w:rsidRPr="00F13B7A">
        <w:rPr>
          <w:rFonts w:cstheme="minorHAnsi"/>
        </w:rPr>
        <w:t>holidays</w:t>
      </w:r>
      <w:proofErr w:type="gramEnd"/>
      <w:r w:rsidRPr="00F13B7A">
        <w:rPr>
          <w:rFonts w:cstheme="minorHAnsi"/>
        </w:rPr>
        <w:t xml:space="preserve"> and currency controls </w:t>
      </w:r>
      <w:r w:rsidRPr="00F13B7A">
        <w:rPr>
          <w:rFonts w:cstheme="minorHAnsi"/>
          <w:lang w:val="en-US"/>
        </w:rPr>
        <w:t>as well as ii) of custodial and commercial bank currency cut-off times for same day FX transactions.</w:t>
      </w:r>
    </w:p>
    <w:p w14:paraId="633DE9E6" w14:textId="3B7CE849" w:rsidR="0023589B" w:rsidRPr="00F13B7A" w:rsidRDefault="0023589B" w:rsidP="0023589B">
      <w:pPr>
        <w:rPr>
          <w:rFonts w:cstheme="minorHAnsi"/>
          <w:u w:val="single"/>
          <w:lang w:val="en-US"/>
        </w:rPr>
      </w:pPr>
      <w:r w:rsidRPr="00A615B0">
        <w:rPr>
          <w:rFonts w:cstheme="minorHAnsi"/>
          <w:lang w:val="en-US"/>
        </w:rPr>
        <w:t>4</w:t>
      </w:r>
      <w:r w:rsidR="00A615B0" w:rsidRPr="00A615B0">
        <w:rPr>
          <w:rFonts w:cstheme="minorHAnsi"/>
          <w:lang w:val="en-US"/>
        </w:rPr>
        <w:t xml:space="preserve">) </w:t>
      </w:r>
      <w:r w:rsidRPr="00F13B7A">
        <w:rPr>
          <w:rFonts w:cstheme="minorHAnsi"/>
          <w:u w:val="single"/>
          <w:lang w:val="en-US"/>
        </w:rPr>
        <w:t>Securities financing</w:t>
      </w:r>
    </w:p>
    <w:p w14:paraId="594312DE" w14:textId="77777777" w:rsidR="0023589B" w:rsidRPr="00F13B7A" w:rsidRDefault="0023589B" w:rsidP="0023589B">
      <w:pPr>
        <w:rPr>
          <w:rFonts w:cstheme="minorHAnsi"/>
          <w:lang w:val="en-US"/>
        </w:rPr>
      </w:pPr>
      <w:r w:rsidRPr="00F13B7A">
        <w:rPr>
          <w:rFonts w:cstheme="minorHAnsi"/>
          <w:lang w:val="en-US"/>
        </w:rPr>
        <w:t xml:space="preserve">European market participants engaged in US securities lending and repo will have a tighter timeframe to initiate and complete transactions. As indicated in answer to Q.1. above, this is likely to jeopardize their ability to find suitable counterparties on appropriate terms and finalize settlement on time. In </w:t>
      </w:r>
      <w:r>
        <w:rPr>
          <w:rFonts w:cstheme="minorHAnsi"/>
          <w:lang w:val="en-US"/>
        </w:rPr>
        <w:t>short,</w:t>
      </w:r>
      <w:r w:rsidRPr="00F13B7A">
        <w:rPr>
          <w:rFonts w:cstheme="minorHAnsi"/>
          <w:lang w:val="en-US"/>
        </w:rPr>
        <w:t xml:space="preserve"> a compression in the settlement cycle for the cash market is likely to generate additional pressure on these </w:t>
      </w:r>
      <w:proofErr w:type="gramStart"/>
      <w:r w:rsidRPr="00F13B7A">
        <w:rPr>
          <w:rFonts w:cstheme="minorHAnsi"/>
          <w:lang w:val="en-US"/>
        </w:rPr>
        <w:t>activities</w:t>
      </w:r>
      <w:r>
        <w:rPr>
          <w:rFonts w:cstheme="minorHAnsi"/>
          <w:lang w:val="en-US"/>
        </w:rPr>
        <w:t>, or</w:t>
      </w:r>
      <w:proofErr w:type="gramEnd"/>
      <w:r>
        <w:rPr>
          <w:rFonts w:cstheme="minorHAnsi"/>
          <w:lang w:val="en-US"/>
        </w:rPr>
        <w:t xml:space="preserve"> make them no longer viable as too costly.</w:t>
      </w:r>
      <w:r w:rsidRPr="00F13B7A">
        <w:rPr>
          <w:rFonts w:cstheme="minorHAnsi"/>
          <w:lang w:val="en-US"/>
        </w:rPr>
        <w:t xml:space="preserve"> </w:t>
      </w:r>
    </w:p>
    <w:p w14:paraId="7D37A137" w14:textId="7CF5DD88" w:rsidR="0023589B" w:rsidRPr="00F13B7A" w:rsidRDefault="0023589B" w:rsidP="0023589B">
      <w:pPr>
        <w:rPr>
          <w:rFonts w:cstheme="minorHAnsi"/>
          <w:u w:val="single"/>
          <w:lang w:val="en-US"/>
        </w:rPr>
      </w:pPr>
      <w:r w:rsidRPr="00A615B0">
        <w:rPr>
          <w:rFonts w:cstheme="minorHAnsi"/>
          <w:lang w:val="en-US"/>
        </w:rPr>
        <w:t>5</w:t>
      </w:r>
      <w:r w:rsidR="00A615B0" w:rsidRPr="00A615B0">
        <w:rPr>
          <w:rFonts w:cstheme="minorHAnsi"/>
          <w:lang w:val="en-US"/>
        </w:rPr>
        <w:t>)</w:t>
      </w:r>
      <w:r w:rsidRPr="00A615B0">
        <w:rPr>
          <w:rFonts w:cstheme="minorHAnsi"/>
          <w:lang w:val="en-US"/>
        </w:rPr>
        <w:t xml:space="preserve"> </w:t>
      </w:r>
      <w:r w:rsidRPr="00F13B7A">
        <w:rPr>
          <w:rFonts w:cstheme="minorHAnsi"/>
          <w:u w:val="single"/>
          <w:lang w:val="en-US"/>
        </w:rPr>
        <w:t>Exchange-Traded Funds (ETFs)</w:t>
      </w:r>
    </w:p>
    <w:p w14:paraId="5A30C1A0" w14:textId="77777777" w:rsidR="0023589B" w:rsidRPr="00F13B7A" w:rsidRDefault="0023589B" w:rsidP="0023589B">
      <w:pPr>
        <w:rPr>
          <w:rFonts w:cstheme="minorHAnsi"/>
          <w:lang w:val="en-US"/>
        </w:rPr>
      </w:pPr>
      <w:r w:rsidRPr="00F13B7A">
        <w:rPr>
          <w:rFonts w:cstheme="minorHAnsi"/>
          <w:lang w:val="en-US"/>
        </w:rPr>
        <w:t>As indicated in answer to Q.1. above, a reduction in the settlement cycle for a portion or the entirety of the ETF portfolio is likely to further diminish the settlement efficiency rate features by ETFs (that falls under market average).</w:t>
      </w:r>
    </w:p>
    <w:p w14:paraId="1B8100B4" w14:textId="02EF4F25" w:rsidR="0023589B" w:rsidRPr="00F13B7A" w:rsidRDefault="0023589B" w:rsidP="0023589B">
      <w:pPr>
        <w:rPr>
          <w:rFonts w:cstheme="minorHAnsi"/>
          <w:u w:val="single"/>
          <w:lang w:val="en-US"/>
        </w:rPr>
      </w:pPr>
      <w:r w:rsidRPr="00A615B0">
        <w:rPr>
          <w:rFonts w:cstheme="minorHAnsi"/>
          <w:lang w:val="en-US"/>
        </w:rPr>
        <w:t>6</w:t>
      </w:r>
      <w:r w:rsidR="00A615B0" w:rsidRPr="00A615B0">
        <w:rPr>
          <w:rFonts w:cstheme="minorHAnsi"/>
          <w:lang w:val="en-US"/>
        </w:rPr>
        <w:t xml:space="preserve">) </w:t>
      </w:r>
      <w:r w:rsidRPr="00F13B7A">
        <w:rPr>
          <w:rFonts w:cstheme="minorHAnsi"/>
          <w:u w:val="single"/>
          <w:lang w:val="en-US"/>
        </w:rPr>
        <w:t>Corporate actions</w:t>
      </w:r>
    </w:p>
    <w:p w14:paraId="3F04AA3F" w14:textId="77777777" w:rsidR="0023589B" w:rsidRPr="00F13B7A" w:rsidRDefault="0023589B" w:rsidP="0023589B">
      <w:pPr>
        <w:rPr>
          <w:rFonts w:cstheme="minorHAnsi"/>
          <w:lang w:val="en-US"/>
        </w:rPr>
      </w:pPr>
      <w:r w:rsidRPr="00F13B7A">
        <w:rPr>
          <w:rFonts w:cstheme="minorHAnsi"/>
          <w:lang w:val="en-US"/>
        </w:rPr>
        <w:lastRenderedPageBreak/>
        <w:t xml:space="preserve">The window for receiving instructions on voluntary events when trading into a position right before a corporate action-related deadline will reduce. </w:t>
      </w:r>
      <w:r>
        <w:rPr>
          <w:rFonts w:cstheme="minorHAnsi"/>
          <w:lang w:val="en-US"/>
        </w:rPr>
        <w:t>T</w:t>
      </w:r>
      <w:r w:rsidRPr="00F13B7A">
        <w:rPr>
          <w:rFonts w:cstheme="minorHAnsi"/>
          <w:lang w:val="en-US"/>
        </w:rPr>
        <w:t>his adds to the burden of timeliness and accuracy of trade bookings and client instructions which becomes more strained for investors outside the US time zone.</w:t>
      </w:r>
    </w:p>
    <w:p w14:paraId="3103F6D9" w14:textId="4741E85D" w:rsidR="0023589B" w:rsidRPr="00F13B7A" w:rsidRDefault="0023589B" w:rsidP="0023589B">
      <w:pPr>
        <w:rPr>
          <w:rFonts w:cstheme="minorHAnsi"/>
          <w:u w:val="single"/>
          <w:lang w:val="en-US"/>
        </w:rPr>
      </w:pPr>
      <w:r w:rsidRPr="00A615B0">
        <w:rPr>
          <w:rFonts w:cstheme="minorHAnsi"/>
          <w:lang w:val="en-US"/>
        </w:rPr>
        <w:t>7</w:t>
      </w:r>
      <w:r w:rsidR="00A615B0" w:rsidRPr="00A615B0">
        <w:rPr>
          <w:rFonts w:cstheme="minorHAnsi"/>
          <w:lang w:val="en-US"/>
        </w:rPr>
        <w:t xml:space="preserve">) </w:t>
      </w:r>
      <w:r w:rsidRPr="00F13B7A">
        <w:rPr>
          <w:rFonts w:cstheme="minorHAnsi"/>
          <w:u w:val="single"/>
          <w:lang w:val="en-US"/>
        </w:rPr>
        <w:t>Operational resilience</w:t>
      </w:r>
    </w:p>
    <w:p w14:paraId="1BB6D426" w14:textId="0021B302" w:rsidR="00C5469A" w:rsidRDefault="0023589B" w:rsidP="0023589B">
      <w:r w:rsidRPr="00F13B7A">
        <w:rPr>
          <w:rFonts w:cstheme="minorHAnsi"/>
          <w:lang w:val="en-US"/>
        </w:rPr>
        <w:t xml:space="preserve">Tighter controls and monitoring mechanisms will have to be designed and implemented by EU firms </w:t>
      </w:r>
      <w:proofErr w:type="gramStart"/>
      <w:r w:rsidRPr="00F13B7A">
        <w:rPr>
          <w:rFonts w:cstheme="minorHAnsi"/>
          <w:lang w:val="en-US"/>
        </w:rPr>
        <w:t>in order to</w:t>
      </w:r>
      <w:proofErr w:type="gramEnd"/>
      <w:r w:rsidRPr="00F13B7A">
        <w:rPr>
          <w:rFonts w:cstheme="minorHAnsi"/>
          <w:lang w:val="en-US"/>
        </w:rPr>
        <w:t xml:space="preserve"> identify and mitigate the operational risks that might emerge in other extra-EU jurisdictions that shift to a shorter settlement cycle</w:t>
      </w:r>
      <w:r>
        <w:rPr>
          <w:rFonts w:cstheme="minorHAnsi"/>
          <w:lang w:val="en-US"/>
        </w:rPr>
        <w:t>.</w:t>
      </w:r>
    </w:p>
    <w:permEnd w:id="6054277"/>
    <w:p w14:paraId="4FF5786A" w14:textId="77777777" w:rsidR="00C5469A" w:rsidRDefault="00C5469A" w:rsidP="00C5469A">
      <w:r>
        <w:t>&lt;ESMA_QUESTION_SETT_21&gt;</w:t>
      </w:r>
    </w:p>
    <w:p w14:paraId="171966B5" w14:textId="77777777" w:rsidR="00C5469A" w:rsidRDefault="00C5469A" w:rsidP="00C5469A"/>
    <w:p w14:paraId="4485EC52" w14:textId="77777777" w:rsidR="00C5469A" w:rsidRDefault="00C5469A" w:rsidP="00C5469A">
      <w:pPr>
        <w:pStyle w:val="Questionstyle"/>
        <w:numPr>
          <w:ilvl w:val="0"/>
          <w:numId w:val="14"/>
        </w:numPr>
        <w:ind w:left="0"/>
      </w:pPr>
      <w:r>
        <w:t>: Can you identify any EU legislative or regulatory action that would reduce the impact of the move to T+1 in third countries for EU market participants? Please specify the content of the regulatory action and justify why it would be necessary. In particular, please clarify whether those regulatory actions would be necessary in the event of a transition of the EU to a shorter settlement cycle, or they would be specific only to address the misaligned cycles.</w:t>
      </w:r>
    </w:p>
    <w:p w14:paraId="60C7D2F7" w14:textId="77777777" w:rsidR="00C5469A" w:rsidRDefault="00C5469A" w:rsidP="00C5469A">
      <w:r>
        <w:t>&lt;ESMA_QUESTION_SETT_22&gt;</w:t>
      </w:r>
    </w:p>
    <w:p w14:paraId="072BB7FB" w14:textId="77777777" w:rsidR="004C67C7" w:rsidRDefault="004C67C7" w:rsidP="004C67C7">
      <w:pPr>
        <w:rPr>
          <w:rFonts w:cstheme="minorHAnsi"/>
          <w:lang w:val="en-US"/>
        </w:rPr>
      </w:pPr>
      <w:permStart w:id="1778254877" w:edGrp="everyone"/>
      <w:r>
        <w:rPr>
          <w:rFonts w:cstheme="minorHAnsi"/>
          <w:lang w:val="en-US"/>
        </w:rPr>
        <w:t>ESMA could consider the introduction of some sort of</w:t>
      </w:r>
      <w:r w:rsidRPr="009F7C47">
        <w:rPr>
          <w:rFonts w:cstheme="minorHAnsi"/>
          <w:lang w:val="en-US"/>
        </w:rPr>
        <w:t xml:space="preserve"> incentive for EU firms to affirm their trades on T+0, </w:t>
      </w:r>
      <w:proofErr w:type="gramStart"/>
      <w:r>
        <w:rPr>
          <w:rFonts w:cstheme="minorHAnsi"/>
          <w:lang w:val="en-US"/>
        </w:rPr>
        <w:t>despite the fact that</w:t>
      </w:r>
      <w:proofErr w:type="gramEnd"/>
      <w:r w:rsidRPr="009F7C47">
        <w:rPr>
          <w:rFonts w:cstheme="minorHAnsi"/>
          <w:lang w:val="en-US"/>
        </w:rPr>
        <w:t xml:space="preserve"> there </w:t>
      </w:r>
      <w:r>
        <w:rPr>
          <w:rFonts w:cstheme="minorHAnsi"/>
          <w:lang w:val="en-US"/>
        </w:rPr>
        <w:t>would be</w:t>
      </w:r>
      <w:r w:rsidRPr="009F7C47">
        <w:rPr>
          <w:rFonts w:cstheme="minorHAnsi"/>
          <w:lang w:val="en-US"/>
        </w:rPr>
        <w:t xml:space="preserve"> no ability </w:t>
      </w:r>
      <w:r>
        <w:rPr>
          <w:rFonts w:cstheme="minorHAnsi"/>
          <w:lang w:val="en-US"/>
        </w:rPr>
        <w:t>for them (in any case)</w:t>
      </w:r>
      <w:r w:rsidRPr="009F7C47">
        <w:rPr>
          <w:rFonts w:cstheme="minorHAnsi"/>
          <w:lang w:val="en-US"/>
        </w:rPr>
        <w:t xml:space="preserve"> to clear/net transactions through the US clearing house (NSCC)</w:t>
      </w:r>
      <w:r>
        <w:rPr>
          <w:rFonts w:cstheme="minorHAnsi"/>
          <w:lang w:val="en-US"/>
        </w:rPr>
        <w:t>. In fact</w:t>
      </w:r>
      <w:r w:rsidRPr="009F7C47">
        <w:rPr>
          <w:rFonts w:cstheme="minorHAnsi"/>
          <w:lang w:val="en-US"/>
        </w:rPr>
        <w:t xml:space="preserve">, </w:t>
      </w:r>
      <w:r>
        <w:rPr>
          <w:rFonts w:cstheme="minorHAnsi"/>
          <w:lang w:val="en-US"/>
        </w:rPr>
        <w:t>at the current state</w:t>
      </w:r>
      <w:r w:rsidRPr="009F7C47">
        <w:rPr>
          <w:rFonts w:cstheme="minorHAnsi"/>
          <w:lang w:val="en-US"/>
        </w:rPr>
        <w:t xml:space="preserve"> NSCC </w:t>
      </w:r>
      <w:r>
        <w:rPr>
          <w:rFonts w:cstheme="minorHAnsi"/>
          <w:lang w:val="en-US"/>
        </w:rPr>
        <w:t>is</w:t>
      </w:r>
      <w:r w:rsidRPr="009F7C47">
        <w:rPr>
          <w:rFonts w:cstheme="minorHAnsi"/>
          <w:lang w:val="en-US"/>
        </w:rPr>
        <w:t xml:space="preserve"> not admitting any EU firms as clearing members because </w:t>
      </w:r>
      <w:r>
        <w:rPr>
          <w:rFonts w:cstheme="minorHAnsi"/>
          <w:lang w:val="en-US"/>
        </w:rPr>
        <w:t xml:space="preserve">of </w:t>
      </w:r>
      <w:r w:rsidRPr="009F7C47">
        <w:rPr>
          <w:rFonts w:cstheme="minorHAnsi"/>
          <w:lang w:val="en-US"/>
        </w:rPr>
        <w:t xml:space="preserve">the EU EMIR Temporary Recognition Regime </w:t>
      </w:r>
      <w:proofErr w:type="spellStart"/>
      <w:r w:rsidRPr="009F7C47">
        <w:rPr>
          <w:rFonts w:cstheme="minorHAnsi"/>
          <w:lang w:val="en-US"/>
        </w:rPr>
        <w:t>i</w:t>
      </w:r>
      <w:proofErr w:type="spellEnd"/>
      <w:r w:rsidRPr="009F7C47">
        <w:rPr>
          <w:rFonts w:cstheme="minorHAnsi"/>
          <w:lang w:val="en-US"/>
        </w:rPr>
        <w:t xml:space="preserve">) will last until December 31, </w:t>
      </w:r>
      <w:proofErr w:type="gramStart"/>
      <w:r w:rsidRPr="009F7C47">
        <w:rPr>
          <w:rFonts w:cstheme="minorHAnsi"/>
          <w:lang w:val="en-US"/>
        </w:rPr>
        <w:t>2023</w:t>
      </w:r>
      <w:proofErr w:type="gramEnd"/>
      <w:r w:rsidRPr="009F7C47">
        <w:rPr>
          <w:rFonts w:cstheme="minorHAnsi"/>
          <w:lang w:val="en-US"/>
        </w:rPr>
        <w:t xml:space="preserve"> and ii) is only renewable by the EU authorities on a periodic basis</w:t>
      </w:r>
      <w:r>
        <w:rPr>
          <w:rFonts w:cstheme="minorHAnsi"/>
          <w:lang w:val="en-US"/>
        </w:rPr>
        <w:t>.</w:t>
      </w:r>
    </w:p>
    <w:p w14:paraId="6CF52B04" w14:textId="333DC956" w:rsidR="00C5469A" w:rsidRDefault="004C67C7" w:rsidP="004C67C7">
      <w:r w:rsidRPr="004A2F04">
        <w:rPr>
          <w:rFonts w:cstheme="minorHAnsi"/>
          <w:lang w:val="en-US"/>
        </w:rPr>
        <w:t xml:space="preserve">The </w:t>
      </w:r>
      <w:r>
        <w:rPr>
          <w:rFonts w:cstheme="minorHAnsi"/>
          <w:lang w:val="en-US"/>
        </w:rPr>
        <w:t xml:space="preserve">Union </w:t>
      </w:r>
      <w:r w:rsidRPr="004A2F04">
        <w:rPr>
          <w:rFonts w:cstheme="minorHAnsi"/>
          <w:lang w:val="en-US"/>
        </w:rPr>
        <w:t xml:space="preserve">could assist EU firms </w:t>
      </w:r>
      <w:r>
        <w:rPr>
          <w:rFonts w:cstheme="minorHAnsi"/>
          <w:lang w:val="en-US"/>
        </w:rPr>
        <w:t xml:space="preserve">in </w:t>
      </w:r>
      <w:r w:rsidRPr="004A2F04">
        <w:rPr>
          <w:rFonts w:cstheme="minorHAnsi"/>
          <w:lang w:val="en-US"/>
        </w:rPr>
        <w:t xml:space="preserve">preparing for US T+1 </w:t>
      </w:r>
      <w:proofErr w:type="gramStart"/>
      <w:r w:rsidRPr="004A2F04">
        <w:rPr>
          <w:rFonts w:cstheme="minorHAnsi"/>
          <w:lang w:val="en-US"/>
        </w:rPr>
        <w:t>by</w:t>
      </w:r>
      <w:r>
        <w:rPr>
          <w:rFonts w:cstheme="minorHAnsi"/>
          <w:lang w:val="en-US"/>
        </w:rPr>
        <w:t>:</w:t>
      </w:r>
      <w:proofErr w:type="gramEnd"/>
      <w:r w:rsidRPr="004A2F04">
        <w:rPr>
          <w:rFonts w:cstheme="minorHAnsi"/>
          <w:lang w:val="en-US"/>
        </w:rPr>
        <w:t xml:space="preserve"> </w:t>
      </w:r>
      <w:proofErr w:type="spellStart"/>
      <w:r w:rsidRPr="004A2F04">
        <w:rPr>
          <w:rFonts w:cstheme="minorHAnsi"/>
          <w:lang w:val="en-US"/>
        </w:rPr>
        <w:t>i</w:t>
      </w:r>
      <w:proofErr w:type="spellEnd"/>
      <w:r w:rsidRPr="004A2F04">
        <w:rPr>
          <w:rFonts w:cstheme="minorHAnsi"/>
          <w:lang w:val="en-US"/>
        </w:rPr>
        <w:t xml:space="preserve">) granting </w:t>
      </w:r>
      <w:r>
        <w:rPr>
          <w:rFonts w:cstheme="minorHAnsi"/>
          <w:lang w:val="en-US"/>
        </w:rPr>
        <w:t xml:space="preserve">a </w:t>
      </w:r>
      <w:r w:rsidRPr="004A2F04">
        <w:rPr>
          <w:rFonts w:cstheme="minorHAnsi"/>
          <w:lang w:val="en-US"/>
        </w:rPr>
        <w:t xml:space="preserve">permanent equivalence, ii) extending </w:t>
      </w:r>
      <w:r>
        <w:rPr>
          <w:rFonts w:cstheme="minorHAnsi"/>
          <w:lang w:val="en-US"/>
        </w:rPr>
        <w:t xml:space="preserve">its </w:t>
      </w:r>
      <w:r w:rsidRPr="004A2F04">
        <w:rPr>
          <w:rFonts w:cstheme="minorHAnsi"/>
          <w:lang w:val="en-US"/>
        </w:rPr>
        <w:t xml:space="preserve">renewal period or iii) providing more certainty to NSCC that the equivalence will be renewed each time. Such an approach could mitigate adverse </w:t>
      </w:r>
      <w:r>
        <w:rPr>
          <w:rFonts w:cstheme="minorHAnsi"/>
          <w:lang w:val="en-US"/>
        </w:rPr>
        <w:t>effects</w:t>
      </w:r>
      <w:r w:rsidRPr="004A2F04">
        <w:rPr>
          <w:rFonts w:cstheme="minorHAnsi"/>
          <w:lang w:val="en-US"/>
        </w:rPr>
        <w:t xml:space="preserve"> of US T+1 on EU firms, making a harmonized transition and more efficient settlement</w:t>
      </w:r>
      <w:r>
        <w:rPr>
          <w:rFonts w:cstheme="minorHAnsi"/>
          <w:lang w:val="en-US"/>
        </w:rPr>
        <w:t xml:space="preserve"> feasible.</w:t>
      </w:r>
    </w:p>
    <w:permEnd w:id="1778254877"/>
    <w:p w14:paraId="148017C4" w14:textId="77777777" w:rsidR="00C5469A" w:rsidRDefault="00C5469A" w:rsidP="00C5469A">
      <w:r>
        <w:t>&lt;ESMA_QUESTION_SETT_22&gt;</w:t>
      </w:r>
    </w:p>
    <w:p w14:paraId="111C6F7B" w14:textId="77777777" w:rsidR="00C5469A" w:rsidRDefault="00C5469A" w:rsidP="00C5469A"/>
    <w:p w14:paraId="0AED7AC8" w14:textId="77777777" w:rsidR="00C5469A" w:rsidRDefault="00C5469A" w:rsidP="00C5469A">
      <w:pPr>
        <w:pStyle w:val="Questionstyle"/>
        <w:numPr>
          <w:ilvl w:val="0"/>
          <w:numId w:val="14"/>
        </w:numPr>
        <w:ind w:left="142"/>
      </w:pPr>
      <w:r>
        <w:t>: Do you see benefits in the harmonisation of settlement cycles with other non-EU jurisdictions?</w:t>
      </w:r>
    </w:p>
    <w:p w14:paraId="538C0DDE" w14:textId="77777777" w:rsidR="00C5469A" w:rsidRDefault="00C5469A" w:rsidP="00C5469A">
      <w:r>
        <w:lastRenderedPageBreak/>
        <w:t>&lt;ESMA_QUESTION_SETT_23&gt;</w:t>
      </w:r>
    </w:p>
    <w:p w14:paraId="3EFCD4DE" w14:textId="2EAA96A4" w:rsidR="00C5469A" w:rsidRDefault="001F2992" w:rsidP="00C5469A">
      <w:permStart w:id="1174998131" w:edGrp="everyone"/>
      <w:r w:rsidRPr="00931BBD">
        <w:rPr>
          <w:rFonts w:cstheme="minorHAnsi"/>
          <w:lang w:val="en-US"/>
        </w:rPr>
        <w:t>Certainly, in</w:t>
      </w:r>
      <w:r>
        <w:rPr>
          <w:rFonts w:cstheme="minorHAnsi"/>
          <w:lang w:val="en-US"/>
        </w:rPr>
        <w:t xml:space="preserve"> an ideal world, there would be benefits in such harmonization. </w:t>
      </w:r>
      <w:proofErr w:type="gramStart"/>
      <w:r>
        <w:rPr>
          <w:rFonts w:cstheme="minorHAnsi"/>
          <w:lang w:val="en-US"/>
        </w:rPr>
        <w:t>However</w:t>
      </w:r>
      <w:proofErr w:type="gramEnd"/>
      <w:r>
        <w:rPr>
          <w:rFonts w:cstheme="minorHAnsi"/>
          <w:lang w:val="en-US"/>
        </w:rPr>
        <w:t xml:space="preserve"> and pragmatically, sensible time zone differences and a long list of in-house issues to be tackled and resolved in the Union make such an harmonization a longer term goal, which will not be achievable without the accomplishment of a number of interventions we have suggested across the preceding responses.</w:t>
      </w:r>
    </w:p>
    <w:permEnd w:id="1174998131"/>
    <w:p w14:paraId="047F0C9D" w14:textId="77777777" w:rsidR="00C5469A" w:rsidRDefault="00C5469A" w:rsidP="00C5469A">
      <w:r>
        <w:t>&lt;ESMA_QUESTION_SETT_23&gt;</w:t>
      </w:r>
    </w:p>
    <w:p w14:paraId="19138CD9" w14:textId="7D5E3157" w:rsidR="00C5469A" w:rsidRDefault="00C5469A" w:rsidP="00C5469A"/>
    <w:p w14:paraId="2197C700" w14:textId="56BA1028" w:rsidR="00C5469A" w:rsidRDefault="00C5469A" w:rsidP="00C5469A"/>
    <w:p w14:paraId="3B0AC179" w14:textId="26AD0ADC" w:rsidR="00C5469A" w:rsidRDefault="00C5469A" w:rsidP="00C5469A"/>
    <w:p w14:paraId="578673D6" w14:textId="77777777" w:rsidR="00C5469A" w:rsidRDefault="00C5469A" w:rsidP="00C5469A"/>
    <w:p w14:paraId="1E0F21F2" w14:textId="77777777" w:rsidR="00C5469A" w:rsidRDefault="00C5469A" w:rsidP="00C5469A">
      <w:pPr>
        <w:pStyle w:val="Questionstyle"/>
        <w:numPr>
          <w:ilvl w:val="0"/>
          <w:numId w:val="14"/>
        </w:numPr>
        <w:ind w:left="0"/>
      </w:pPr>
      <w:r>
        <w:t>: Would reducing the settlement cycle bring any other indirect benefits to the Capital Markets Union and the EU's position internationally?</w:t>
      </w:r>
    </w:p>
    <w:p w14:paraId="459614D5" w14:textId="77777777" w:rsidR="00C5469A" w:rsidRDefault="00C5469A" w:rsidP="00C5469A">
      <w:r>
        <w:t>&lt;ESMA_QUESTION_SETT_24&gt;</w:t>
      </w:r>
    </w:p>
    <w:p w14:paraId="29AA1A01" w14:textId="77777777" w:rsidR="00C5469A" w:rsidRDefault="00C5469A" w:rsidP="00C5469A">
      <w:permStart w:id="2138049322" w:edGrp="everyone"/>
      <w:r>
        <w:t>TYPE YOUR TEXT HERE</w:t>
      </w:r>
    </w:p>
    <w:permEnd w:id="2138049322"/>
    <w:p w14:paraId="7DB45E0B" w14:textId="77777777" w:rsidR="00C5469A" w:rsidRDefault="00C5469A" w:rsidP="00C5469A">
      <w:r>
        <w:t>&lt;ESMA_QUESTION_SETT_24&gt;</w:t>
      </w:r>
    </w:p>
    <w:p w14:paraId="0B88C95B" w14:textId="77777777" w:rsidR="00C5469A" w:rsidRDefault="00C5469A" w:rsidP="00C5469A"/>
    <w:p w14:paraId="19A15731" w14:textId="77777777" w:rsidR="00C5469A" w:rsidRDefault="00C5469A" w:rsidP="00C5469A">
      <w:pPr>
        <w:pStyle w:val="Questionstyle"/>
        <w:numPr>
          <w:ilvl w:val="0"/>
          <w:numId w:val="14"/>
        </w:numPr>
        <w:ind w:left="0"/>
      </w:pPr>
      <w:r>
        <w:t>: Do you consider that the adaptation of EU market participants to the shorter settlement cycles in other jurisdictions could facilitate the adoption of T+1 or T+0 in the EU? Please elaborate.</w:t>
      </w:r>
    </w:p>
    <w:p w14:paraId="5D9AAFF1" w14:textId="77777777" w:rsidR="00C5469A" w:rsidRDefault="00C5469A" w:rsidP="00C5469A">
      <w:r>
        <w:t>&lt;ESMA_QUESTION_SETT_25&gt;</w:t>
      </w:r>
    </w:p>
    <w:p w14:paraId="125C92C9" w14:textId="77777777" w:rsidR="00C5469A" w:rsidRDefault="00C5469A" w:rsidP="00C5469A">
      <w:permStart w:id="1765815298" w:edGrp="everyone"/>
      <w:r>
        <w:t>TYPE YOUR TEXT HERE</w:t>
      </w:r>
    </w:p>
    <w:permEnd w:id="1765815298"/>
    <w:p w14:paraId="0477E185" w14:textId="77777777" w:rsidR="00C5469A" w:rsidRDefault="00C5469A" w:rsidP="00C5469A">
      <w:r>
        <w:t>&lt;ESMA_QUESTION_SETT_25&gt;</w:t>
      </w:r>
    </w:p>
    <w:p w14:paraId="06135D26" w14:textId="77777777" w:rsidR="00C5469A" w:rsidRDefault="00C5469A" w:rsidP="00C5469A"/>
    <w:p w14:paraId="2FE92644" w14:textId="77777777" w:rsidR="00C5469A" w:rsidRDefault="00C5469A" w:rsidP="00C5469A">
      <w:pPr>
        <w:pStyle w:val="Questionstyle"/>
        <w:numPr>
          <w:ilvl w:val="0"/>
          <w:numId w:val="14"/>
        </w:numPr>
        <w:ind w:left="0"/>
      </w:pPr>
      <w:r>
        <w:t>: Would different settlement cycles in the EU and other non-EU jurisdictions be a viable option?</w:t>
      </w:r>
    </w:p>
    <w:p w14:paraId="1E6DBFAB" w14:textId="77777777" w:rsidR="00C5469A" w:rsidRDefault="00C5469A" w:rsidP="00C5469A">
      <w:r>
        <w:lastRenderedPageBreak/>
        <w:t>&lt;ESMA_QUESTION_SETT_26&gt;</w:t>
      </w:r>
    </w:p>
    <w:p w14:paraId="24BDEB8D" w14:textId="77777777" w:rsidR="00604826" w:rsidRPr="00682F18" w:rsidRDefault="00604826" w:rsidP="00604826">
      <w:pPr>
        <w:rPr>
          <w:rFonts w:cstheme="minorHAnsi"/>
          <w:lang w:val="en-US"/>
        </w:rPr>
      </w:pPr>
      <w:permStart w:id="1934034529" w:edGrp="everyone"/>
      <w:r w:rsidRPr="00682F18">
        <w:rPr>
          <w:rFonts w:cstheme="minorHAnsi"/>
          <w:lang w:val="en-US"/>
        </w:rPr>
        <w:t>It is worth recalling that a misalignment between</w:t>
      </w:r>
      <w:r>
        <w:rPr>
          <w:rFonts w:cstheme="minorHAnsi"/>
          <w:lang w:val="en-US"/>
        </w:rPr>
        <w:t xml:space="preserve"> </w:t>
      </w:r>
      <w:r w:rsidRPr="00682F18">
        <w:rPr>
          <w:rFonts w:cstheme="minorHAnsi"/>
          <w:lang w:val="en-US"/>
        </w:rPr>
        <w:t xml:space="preserve">the EU and the US </w:t>
      </w:r>
      <w:r>
        <w:rPr>
          <w:rFonts w:cstheme="minorHAnsi"/>
          <w:lang w:val="en-US"/>
        </w:rPr>
        <w:t xml:space="preserve">has </w:t>
      </w:r>
      <w:r w:rsidRPr="00682F18">
        <w:rPr>
          <w:rFonts w:cstheme="minorHAnsi"/>
          <w:lang w:val="en-US"/>
        </w:rPr>
        <w:t xml:space="preserve">occurred </w:t>
      </w:r>
      <w:r>
        <w:rPr>
          <w:rFonts w:cstheme="minorHAnsi"/>
          <w:lang w:val="en-US"/>
        </w:rPr>
        <w:t xml:space="preserve">in the past, since </w:t>
      </w:r>
      <w:r w:rsidRPr="00682F18">
        <w:rPr>
          <w:rFonts w:cstheme="minorHAnsi"/>
          <w:lang w:val="en-US"/>
        </w:rPr>
        <w:t xml:space="preserve">2014 </w:t>
      </w:r>
      <w:r>
        <w:rPr>
          <w:rFonts w:cstheme="minorHAnsi"/>
          <w:lang w:val="en-US"/>
        </w:rPr>
        <w:t xml:space="preserve">until </w:t>
      </w:r>
      <w:r w:rsidRPr="00682F18">
        <w:rPr>
          <w:rFonts w:cstheme="minorHAnsi"/>
          <w:lang w:val="en-US"/>
        </w:rPr>
        <w:t>2017</w:t>
      </w:r>
      <w:r>
        <w:rPr>
          <w:rFonts w:cstheme="minorHAnsi"/>
          <w:lang w:val="en-US"/>
        </w:rPr>
        <w:t xml:space="preserve">, as </w:t>
      </w:r>
      <w:r w:rsidRPr="00682F18">
        <w:rPr>
          <w:rFonts w:cstheme="minorHAnsi"/>
          <w:lang w:val="en-US"/>
        </w:rPr>
        <w:t>the shortening of the US settlement cycle from T+3 to T+2 took place in March 2017</w:t>
      </w:r>
      <w:r w:rsidRPr="00682F18">
        <w:rPr>
          <w:rFonts w:cstheme="minorHAnsi"/>
          <w:vertAlign w:val="superscript"/>
        </w:rPr>
        <w:footnoteReference w:id="9"/>
      </w:r>
      <w:r w:rsidRPr="00682F18">
        <w:rPr>
          <w:rFonts w:cstheme="minorHAnsi"/>
          <w:lang w:val="en-US"/>
        </w:rPr>
        <w:t xml:space="preserve">. Based on the </w:t>
      </w:r>
      <w:r>
        <w:rPr>
          <w:rFonts w:cstheme="minorHAnsi"/>
          <w:lang w:val="en-US"/>
        </w:rPr>
        <w:t xml:space="preserve">feedback </w:t>
      </w:r>
      <w:r w:rsidRPr="00682F18">
        <w:rPr>
          <w:rFonts w:cstheme="minorHAnsi"/>
          <w:lang w:val="en-US"/>
        </w:rPr>
        <w:t xml:space="preserve">gathered, that misalignment </w:t>
      </w:r>
      <w:r>
        <w:rPr>
          <w:rFonts w:cstheme="minorHAnsi"/>
          <w:lang w:val="en-US"/>
        </w:rPr>
        <w:t xml:space="preserve">lasting 3 years </w:t>
      </w:r>
      <w:r w:rsidRPr="00682F18">
        <w:rPr>
          <w:rFonts w:cstheme="minorHAnsi"/>
          <w:lang w:val="en-US"/>
        </w:rPr>
        <w:t>was well managed</w:t>
      </w:r>
      <w:r>
        <w:rPr>
          <w:rFonts w:cstheme="minorHAnsi"/>
          <w:lang w:val="en-US"/>
        </w:rPr>
        <w:t>,</w:t>
      </w:r>
      <w:r w:rsidRPr="00682F18">
        <w:rPr>
          <w:rFonts w:cstheme="minorHAnsi"/>
          <w:lang w:val="en-US"/>
        </w:rPr>
        <w:t xml:space="preserve"> without </w:t>
      </w:r>
      <w:r>
        <w:rPr>
          <w:rFonts w:cstheme="minorHAnsi"/>
          <w:lang w:val="en-US"/>
        </w:rPr>
        <w:t>specific and recurring</w:t>
      </w:r>
      <w:r w:rsidRPr="00682F18">
        <w:rPr>
          <w:rFonts w:cstheme="minorHAnsi"/>
          <w:lang w:val="en-US"/>
        </w:rPr>
        <w:t xml:space="preserve"> disruptions.</w:t>
      </w:r>
      <w:r>
        <w:rPr>
          <w:rFonts w:cstheme="minorHAnsi"/>
          <w:lang w:val="en-US"/>
        </w:rPr>
        <w:t xml:space="preserve"> </w:t>
      </w:r>
      <w:r w:rsidRPr="00682F18">
        <w:rPr>
          <w:rFonts w:cstheme="minorHAnsi"/>
          <w:lang w:val="en-US"/>
        </w:rPr>
        <w:t>That said and in line with what indicate</w:t>
      </w:r>
      <w:r>
        <w:rPr>
          <w:rFonts w:cstheme="minorHAnsi"/>
          <w:lang w:val="en-US"/>
        </w:rPr>
        <w:t>d</w:t>
      </w:r>
      <w:r w:rsidRPr="00682F18">
        <w:rPr>
          <w:rFonts w:cstheme="minorHAnsi"/>
          <w:lang w:val="en-US"/>
        </w:rPr>
        <w:t xml:space="preserve"> in answer to question Q.16. above, </w:t>
      </w:r>
      <w:r>
        <w:rPr>
          <w:rFonts w:cstheme="minorHAnsi"/>
          <w:lang w:val="en-US"/>
        </w:rPr>
        <w:t>it cannot be ignored</w:t>
      </w:r>
      <w:r w:rsidRPr="00682F18">
        <w:rPr>
          <w:rFonts w:cstheme="minorHAnsi"/>
          <w:lang w:val="en-US"/>
        </w:rPr>
        <w:t xml:space="preserve"> that a “T+2 vs T+3 misalignment” cannot be compared to a “T+1 vs T+2 misalignment”. </w:t>
      </w:r>
    </w:p>
    <w:p w14:paraId="735EC91A" w14:textId="25024635" w:rsidR="00C5469A" w:rsidRDefault="00604826" w:rsidP="00604826">
      <w:r>
        <w:rPr>
          <w:rFonts w:cstheme="minorHAnsi"/>
          <w:lang w:val="en-US"/>
        </w:rPr>
        <w:t>Hence, as mentioned in a previous answer above, we would support the T+2 SSC permanence in the Union, as far as allow the issue described in this paper are resolved. Some problems and time compression related issues deriving from the misalignments of the US settlement cycle with the Union T+2 cycle will certainly arise but these will be confined to those entities active in US securities that are in scope for a move the T+1 SSC, which is a narrower subset of securities on which bearing the onus of a shorter SSC compared to a concurrent migration of the entire set of UE securities to T+1.</w:t>
      </w:r>
    </w:p>
    <w:permEnd w:id="1934034529"/>
    <w:p w14:paraId="1655DD50" w14:textId="77777777" w:rsidR="00C5469A" w:rsidRDefault="00C5469A" w:rsidP="00C5469A">
      <w:r>
        <w:t>&lt;ESMA_QUESTION_SETT_26&gt;</w:t>
      </w:r>
    </w:p>
    <w:p w14:paraId="77180B12" w14:textId="77777777" w:rsidR="00C5469A" w:rsidRDefault="00C5469A" w:rsidP="00C5469A"/>
    <w:p w14:paraId="706D968A" w14:textId="77777777" w:rsidR="00C5469A" w:rsidRDefault="00C5469A" w:rsidP="00C5469A">
      <w:pPr>
        <w:pStyle w:val="Questionstyle"/>
        <w:numPr>
          <w:ilvl w:val="0"/>
          <w:numId w:val="14"/>
        </w:numPr>
        <w:ind w:left="0"/>
      </w:pPr>
      <w:r>
        <w:t>: Please elaborate about any other issue in relation to the shortening of the securities settlement cycle in the EU or in third-country jurisdictions not previously addressed in the Call for Evidence.</w:t>
      </w:r>
    </w:p>
    <w:p w14:paraId="373526A4" w14:textId="77777777" w:rsidR="00C5469A" w:rsidRDefault="00C5469A" w:rsidP="00C5469A">
      <w:r>
        <w:t>&lt;ESMA_QUESTION_SETT_27&gt;</w:t>
      </w:r>
    </w:p>
    <w:p w14:paraId="0D183AD2" w14:textId="77777777" w:rsidR="00C5469A" w:rsidRDefault="00C5469A" w:rsidP="00C5469A">
      <w:permStart w:id="1617899118" w:edGrp="everyone"/>
      <w:r>
        <w:t>TYPE YOUR TEXT HERE</w:t>
      </w:r>
    </w:p>
    <w:permEnd w:id="1617899118"/>
    <w:p w14:paraId="04595985" w14:textId="6DF160E5" w:rsidR="00B15C0B" w:rsidRPr="00C5469A" w:rsidRDefault="00C5469A" w:rsidP="00B15C0B">
      <w:r>
        <w:t>&lt;ESMA_QUESTION_SETT_27&gt;</w:t>
      </w:r>
    </w:p>
    <w:sectPr w:rsidR="00B15C0B" w:rsidRPr="00C5469A" w:rsidSect="00AD0B10">
      <w:headerReference w:type="default" r:id="rId21"/>
      <w:footerReference w:type="default" r:id="rId22"/>
      <w:pgSz w:w="11906" w:h="16838"/>
      <w:pgMar w:top="1417" w:right="1417" w:bottom="1417" w:left="1417" w:header="86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13080" w14:textId="77777777" w:rsidR="00B94ED2" w:rsidRDefault="00B94ED2" w:rsidP="007E7997">
      <w:pPr>
        <w:spacing w:line="240" w:lineRule="auto"/>
      </w:pPr>
      <w:r>
        <w:separator/>
      </w:r>
    </w:p>
  </w:endnote>
  <w:endnote w:type="continuationSeparator" w:id="0">
    <w:p w14:paraId="646EB492" w14:textId="77777777" w:rsidR="00B94ED2" w:rsidRDefault="00B94ED2" w:rsidP="007E7997">
      <w:pPr>
        <w:spacing w:line="240" w:lineRule="auto"/>
      </w:pPr>
      <w:r>
        <w:continuationSeparator/>
      </w:r>
    </w:p>
  </w:endnote>
  <w:endnote w:type="continuationNotice" w:id="1">
    <w:p w14:paraId="00936B47" w14:textId="77777777" w:rsidR="00B94ED2" w:rsidRDefault="00B94E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1B4F" w:themeColor="text1" w:themeShade="80"/>
        <w:sz w:val="16"/>
      </w:rPr>
      <w:id w:val="-1421483652"/>
      <w:docPartObj>
        <w:docPartGallery w:val="Page Numbers (Bottom of Page)"/>
        <w:docPartUnique/>
      </w:docPartObj>
    </w:sdtPr>
    <w:sdtEndPr>
      <w:rPr>
        <w:noProof/>
      </w:rPr>
    </w:sdtEndPr>
    <w:sdtContent>
      <w:p w14:paraId="70AFCDE4" w14:textId="77777777" w:rsidR="00045BA9" w:rsidRDefault="00045BA9" w:rsidP="002533FC">
        <w:pPr>
          <w:rPr>
            <w:i/>
            <w:iCs/>
          </w:rPr>
        </w:pPr>
      </w:p>
      <w:p w14:paraId="237A920D" w14:textId="56870BC6" w:rsidR="00787413" w:rsidRPr="004E5FF8" w:rsidRDefault="0043139E" w:rsidP="004E5FF8">
        <w:pPr>
          <w:pStyle w:val="Pidipagina"/>
          <w:rPr>
            <w:rFonts w:ascii="Arial" w:hAnsi="Arial" w:cs="Arial"/>
            <w:lang w:val="fr-FR"/>
          </w:rPr>
        </w:pPr>
        <w:r w:rsidRPr="00A8626B">
          <w:rPr>
            <w:rFonts w:ascii="Arial" w:hAnsi="Arial" w:cs="Arial"/>
            <w:sz w:val="15"/>
            <w:szCs w:val="15"/>
            <w:lang w:val="fr-FR"/>
          </w:rPr>
          <w:t xml:space="preserve">ESMA - </w:t>
        </w:r>
        <w:r w:rsidRPr="00A8626B">
          <w:rPr>
            <w:sz w:val="15"/>
            <w:szCs w:val="15"/>
            <w:lang w:val="fr-FR"/>
          </w:rPr>
          <w:t>201-203 rue de Bercy - CS 80910 - 75589 Paris Cedex 12 -</w:t>
        </w:r>
        <w:r w:rsidRPr="00A8626B">
          <w:rPr>
            <w:rFonts w:ascii="Arial" w:hAnsi="Arial" w:cs="Arial"/>
            <w:sz w:val="15"/>
            <w:szCs w:val="15"/>
            <w:lang w:val="fr-FR"/>
          </w:rPr>
          <w:t xml:space="preserve"> France -</w:t>
        </w:r>
        <w:r w:rsidRPr="00A8626B">
          <w:rPr>
            <w:rFonts w:ascii="Arial" w:hAnsi="Arial" w:cs="Arial"/>
            <w:color w:val="3E3F90"/>
            <w:sz w:val="15"/>
            <w:szCs w:val="15"/>
            <w:lang w:val="fr-FR"/>
          </w:rPr>
          <w:t xml:space="preserve"> </w:t>
        </w:r>
        <w:r w:rsidRPr="00A8626B">
          <w:rPr>
            <w:rFonts w:ascii="Arial" w:hAnsi="Arial" w:cs="Arial"/>
            <w:sz w:val="15"/>
            <w:szCs w:val="15"/>
            <w:lang w:val="fr-FR"/>
          </w:rPr>
          <w:t xml:space="preserve">Tel. </w:t>
        </w:r>
        <w:r w:rsidRPr="00A8626B">
          <w:rPr>
            <w:rFonts w:ascii="Arial" w:hAnsi="Arial" w:cs="Arial"/>
            <w:sz w:val="15"/>
            <w:szCs w:val="15"/>
            <w:lang w:val="fr-BE"/>
          </w:rPr>
          <w:t xml:space="preserve">+33 (0) 1 58 36 43 21 - </w:t>
        </w:r>
        <w:hyperlink r:id="rId1" w:history="1">
          <w:r w:rsidRPr="00A8626B">
            <w:rPr>
              <w:rStyle w:val="Collegamentoipertestuale"/>
              <w:rFonts w:ascii="Arial" w:hAnsi="Arial" w:cs="Arial"/>
              <w:sz w:val="15"/>
              <w:szCs w:val="15"/>
              <w:lang w:val="fr-FR"/>
            </w:rPr>
            <w:t>www.esma.</w:t>
          </w:r>
          <w:r w:rsidRPr="00A8626B">
            <w:rPr>
              <w:rStyle w:val="Collegamentoipertestuale"/>
              <w:sz w:val="15"/>
              <w:szCs w:val="15"/>
              <w:lang w:val="fr-BE"/>
            </w:rPr>
            <w:t>europa</w:t>
          </w:r>
          <w:r w:rsidRPr="00A8626B">
            <w:rPr>
              <w:rStyle w:val="Collegamentoipertestuale"/>
              <w:rFonts w:ascii="Arial" w:hAnsi="Arial" w:cs="Arial"/>
              <w:sz w:val="15"/>
              <w:szCs w:val="15"/>
              <w:lang w:val="fr-FR"/>
            </w:rPr>
            <w:t>.eu</w:t>
          </w:r>
        </w:hyperlink>
        <w:r w:rsidR="004E5FF8">
          <w:rPr>
            <w:rFonts w:ascii="Arial" w:hAnsi="Arial" w:cs="Arial"/>
            <w:lang w:val="fr-FR"/>
          </w:rPr>
          <w:tab/>
        </w:r>
        <w:r w:rsidR="006A44DA" w:rsidRPr="00B73281">
          <w:rPr>
            <w:lang w:val="fr-BE"/>
          </w:rPr>
          <w:t xml:space="preserve"> </w:t>
        </w:r>
        <w:r w:rsidR="006A44DA">
          <w:fldChar w:fldCharType="begin"/>
        </w:r>
        <w:r w:rsidR="006A44DA" w:rsidRPr="002537CE">
          <w:rPr>
            <w:lang w:val="fr-FR"/>
          </w:rPr>
          <w:instrText xml:space="preserve"> PAGE   \* MERGEFORMAT </w:instrText>
        </w:r>
        <w:r w:rsidR="006A44DA">
          <w:fldChar w:fldCharType="separate"/>
        </w:r>
        <w:r w:rsidR="006A44DA" w:rsidRPr="002537CE">
          <w:rPr>
            <w:noProof/>
            <w:lang w:val="fr-FR"/>
          </w:rPr>
          <w:t>2</w:t>
        </w:r>
        <w:r w:rsidR="006A44DA">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024557"/>
      <w:docPartObj>
        <w:docPartGallery w:val="Page Numbers (Bottom of Page)"/>
        <w:docPartUnique/>
      </w:docPartObj>
    </w:sdtPr>
    <w:sdtEndPr>
      <w:rPr>
        <w:noProof/>
      </w:rPr>
    </w:sdtEndPr>
    <w:sdtContent>
      <w:p w14:paraId="5AA6C61A" w14:textId="77777777" w:rsidR="006A44DA" w:rsidRDefault="006A44DA" w:rsidP="00B73281">
        <w:pPr>
          <w:pStyle w:val="Pidipagina"/>
          <w:jc w:val="right"/>
        </w:pPr>
        <w:r>
          <w:fldChar w:fldCharType="begin"/>
        </w:r>
        <w:r>
          <w:instrText xml:space="preserve"> PAGE   \* MERGEFORMAT </w:instrText>
        </w:r>
        <w:r>
          <w:fldChar w:fldCharType="separate"/>
        </w:r>
        <w:r>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BA5F4" w14:textId="77777777" w:rsidR="00B94ED2" w:rsidRDefault="00B94ED2" w:rsidP="007E7997">
      <w:pPr>
        <w:spacing w:line="240" w:lineRule="auto"/>
      </w:pPr>
      <w:r>
        <w:separator/>
      </w:r>
    </w:p>
  </w:footnote>
  <w:footnote w:type="continuationSeparator" w:id="0">
    <w:p w14:paraId="785E44E5" w14:textId="77777777" w:rsidR="00B94ED2" w:rsidRDefault="00B94ED2" w:rsidP="007E7997">
      <w:pPr>
        <w:spacing w:line="240" w:lineRule="auto"/>
      </w:pPr>
      <w:r>
        <w:continuationSeparator/>
      </w:r>
    </w:p>
  </w:footnote>
  <w:footnote w:type="continuationNotice" w:id="1">
    <w:p w14:paraId="54706922" w14:textId="77777777" w:rsidR="00B94ED2" w:rsidRDefault="00B94ED2">
      <w:pPr>
        <w:spacing w:after="0" w:line="240" w:lineRule="auto"/>
      </w:pPr>
    </w:p>
  </w:footnote>
  <w:footnote w:id="2">
    <w:p w14:paraId="49551339" w14:textId="77777777" w:rsidR="00C76D62" w:rsidRPr="00F274F5" w:rsidRDefault="00C76D62" w:rsidP="00C76D62">
      <w:pPr>
        <w:pStyle w:val="Testonotaapidipagina"/>
      </w:pPr>
      <w:r>
        <w:rPr>
          <w:rStyle w:val="Rimandonotaapidipagina"/>
        </w:rPr>
        <w:footnoteRef/>
      </w:r>
      <w:r>
        <w:t xml:space="preserve"> </w:t>
      </w:r>
      <w:r w:rsidRPr="00F274F5">
        <w:t xml:space="preserve">In this final regard, a further level of complexity is provided by some equity securities being listed for After Hour Trading (AHT), where negotiations are due to end at </w:t>
      </w:r>
      <w:r>
        <w:t>20</w:t>
      </w:r>
      <w:r w:rsidRPr="00F274F5">
        <w:t>:30 CET</w:t>
      </w:r>
      <w:r>
        <w:t>,</w:t>
      </w:r>
      <w:r w:rsidRPr="00F274F5">
        <w:t xml:space="preserve"> i.e. when the cycle of night settlement has already started</w:t>
      </w:r>
      <w:r>
        <w:t>.</w:t>
      </w:r>
    </w:p>
  </w:footnote>
  <w:footnote w:id="3">
    <w:p w14:paraId="5FCF6026" w14:textId="77777777" w:rsidR="00C76D62" w:rsidRDefault="00C76D62" w:rsidP="00C76D62">
      <w:pPr>
        <w:pStyle w:val="Testonotaapidipagina"/>
      </w:pPr>
      <w:r>
        <w:rPr>
          <w:rStyle w:val="Rimandonotaapidipagina"/>
        </w:rPr>
        <w:footnoteRef/>
      </w:r>
      <w:r>
        <w:t xml:space="preserve"> </w:t>
      </w:r>
      <w:r w:rsidRPr="0027001A">
        <w:rPr>
          <w:b/>
          <w:bCs/>
        </w:rPr>
        <w:t>CLS is a bank-owned institution</w:t>
      </w:r>
      <w:r w:rsidRPr="0022722B">
        <w:t xml:space="preserve"> established in the United States and supervised by the Federal Reserve Bank of New York. It is also subject to cooperative oversight by the central banks that issue the various currencies traded. In the “CLS Oversight Committee” the </w:t>
      </w:r>
      <w:r w:rsidRPr="0022722B">
        <w:t>Eurosystem is represented by the central banks of the G10 countries that promoted the establishment and launch of the CLS in 2002, including the Bank of Italy.</w:t>
      </w:r>
    </w:p>
    <w:p w14:paraId="31A887F8" w14:textId="77777777" w:rsidR="00C76D62" w:rsidRPr="0085707C" w:rsidRDefault="00C76D62" w:rsidP="00C76D62">
      <w:pPr>
        <w:pStyle w:val="Testonotaapidipagina"/>
      </w:pPr>
      <w:r w:rsidRPr="0085707C">
        <w:t xml:space="preserve">CLS </w:t>
      </w:r>
      <w:r w:rsidRPr="0027001A">
        <w:rPr>
          <w:b/>
          <w:bCs/>
        </w:rPr>
        <w:t>settles multicurrency interbank payments</w:t>
      </w:r>
      <w:r w:rsidRPr="0085707C">
        <w:t xml:space="preserve"> in 17 currencies, the bulk of which are in euro/USD currency pair.</w:t>
      </w:r>
    </w:p>
    <w:p w14:paraId="2974F9BB" w14:textId="77777777" w:rsidR="00C76D62" w:rsidRPr="0085707C" w:rsidRDefault="00C76D62" w:rsidP="00C76D62">
      <w:pPr>
        <w:pStyle w:val="Testonotaapidipagina"/>
      </w:pPr>
      <w:r w:rsidRPr="0085707C">
        <w:t xml:space="preserve">The settlement is made on a gross basis according to a “payment-versus-payment” mechanism (PvP), whereby participants pay the amounts owed within the settlement windows for each currency (pay-ins) after which CLS makes pay-outs to the participants with long positions.    </w:t>
      </w:r>
    </w:p>
    <w:p w14:paraId="079D3D19" w14:textId="77777777" w:rsidR="00C76D62" w:rsidRPr="0085707C" w:rsidRDefault="00C76D62" w:rsidP="00C76D62">
      <w:pPr>
        <w:pStyle w:val="Testonotaapidipagina"/>
      </w:pPr>
      <w:r w:rsidRPr="0027001A">
        <w:rPr>
          <w:b/>
          <w:bCs/>
        </w:rPr>
        <w:t>Settlement is made through</w:t>
      </w:r>
      <w:r w:rsidRPr="0085707C">
        <w:t xml:space="preserve"> movements in the accounts CLS holds with each of the central banks whose currencies it handles. In this way credit risk, and therefore settlement risk, is greatly reduced.</w:t>
      </w:r>
    </w:p>
    <w:p w14:paraId="363DAA78" w14:textId="77777777" w:rsidR="00C76D62" w:rsidRPr="0085707C" w:rsidRDefault="00C76D62" w:rsidP="00C76D62">
      <w:pPr>
        <w:pStyle w:val="Testonotaapidipagina"/>
      </w:pPr>
      <w:r w:rsidRPr="0085707C">
        <w:t>CLS has 63 direct settlement members (all banks with large volumes of FX trades) and about 10,000 indirect participants, including several central counterparties.</w:t>
      </w:r>
    </w:p>
    <w:p w14:paraId="76C194E2" w14:textId="77777777" w:rsidR="00C76D62" w:rsidRDefault="00C76D62" w:rsidP="00C76D62">
      <w:pPr>
        <w:pStyle w:val="Testonotaapidipagina"/>
      </w:pPr>
      <w:r w:rsidRPr="0085707C">
        <w:t>The large volume of trades handled, and its links to the real time gross settlement (RTGS) systems that process FX transactions, make CLS a Financial Market Utility (FMU) of systemic importance to the US and global financial markets. Therefore, it must comply with the recommendations of the CPSS-IOSCO Principles for Financial Market Infrastructures (PFMI).</w:t>
      </w:r>
    </w:p>
    <w:p w14:paraId="7B799364" w14:textId="77777777" w:rsidR="00C76D62" w:rsidRPr="00861F39" w:rsidRDefault="00C76D62" w:rsidP="00C76D62">
      <w:pPr>
        <w:pStyle w:val="Testonotaapidipagina"/>
      </w:pPr>
      <w:r w:rsidRPr="00931BBD">
        <w:rPr>
          <w:b/>
          <w:bCs/>
        </w:rPr>
        <w:t xml:space="preserve">Source of this information: Bank of Italy, </w:t>
      </w:r>
      <w:hyperlink r:id="rId1" w:history="1">
        <w:r w:rsidRPr="00931BBD">
          <w:rPr>
            <w:rStyle w:val="Collegamentoipertestuale"/>
            <w:b/>
            <w:bCs/>
          </w:rPr>
          <w:t>https://www.bancaditalia.it/compiti/sispaga-mercati/cls/index.html</w:t>
        </w:r>
      </w:hyperlink>
      <w:r w:rsidRPr="00931BBD">
        <w:rPr>
          <w:b/>
          <w:bCs/>
        </w:rPr>
        <w:t>.</w:t>
      </w:r>
      <w:r>
        <w:t xml:space="preserve"> </w:t>
      </w:r>
    </w:p>
  </w:footnote>
  <w:footnote w:id="4">
    <w:p w14:paraId="021855BF" w14:textId="77777777" w:rsidR="00C76D62" w:rsidRPr="00AB519D" w:rsidRDefault="00C76D62" w:rsidP="00C76D62">
      <w:pPr>
        <w:pStyle w:val="Testonotaapidipagina"/>
        <w:rPr>
          <w:lang w:val="en-US"/>
        </w:rPr>
      </w:pPr>
      <w:r>
        <w:rPr>
          <w:rStyle w:val="Rimandonotaapidipagina"/>
        </w:rPr>
        <w:footnoteRef/>
      </w:r>
      <w:r>
        <w:t xml:space="preserve"> The </w:t>
      </w:r>
      <w:proofErr w:type="gramStart"/>
      <w:r>
        <w:t>Ex Date</w:t>
      </w:r>
      <w:proofErr w:type="gramEnd"/>
      <w:r>
        <w:t xml:space="preserve"> is the </w:t>
      </w:r>
      <w:r w:rsidRPr="00AB519D">
        <w:rPr>
          <w:lang w:val="en-US"/>
        </w:rPr>
        <w:t>date from which a security is traded without the corporate action entitlement attached thereto</w:t>
      </w:r>
      <w:r>
        <w:rPr>
          <w:lang w:val="en-US"/>
        </w:rPr>
        <w:t>.</w:t>
      </w:r>
    </w:p>
  </w:footnote>
  <w:footnote w:id="5">
    <w:p w14:paraId="7A9E41F2" w14:textId="77777777" w:rsidR="00C76D62" w:rsidRPr="00A010F9" w:rsidRDefault="00C76D62" w:rsidP="00C76D62">
      <w:pPr>
        <w:pStyle w:val="Testonotaapidipagina"/>
        <w:rPr>
          <w:lang w:val="en-US"/>
        </w:rPr>
      </w:pPr>
      <w:r>
        <w:rPr>
          <w:rStyle w:val="Rimandonotaapidipagina"/>
        </w:rPr>
        <w:footnoteRef/>
      </w:r>
      <w:r>
        <w:t xml:space="preserve"> The Record Date is the </w:t>
      </w:r>
      <w:r w:rsidRPr="00A010F9">
        <w:rPr>
          <w:lang w:val="en-US"/>
        </w:rPr>
        <w:t>the last date in which shareholders are eligible to receive a dividend or distribution</w:t>
      </w:r>
      <w:r>
        <w:rPr>
          <w:lang w:val="en-US"/>
        </w:rPr>
        <w:t>.</w:t>
      </w:r>
    </w:p>
  </w:footnote>
  <w:footnote w:id="6">
    <w:p w14:paraId="2454DEA6" w14:textId="77777777" w:rsidR="00C76D62" w:rsidRPr="00C07C69" w:rsidRDefault="00C76D62" w:rsidP="00C76D62">
      <w:pPr>
        <w:pStyle w:val="Testonotaapidipagina"/>
        <w:rPr>
          <w:lang w:val="en-US"/>
        </w:rPr>
      </w:pPr>
      <w:r>
        <w:rPr>
          <w:rStyle w:val="Rimandonotaapidipagina"/>
        </w:rPr>
        <w:footnoteRef/>
      </w:r>
      <w:r>
        <w:t xml:space="preserve"> Under the current </w:t>
      </w:r>
      <w:r>
        <w:rPr>
          <w:lang w:val="en-US"/>
        </w:rPr>
        <w:t>settlement time frame of T+2</w:t>
      </w:r>
      <w:r w:rsidRPr="00C07C69">
        <w:rPr>
          <w:lang w:val="en-US"/>
        </w:rPr>
        <w:t>,</w:t>
      </w:r>
      <w:r>
        <w:rPr>
          <w:lang w:val="en-US"/>
        </w:rPr>
        <w:t xml:space="preserve"> each key date is mapped to a specific business day and the sequences is </w:t>
      </w:r>
      <w:r w:rsidRPr="00E50EEF">
        <w:rPr>
          <w:lang w:val="en-US"/>
        </w:rPr>
        <w:t xml:space="preserve">Ex Date </w:t>
      </w:r>
      <w:r>
        <w:rPr>
          <w:lang w:val="en-US"/>
        </w:rPr>
        <w:t xml:space="preserve">&gt; </w:t>
      </w:r>
      <w:r w:rsidRPr="00E50EEF">
        <w:rPr>
          <w:lang w:val="en-US"/>
        </w:rPr>
        <w:t xml:space="preserve">Record Date </w:t>
      </w:r>
      <w:r>
        <w:rPr>
          <w:lang w:val="en-US"/>
        </w:rPr>
        <w:t>&gt;</w:t>
      </w:r>
      <w:r w:rsidRPr="00E50EEF">
        <w:rPr>
          <w:lang w:val="en-US"/>
        </w:rPr>
        <w:t xml:space="preserve"> Pay Date</w:t>
      </w:r>
      <w:r>
        <w:rPr>
          <w:lang w:val="en-US"/>
        </w:rPr>
        <w:t>, and this has made rarely occur “reverse market claims” by shareholders.</w:t>
      </w:r>
    </w:p>
  </w:footnote>
  <w:footnote w:id="7">
    <w:p w14:paraId="66EE48EA" w14:textId="77777777" w:rsidR="00C76D62" w:rsidRPr="0008770A" w:rsidRDefault="00C76D62" w:rsidP="00C76D62">
      <w:pPr>
        <w:pStyle w:val="Testonotaapidipagina"/>
      </w:pPr>
      <w:r>
        <w:rPr>
          <w:rStyle w:val="Rimandonotaapidipagina"/>
        </w:rPr>
        <w:footnoteRef/>
      </w:r>
      <w:r>
        <w:t xml:space="preserve"> </w:t>
      </w:r>
      <w:r w:rsidRPr="0008770A">
        <w:rPr>
          <w:rFonts w:ascii="Segoe UI" w:hAnsi="Segoe UI" w:cs="Segoe UI"/>
          <w:color w:val="191919"/>
          <w:sz w:val="18"/>
          <w:szCs w:val="18"/>
        </w:rPr>
        <w:t xml:space="preserve">In addition, a move to T+1 would </w:t>
      </w:r>
      <w:r>
        <w:rPr>
          <w:rFonts w:ascii="Segoe UI" w:hAnsi="Segoe UI" w:cs="Segoe UI"/>
          <w:color w:val="191919"/>
          <w:sz w:val="18"/>
          <w:szCs w:val="18"/>
        </w:rPr>
        <w:t xml:space="preserve">imply changes and innovations’ costs for the current </w:t>
      </w:r>
      <w:r w:rsidRPr="0008770A">
        <w:rPr>
          <w:rFonts w:ascii="Segoe UI" w:hAnsi="Segoe UI" w:cs="Segoe UI"/>
          <w:color w:val="191919"/>
          <w:sz w:val="18"/>
          <w:szCs w:val="18"/>
        </w:rPr>
        <w:t>IT capacity</w:t>
      </w:r>
      <w:r>
        <w:rPr>
          <w:rFonts w:ascii="Segoe UI" w:hAnsi="Segoe UI" w:cs="Segoe UI"/>
          <w:color w:val="191919"/>
          <w:sz w:val="18"/>
          <w:szCs w:val="18"/>
        </w:rPr>
        <w:t>,</w:t>
      </w:r>
      <w:r w:rsidRPr="0008770A">
        <w:rPr>
          <w:rFonts w:ascii="Segoe UI" w:hAnsi="Segoe UI" w:cs="Segoe UI"/>
          <w:color w:val="191919"/>
          <w:sz w:val="18"/>
          <w:szCs w:val="18"/>
        </w:rPr>
        <w:t xml:space="preserve"> including re-scheduling process</w:t>
      </w:r>
      <w:r>
        <w:rPr>
          <w:rFonts w:ascii="Segoe UI" w:hAnsi="Segoe UI" w:cs="Segoe UI"/>
          <w:color w:val="191919"/>
          <w:sz w:val="18"/>
          <w:szCs w:val="18"/>
        </w:rPr>
        <w:t>(es)</w:t>
      </w:r>
      <w:r w:rsidRPr="0008770A">
        <w:rPr>
          <w:rFonts w:ascii="Segoe UI" w:hAnsi="Segoe UI" w:cs="Segoe UI"/>
          <w:color w:val="191919"/>
          <w:sz w:val="18"/>
          <w:szCs w:val="18"/>
        </w:rPr>
        <w:t xml:space="preserve"> from night</w:t>
      </w:r>
      <w:r>
        <w:rPr>
          <w:rFonts w:ascii="Segoe UI" w:hAnsi="Segoe UI" w:cs="Segoe UI"/>
          <w:color w:val="191919"/>
          <w:sz w:val="18"/>
          <w:szCs w:val="18"/>
        </w:rPr>
        <w:t>-</w:t>
      </w:r>
      <w:r w:rsidRPr="0008770A">
        <w:rPr>
          <w:rFonts w:ascii="Segoe UI" w:hAnsi="Segoe UI" w:cs="Segoe UI"/>
          <w:color w:val="191919"/>
          <w:sz w:val="18"/>
          <w:szCs w:val="18"/>
        </w:rPr>
        <w:t>time batch</w:t>
      </w:r>
      <w:r>
        <w:rPr>
          <w:rFonts w:ascii="Segoe UI" w:hAnsi="Segoe UI" w:cs="Segoe UI"/>
          <w:color w:val="191919"/>
          <w:sz w:val="18"/>
          <w:szCs w:val="18"/>
        </w:rPr>
        <w:t>(es)</w:t>
      </w:r>
      <w:r w:rsidRPr="0008770A">
        <w:rPr>
          <w:rFonts w:ascii="Segoe UI" w:hAnsi="Segoe UI" w:cs="Segoe UI"/>
          <w:color w:val="191919"/>
          <w:sz w:val="18"/>
          <w:szCs w:val="18"/>
        </w:rPr>
        <w:t xml:space="preserve"> to intra</w:t>
      </w:r>
      <w:r>
        <w:rPr>
          <w:rFonts w:ascii="Segoe UI" w:hAnsi="Segoe UI" w:cs="Segoe UI"/>
          <w:color w:val="191919"/>
          <w:sz w:val="18"/>
          <w:szCs w:val="18"/>
        </w:rPr>
        <w:t>-</w:t>
      </w:r>
      <w:r w:rsidRPr="0008770A">
        <w:rPr>
          <w:rFonts w:ascii="Segoe UI" w:hAnsi="Segoe UI" w:cs="Segoe UI"/>
          <w:color w:val="191919"/>
          <w:sz w:val="18"/>
          <w:szCs w:val="18"/>
        </w:rPr>
        <w:t>day batch</w:t>
      </w:r>
      <w:r>
        <w:rPr>
          <w:rFonts w:ascii="Segoe UI" w:hAnsi="Segoe UI" w:cs="Segoe UI"/>
          <w:color w:val="191919"/>
          <w:sz w:val="18"/>
          <w:szCs w:val="18"/>
        </w:rPr>
        <w:t>(es)</w:t>
      </w:r>
      <w:r w:rsidRPr="0008770A">
        <w:rPr>
          <w:rFonts w:ascii="Segoe UI" w:hAnsi="Segoe UI" w:cs="Segoe UI"/>
          <w:color w:val="191919"/>
          <w:sz w:val="18"/>
          <w:szCs w:val="18"/>
        </w:rPr>
        <w:t xml:space="preserve"> and resiliency</w:t>
      </w:r>
      <w:r>
        <w:rPr>
          <w:rFonts w:ascii="Segoe UI" w:hAnsi="Segoe UI" w:cs="Segoe UI"/>
          <w:color w:val="191919"/>
          <w:sz w:val="18"/>
          <w:szCs w:val="18"/>
        </w:rPr>
        <w:t xml:space="preserve">’s enhancements. All of this would </w:t>
      </w:r>
      <w:r w:rsidRPr="0008770A">
        <w:rPr>
          <w:rFonts w:ascii="Segoe UI" w:hAnsi="Segoe UI" w:cs="Segoe UI"/>
          <w:color w:val="191919"/>
          <w:sz w:val="18"/>
          <w:szCs w:val="18"/>
        </w:rPr>
        <w:t xml:space="preserve">also </w:t>
      </w:r>
      <w:r>
        <w:rPr>
          <w:rFonts w:ascii="Segoe UI" w:hAnsi="Segoe UI" w:cs="Segoe UI"/>
          <w:color w:val="191919"/>
          <w:sz w:val="18"/>
          <w:szCs w:val="18"/>
        </w:rPr>
        <w:t xml:space="preserve">have </w:t>
      </w:r>
      <w:r w:rsidRPr="0008770A">
        <w:rPr>
          <w:rFonts w:ascii="Segoe UI" w:hAnsi="Segoe UI" w:cs="Segoe UI"/>
          <w:color w:val="191919"/>
          <w:sz w:val="18"/>
          <w:szCs w:val="18"/>
        </w:rPr>
        <w:t>to be factored</w:t>
      </w:r>
      <w:r>
        <w:rPr>
          <w:rFonts w:ascii="Segoe UI" w:hAnsi="Segoe UI" w:cs="Segoe UI"/>
          <w:color w:val="191919"/>
          <w:sz w:val="18"/>
          <w:szCs w:val="18"/>
        </w:rPr>
        <w:t xml:space="preserve"> </w:t>
      </w:r>
      <w:r w:rsidRPr="0008770A">
        <w:rPr>
          <w:rFonts w:ascii="Segoe UI" w:hAnsi="Segoe UI" w:cs="Segoe UI"/>
          <w:color w:val="191919"/>
          <w:sz w:val="18"/>
          <w:szCs w:val="18"/>
        </w:rPr>
        <w:t>in</w:t>
      </w:r>
      <w:r>
        <w:rPr>
          <w:rFonts w:ascii="Segoe UI" w:hAnsi="Segoe UI" w:cs="Segoe UI"/>
          <w:color w:val="191919"/>
          <w:sz w:val="18"/>
          <w:szCs w:val="18"/>
        </w:rPr>
        <w:t xml:space="preserve"> </w:t>
      </w:r>
      <w:r w:rsidRPr="0008770A">
        <w:rPr>
          <w:rFonts w:ascii="Segoe UI" w:hAnsi="Segoe UI" w:cs="Segoe UI"/>
          <w:color w:val="191919"/>
          <w:sz w:val="18"/>
          <w:szCs w:val="18"/>
        </w:rPr>
        <w:t xml:space="preserve">any decision-making and technical standards </w:t>
      </w:r>
      <w:r>
        <w:rPr>
          <w:rFonts w:ascii="Segoe UI" w:hAnsi="Segoe UI" w:cs="Segoe UI"/>
          <w:color w:val="191919"/>
          <w:sz w:val="18"/>
          <w:szCs w:val="18"/>
        </w:rPr>
        <w:t xml:space="preserve">to be adopted </w:t>
      </w:r>
      <w:r w:rsidRPr="0008770A">
        <w:rPr>
          <w:rFonts w:ascii="Segoe UI" w:hAnsi="Segoe UI" w:cs="Segoe UI"/>
          <w:color w:val="191919"/>
          <w:sz w:val="18"/>
          <w:szCs w:val="18"/>
        </w:rPr>
        <w:t>by firms and EU’s FMIs</w:t>
      </w:r>
      <w:r>
        <w:rPr>
          <w:rFonts w:ascii="Segoe UI" w:hAnsi="Segoe UI" w:cs="Segoe UI"/>
          <w:color w:val="191919"/>
          <w:sz w:val="18"/>
          <w:szCs w:val="18"/>
        </w:rPr>
        <w:t>.</w:t>
      </w:r>
    </w:p>
  </w:footnote>
  <w:footnote w:id="8">
    <w:p w14:paraId="733400CA" w14:textId="77777777" w:rsidR="00C91AC0" w:rsidRPr="0019280F" w:rsidRDefault="00C91AC0" w:rsidP="00C91AC0">
      <w:pPr>
        <w:pStyle w:val="Testonotaapidipagina"/>
        <w:ind w:left="-454"/>
        <w:rPr>
          <w:rFonts w:ascii="Arial" w:hAnsi="Arial" w:cs="Arial"/>
          <w:sz w:val="18"/>
          <w:szCs w:val="18"/>
          <w:lang w:val="en-US"/>
        </w:rPr>
      </w:pPr>
      <w:r w:rsidRPr="0019280F">
        <w:rPr>
          <w:rStyle w:val="Rimandonotaapidipagina"/>
          <w:rFonts w:ascii="Arial" w:hAnsi="Arial" w:cs="Arial"/>
          <w:sz w:val="18"/>
          <w:szCs w:val="18"/>
        </w:rPr>
        <w:footnoteRef/>
      </w:r>
      <w:r w:rsidRPr="0019280F">
        <w:rPr>
          <w:rFonts w:ascii="Arial" w:hAnsi="Arial" w:cs="Arial"/>
          <w:sz w:val="18"/>
          <w:szCs w:val="18"/>
          <w:lang w:val="en-US"/>
        </w:rPr>
        <w:t xml:space="preserve"> At the time, </w:t>
      </w:r>
      <w:proofErr w:type="gramStart"/>
      <w:r w:rsidRPr="0019280F">
        <w:rPr>
          <w:rFonts w:ascii="Arial" w:hAnsi="Arial" w:cs="Arial"/>
          <w:sz w:val="18"/>
          <w:szCs w:val="18"/>
          <w:lang w:val="en-US"/>
        </w:rPr>
        <w:t>with the exception of</w:t>
      </w:r>
      <w:proofErr w:type="gramEnd"/>
      <w:r w:rsidRPr="0019280F">
        <w:rPr>
          <w:rFonts w:ascii="Arial" w:hAnsi="Arial" w:cs="Arial"/>
          <w:sz w:val="18"/>
          <w:szCs w:val="18"/>
          <w:lang w:val="en-US"/>
        </w:rPr>
        <w:t xml:space="preserve"> Germany, which had a settlement period of T+2, EU markets (in particular, equity) had a settlement period of T+3. The 29 markets that moved to T+2 on 6 October 2014 were: AT, BE, CY, CZ, DK, EE, EL, ES (for bonds), FI, FR, HR, HU, IS, IE, IT, NL, LI, LT, LU, LV, MT, NO, PL, PT, RO, SK, SE, CH, and UK. BG, </w:t>
      </w:r>
      <w:proofErr w:type="gramStart"/>
      <w:r w:rsidRPr="0019280F">
        <w:rPr>
          <w:rFonts w:ascii="Arial" w:hAnsi="Arial" w:cs="Arial"/>
          <w:sz w:val="18"/>
          <w:szCs w:val="18"/>
          <w:lang w:val="en-US"/>
        </w:rPr>
        <w:t>DE</w:t>
      </w:r>
      <w:proofErr w:type="gramEnd"/>
      <w:r w:rsidRPr="0019280F">
        <w:rPr>
          <w:rFonts w:ascii="Arial" w:hAnsi="Arial" w:cs="Arial"/>
          <w:sz w:val="18"/>
          <w:szCs w:val="18"/>
          <w:lang w:val="en-US"/>
        </w:rPr>
        <w:t xml:space="preserve"> and SI were already settling on a T+2 basis.</w:t>
      </w:r>
    </w:p>
  </w:footnote>
  <w:footnote w:id="9">
    <w:p w14:paraId="634C2BC1" w14:textId="77777777" w:rsidR="00604826" w:rsidRPr="006204F7" w:rsidRDefault="00604826" w:rsidP="00604826">
      <w:pPr>
        <w:rPr>
          <w:rFonts w:ascii="Arial" w:hAnsi="Arial" w:cs="Arial"/>
          <w:sz w:val="18"/>
          <w:szCs w:val="18"/>
          <w:lang w:val="en-US"/>
        </w:rPr>
      </w:pPr>
      <w:r w:rsidRPr="006204F7">
        <w:rPr>
          <w:rStyle w:val="Rimandonotaapidipagina"/>
          <w:rFonts w:ascii="Arial" w:hAnsi="Arial" w:cs="Arial"/>
          <w:sz w:val="18"/>
          <w:szCs w:val="18"/>
        </w:rPr>
        <w:footnoteRef/>
      </w:r>
      <w:r w:rsidRPr="006204F7">
        <w:rPr>
          <w:rFonts w:ascii="Arial" w:hAnsi="Arial" w:cs="Arial"/>
          <w:sz w:val="18"/>
          <w:szCs w:val="18"/>
          <w:lang w:val="en-US"/>
        </w:rPr>
        <w:t xml:space="preserve"> </w:t>
      </w:r>
      <w:hyperlink r:id="rId2" w:history="1">
        <w:r w:rsidRPr="006204F7">
          <w:rPr>
            <w:rStyle w:val="Collegamentoipertestuale"/>
            <w:rFonts w:ascii="Arial" w:hAnsi="Arial" w:cs="Arial"/>
            <w:sz w:val="18"/>
            <w:szCs w:val="18"/>
            <w:lang w:val="en-US"/>
          </w:rPr>
          <w:t>https://www.sec.gov/news/press-release/2017-68-0</w:t>
        </w:r>
      </w:hyperlink>
    </w:p>
    <w:p w14:paraId="7C377668" w14:textId="77777777" w:rsidR="00604826" w:rsidRPr="006204F7" w:rsidRDefault="00604826" w:rsidP="00604826">
      <w:pPr>
        <w:rPr>
          <w:rFonts w:ascii="Arial" w:hAnsi="Arial" w:cs="Arial"/>
          <w:sz w:val="18"/>
          <w:szCs w:val="18"/>
          <w:lang w:val="en-US"/>
        </w:rPr>
      </w:pPr>
    </w:p>
    <w:p w14:paraId="76C6782D" w14:textId="77777777" w:rsidR="00604826" w:rsidRPr="0019280F" w:rsidRDefault="00604826" w:rsidP="00604826">
      <w:pPr>
        <w:pStyle w:val="Testonotaapidipagina"/>
        <w:ind w:left="-454"/>
        <w:rPr>
          <w:rFonts w:ascii="Arial" w:hAnsi="Arial" w:cs="Arial"/>
          <w:sz w:val="18"/>
          <w:szCs w:val="18"/>
          <w:lang w:val="en-US"/>
        </w:rPr>
      </w:pPr>
      <w:r w:rsidRPr="006204F7">
        <w:rPr>
          <w:rFonts w:ascii="Arial" w:hAnsi="Arial" w:cs="Arial"/>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2034" w14:textId="2FE584B9" w:rsidR="00D77369" w:rsidRPr="008858FE" w:rsidRDefault="00D77369" w:rsidP="008858FE">
    <w:pPr>
      <w:pStyle w:val="Intestazione"/>
      <w:rPr>
        <w:bCs/>
        <w:caps/>
        <w:color w:val="FF0000" w:themeColor="accent6"/>
        <w:sz w:val="22"/>
      </w:rPr>
    </w:pPr>
    <w:r w:rsidRPr="008858FE">
      <w:rPr>
        <w:rStyle w:val="ESMAConfidentialRestricted"/>
        <w:noProof/>
      </w:rPr>
      <w:drawing>
        <wp:anchor distT="0" distB="0" distL="114300" distR="114300" simplePos="0" relativeHeight="251658240" behindDoc="0" locked="0" layoutInCell="1" allowOverlap="1" wp14:anchorId="7A8D36CF" wp14:editId="0FC7D767">
          <wp:simplePos x="0" y="0"/>
          <wp:positionH relativeFrom="page">
            <wp:posOffset>892914</wp:posOffset>
          </wp:positionH>
          <wp:positionV relativeFrom="page">
            <wp:posOffset>547370</wp:posOffset>
          </wp:positionV>
          <wp:extent cx="2296800" cy="601200"/>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6800" cy="601200"/>
                  </a:xfrm>
                  <a:prstGeom prst="rect">
                    <a:avLst/>
                  </a:prstGeom>
                  <a:noFill/>
                </pic:spPr>
              </pic:pic>
            </a:graphicData>
          </a:graphic>
          <wp14:sizeRelH relativeFrom="page">
            <wp14:pctWidth>0</wp14:pctWidth>
          </wp14:sizeRelH>
          <wp14:sizeRelV relativeFrom="page">
            <wp14:pctHeight>0</wp14:pctHeight>
          </wp14:sizeRelV>
        </wp:anchor>
      </w:drawing>
    </w:r>
    <w:r w:rsidR="007A3E0A">
      <w:t>5</w:t>
    </w:r>
    <w:r w:rsidR="00282901">
      <w:t xml:space="preserve"> </w:t>
    </w:r>
    <w:r w:rsidR="007A3E0A">
      <w:t>October</w:t>
    </w:r>
    <w:r w:rsidR="00282901">
      <w:t xml:space="preserve"> 2023</w:t>
    </w:r>
  </w:p>
  <w:p w14:paraId="2AC4487A" w14:textId="49B7B31C" w:rsidR="00D77369" w:rsidRPr="00D77369" w:rsidRDefault="00B03969" w:rsidP="00D77369">
    <w:pPr>
      <w:pStyle w:val="Intestazione"/>
    </w:pPr>
    <w:r w:rsidRPr="00B03969">
      <w:t>ESMA74-2119945925-1689</w:t>
    </w:r>
  </w:p>
  <w:p w14:paraId="471D4524" w14:textId="77777777" w:rsidR="004E5FF8" w:rsidRDefault="004E5FF8" w:rsidP="004E5FF8"/>
  <w:p w14:paraId="48F2413B" w14:textId="77777777" w:rsidR="004E5FF8" w:rsidRDefault="004E5FF8" w:rsidP="004E5FF8"/>
  <w:p w14:paraId="10BD5565" w14:textId="77777777" w:rsidR="008858FE" w:rsidRDefault="008858FE" w:rsidP="004E5F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FB72" w14:textId="122D2DD4" w:rsidR="006A44DA" w:rsidRDefault="006A44DA" w:rsidP="0043139E">
    <w:pPr>
      <w:pStyle w:val="Intestazione"/>
    </w:pPr>
  </w:p>
  <w:p w14:paraId="6A43EA5E" w14:textId="4A830C83" w:rsidR="00AD0B10" w:rsidRDefault="00AD0B10" w:rsidP="0043139E">
    <w:pPr>
      <w:pStyle w:val="Intestazione"/>
    </w:pPr>
  </w:p>
  <w:p w14:paraId="2083DACE" w14:textId="77777777" w:rsidR="00AD0B10" w:rsidRPr="0043139E" w:rsidRDefault="00AD0B10" w:rsidP="0043139E">
    <w:pPr>
      <w:pStyle w:val="Intestazione"/>
    </w:pPr>
  </w:p>
  <w:p w14:paraId="140A363C" w14:textId="77777777" w:rsidR="006A44DA" w:rsidRPr="0043139E" w:rsidRDefault="006A44DA" w:rsidP="0043139E">
    <w:pPr>
      <w:pStyle w:val="Intestazione"/>
    </w:pPr>
  </w:p>
  <w:p w14:paraId="66CF4BF9" w14:textId="4F625EE8" w:rsidR="006A44DA" w:rsidRPr="0043139E" w:rsidRDefault="008858FE" w:rsidP="0043139E">
    <w:pPr>
      <w:pStyle w:val="Intestazione"/>
      <w:rPr>
        <w:rStyle w:val="ESMARegularuse"/>
        <w:bCs w:val="0"/>
        <w:caps w:val="0"/>
        <w:color w:val="001B4F" w:themeColor="text1" w:themeShade="80"/>
        <w:sz w:val="16"/>
      </w:rPr>
    </w:pPr>
    <w:r w:rsidRPr="0043139E">
      <w:rPr>
        <w:rStyle w:val="ESMARegularuse"/>
        <w:bCs w:val="0"/>
        <w:caps w:val="0"/>
        <w:noProof/>
        <w:color w:val="001B4F" w:themeColor="text1" w:themeShade="80"/>
        <w:sz w:val="16"/>
      </w:rPr>
      <w:drawing>
        <wp:anchor distT="0" distB="0" distL="114300" distR="114300" simplePos="0" relativeHeight="251658241" behindDoc="0" locked="0" layoutInCell="1" allowOverlap="1" wp14:anchorId="43B59946" wp14:editId="1140D658">
          <wp:simplePos x="0" y="0"/>
          <wp:positionH relativeFrom="page">
            <wp:posOffset>892810</wp:posOffset>
          </wp:positionH>
          <wp:positionV relativeFrom="page">
            <wp:posOffset>547370</wp:posOffset>
          </wp:positionV>
          <wp:extent cx="1807200" cy="475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5BBCAF0B" w14:textId="77777777" w:rsidR="00787413" w:rsidRPr="0043139E" w:rsidRDefault="00787413" w:rsidP="0043139E">
    <w:pPr>
      <w:pStyle w:val="Intestazione"/>
    </w:pPr>
  </w:p>
  <w:p w14:paraId="70942C9C" w14:textId="77777777" w:rsidR="00672010" w:rsidRPr="0043139E" w:rsidRDefault="00672010" w:rsidP="0043139E">
    <w:pPr>
      <w:pStyle w:val="Intestazione"/>
    </w:pPr>
  </w:p>
  <w:p w14:paraId="7F8040EC" w14:textId="77777777" w:rsidR="0018540C" w:rsidRPr="0043139E" w:rsidRDefault="0018540C" w:rsidP="0043139E">
    <w:pPr>
      <w:pStyle w:val="Intestazione"/>
    </w:pPr>
  </w:p>
  <w:p w14:paraId="76479F6F" w14:textId="77777777" w:rsidR="00CA565A" w:rsidRPr="0043139E" w:rsidRDefault="00CA565A" w:rsidP="0043139E">
    <w:pPr>
      <w:pStyle w:val="Intestazione"/>
    </w:pPr>
  </w:p>
  <w:p w14:paraId="34BC4F59" w14:textId="77777777" w:rsidR="00CA565A" w:rsidRPr="0043139E" w:rsidRDefault="00CA565A" w:rsidP="0043139E">
    <w:pPr>
      <w:pStyle w:val="Intestazione"/>
    </w:pPr>
  </w:p>
  <w:p w14:paraId="373CE412" w14:textId="77777777" w:rsidR="0018540C" w:rsidRPr="0043139E" w:rsidRDefault="0018540C" w:rsidP="0043139E">
    <w:pPr>
      <w:pStyle w:val="Intestazione"/>
    </w:pPr>
  </w:p>
  <w:p w14:paraId="36065F1B" w14:textId="154438DA" w:rsidR="0018540C" w:rsidRDefault="0018540C" w:rsidP="0043139E">
    <w:pPr>
      <w:pStyle w:val="Intestazione"/>
    </w:pPr>
  </w:p>
  <w:p w14:paraId="7545C91A" w14:textId="77777777" w:rsidR="0043139E" w:rsidRPr="0043139E" w:rsidRDefault="0043139E" w:rsidP="0043139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D944" w14:textId="77777777" w:rsidR="006A44DA" w:rsidRDefault="006A44DA">
    <w:pPr>
      <w:pStyle w:val="Intestazione"/>
    </w:pPr>
  </w:p>
  <w:p w14:paraId="410BE8FC" w14:textId="77777777" w:rsidR="006A44DA" w:rsidRDefault="006A44DA">
    <w:pPr>
      <w:pStyle w:val="Intestazione"/>
    </w:pPr>
  </w:p>
  <w:p w14:paraId="00F5D8E1" w14:textId="77777777" w:rsidR="006A44DA" w:rsidRDefault="006A44DA">
    <w:pPr>
      <w:pStyle w:val="Intestazione"/>
    </w:pPr>
    <w:r>
      <w:rPr>
        <w:noProof/>
        <w:lang w:val="en-US"/>
      </w:rPr>
      <w:drawing>
        <wp:anchor distT="0" distB="0" distL="114300" distR="114300" simplePos="0" relativeHeight="251658242" behindDoc="0" locked="0" layoutInCell="1" allowOverlap="1" wp14:anchorId="4A201A98" wp14:editId="4CA91887">
          <wp:simplePos x="0" y="0"/>
          <wp:positionH relativeFrom="page">
            <wp:posOffset>366395</wp:posOffset>
          </wp:positionH>
          <wp:positionV relativeFrom="page">
            <wp:posOffset>372745</wp:posOffset>
          </wp:positionV>
          <wp:extent cx="2209800" cy="904875"/>
          <wp:effectExtent l="0" t="0" r="0" b="9525"/>
          <wp:wrapNone/>
          <wp:docPr id="12" name="Picture 1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p w14:paraId="728DCE3B" w14:textId="77777777" w:rsidR="00787413" w:rsidRDefault="00787413"/>
  <w:p w14:paraId="452DAADD" w14:textId="77777777" w:rsidR="00787413" w:rsidRDefault="0078741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4B74" w14:textId="7D6DC2CF" w:rsidR="00AD0B10" w:rsidRDefault="00AD0B10" w:rsidP="00AD0B10">
    <w:pPr>
      <w:pStyle w:val="Intestazione"/>
    </w:pPr>
  </w:p>
  <w:p w14:paraId="76D78551" w14:textId="45227A06" w:rsidR="00AD0B10" w:rsidRDefault="00AD0B10" w:rsidP="00AD0B10">
    <w:pPr>
      <w:pStyle w:val="Intestazione"/>
    </w:pPr>
  </w:p>
  <w:p w14:paraId="56B00CEC" w14:textId="77777777" w:rsidR="00AD0B10" w:rsidRPr="0043139E" w:rsidRDefault="00AD0B10" w:rsidP="00AD0B10">
    <w:pPr>
      <w:pStyle w:val="Intestazione"/>
    </w:pPr>
  </w:p>
  <w:p w14:paraId="68227DE6" w14:textId="77777777" w:rsidR="00AD0B10" w:rsidRPr="0043139E" w:rsidRDefault="00AD0B10" w:rsidP="00AD0B10">
    <w:pPr>
      <w:pStyle w:val="Intestazione"/>
    </w:pPr>
  </w:p>
  <w:p w14:paraId="0E44DBD1" w14:textId="77777777" w:rsidR="00AD0B10" w:rsidRPr="0043139E" w:rsidRDefault="00AD0B10" w:rsidP="00AD0B10">
    <w:pPr>
      <w:pStyle w:val="Intestazione"/>
      <w:rPr>
        <w:rStyle w:val="ESMARegularuse"/>
        <w:bCs w:val="0"/>
        <w:caps w:val="0"/>
        <w:color w:val="001B4F" w:themeColor="text1" w:themeShade="80"/>
        <w:sz w:val="16"/>
      </w:rPr>
    </w:pPr>
    <w:r w:rsidRPr="0043139E">
      <w:rPr>
        <w:rStyle w:val="ESMARegularuse"/>
        <w:bCs w:val="0"/>
        <w:caps w:val="0"/>
        <w:noProof/>
        <w:color w:val="001B4F" w:themeColor="text1" w:themeShade="80"/>
        <w:sz w:val="16"/>
      </w:rPr>
      <w:drawing>
        <wp:anchor distT="0" distB="0" distL="114300" distR="114300" simplePos="0" relativeHeight="251658243" behindDoc="0" locked="0" layoutInCell="1" allowOverlap="1" wp14:anchorId="5D5432C8" wp14:editId="022CF7DB">
          <wp:simplePos x="0" y="0"/>
          <wp:positionH relativeFrom="page">
            <wp:posOffset>892810</wp:posOffset>
          </wp:positionH>
          <wp:positionV relativeFrom="page">
            <wp:posOffset>547370</wp:posOffset>
          </wp:positionV>
          <wp:extent cx="1807200" cy="475200"/>
          <wp:effectExtent l="0" t="0" r="0"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02B18CB0" w14:textId="77777777" w:rsidR="00AD0B10" w:rsidRPr="0043139E" w:rsidRDefault="00AD0B10" w:rsidP="00AD0B10">
    <w:pPr>
      <w:pStyle w:val="Intestazione"/>
    </w:pPr>
  </w:p>
  <w:p w14:paraId="706EF268" w14:textId="77777777" w:rsidR="00AD0B10" w:rsidRPr="0043139E" w:rsidRDefault="00AD0B10" w:rsidP="00AD0B10">
    <w:pPr>
      <w:pStyle w:val="Intestazione"/>
    </w:pPr>
  </w:p>
  <w:p w14:paraId="6B568202" w14:textId="77777777" w:rsidR="00AD0B10" w:rsidRPr="0043139E" w:rsidRDefault="00AD0B10" w:rsidP="00AD0B10">
    <w:pPr>
      <w:pStyle w:val="Intestazione"/>
    </w:pPr>
  </w:p>
  <w:p w14:paraId="70C66BCD" w14:textId="77777777" w:rsidR="00AD0B10" w:rsidRPr="0043139E" w:rsidRDefault="00AD0B10" w:rsidP="00AD0B10">
    <w:pPr>
      <w:pStyle w:val="Intestazione"/>
    </w:pPr>
  </w:p>
  <w:p w14:paraId="07229907" w14:textId="77777777" w:rsidR="00AD0B10" w:rsidRPr="0043139E" w:rsidRDefault="00AD0B10" w:rsidP="00AD0B10">
    <w:pPr>
      <w:pStyle w:val="Intestazione"/>
    </w:pPr>
  </w:p>
  <w:p w14:paraId="55555744" w14:textId="77777777" w:rsidR="00AD0B10" w:rsidRPr="0043139E" w:rsidRDefault="00AD0B10" w:rsidP="00AD0B10">
    <w:pPr>
      <w:pStyle w:val="Intestazione"/>
    </w:pPr>
  </w:p>
  <w:p w14:paraId="4601AE9C" w14:textId="77777777" w:rsidR="00AD0B10" w:rsidRDefault="00AD0B10" w:rsidP="00AD0B10">
    <w:pPr>
      <w:pStyle w:val="Intestazione"/>
    </w:pPr>
  </w:p>
  <w:p w14:paraId="49946785" w14:textId="77777777" w:rsidR="00AD0B10" w:rsidRPr="0043139E" w:rsidRDefault="00AD0B10" w:rsidP="00AD0B10">
    <w:pPr>
      <w:pStyle w:val="Intestazione"/>
    </w:pPr>
  </w:p>
  <w:p w14:paraId="72BAD19F" w14:textId="77777777" w:rsidR="008858FE" w:rsidRPr="00AD0B10" w:rsidRDefault="008858FE" w:rsidP="00AD0B1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C37"/>
    <w:multiLevelType w:val="hybridMultilevel"/>
    <w:tmpl w:val="A624665A"/>
    <w:lvl w:ilvl="0" w:tplc="D9926150">
      <w:start w:val="1"/>
      <w:numFmt w:val="lowerRoman"/>
      <w:lvlText w:val="%1."/>
      <w:lvlJc w:val="righ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1E1111"/>
    <w:multiLevelType w:val="hybridMultilevel"/>
    <w:tmpl w:val="F79EFD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053E5F"/>
    <w:multiLevelType w:val="multilevel"/>
    <w:tmpl w:val="A6A2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C741E"/>
    <w:multiLevelType w:val="hybridMultilevel"/>
    <w:tmpl w:val="4A224C4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001F3C"/>
    <w:multiLevelType w:val="hybridMultilevel"/>
    <w:tmpl w:val="4A224C42"/>
    <w:lvl w:ilvl="0" w:tplc="C84A6C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BE6E60"/>
    <w:multiLevelType w:val="hybridMultilevel"/>
    <w:tmpl w:val="C568DADE"/>
    <w:lvl w:ilvl="0" w:tplc="34A0243E">
      <w:start w:val="1"/>
      <w:numFmt w:val="upperLetter"/>
      <w:lvlText w:val="%1)"/>
      <w:lvlJc w:val="left"/>
      <w:pPr>
        <w:ind w:left="1070" w:hanging="360"/>
      </w:pPr>
      <w:rPr>
        <w:rFonts w:cs="Verdana" w:hint="default"/>
      </w:rPr>
    </w:lvl>
    <w:lvl w:ilvl="1" w:tplc="FFFFFFFF">
      <w:start w:val="1"/>
      <w:numFmt w:val="decimal"/>
      <w:lvlText w:val="%2."/>
      <w:lvlJc w:val="left"/>
      <w:pPr>
        <w:ind w:left="795" w:hanging="360"/>
      </w:pPr>
    </w:lvl>
    <w:lvl w:ilvl="2" w:tplc="FFFFFFFF">
      <w:start w:val="1"/>
      <w:numFmt w:val="bullet"/>
      <w:lvlText w:val=""/>
      <w:lvlJc w:val="left"/>
      <w:pPr>
        <w:ind w:left="1515" w:hanging="360"/>
      </w:pPr>
      <w:rPr>
        <w:rFonts w:ascii="Wingdings" w:hAnsi="Wingdings" w:hint="default"/>
      </w:rPr>
    </w:lvl>
    <w:lvl w:ilvl="3" w:tplc="FFFFFFFF" w:tentative="1">
      <w:start w:val="1"/>
      <w:numFmt w:val="bullet"/>
      <w:lvlText w:val=""/>
      <w:lvlJc w:val="left"/>
      <w:pPr>
        <w:ind w:left="2235" w:hanging="360"/>
      </w:pPr>
      <w:rPr>
        <w:rFonts w:ascii="Symbol" w:hAnsi="Symbol" w:hint="default"/>
      </w:rPr>
    </w:lvl>
    <w:lvl w:ilvl="4" w:tplc="FFFFFFFF" w:tentative="1">
      <w:start w:val="1"/>
      <w:numFmt w:val="bullet"/>
      <w:lvlText w:val="o"/>
      <w:lvlJc w:val="left"/>
      <w:pPr>
        <w:ind w:left="2955" w:hanging="360"/>
      </w:pPr>
      <w:rPr>
        <w:rFonts w:ascii="Courier New" w:hAnsi="Courier New" w:cs="Courier New" w:hint="default"/>
      </w:rPr>
    </w:lvl>
    <w:lvl w:ilvl="5" w:tplc="FFFFFFFF" w:tentative="1">
      <w:start w:val="1"/>
      <w:numFmt w:val="bullet"/>
      <w:lvlText w:val=""/>
      <w:lvlJc w:val="left"/>
      <w:pPr>
        <w:ind w:left="3675" w:hanging="360"/>
      </w:pPr>
      <w:rPr>
        <w:rFonts w:ascii="Wingdings" w:hAnsi="Wingdings" w:hint="default"/>
      </w:rPr>
    </w:lvl>
    <w:lvl w:ilvl="6" w:tplc="FFFFFFFF" w:tentative="1">
      <w:start w:val="1"/>
      <w:numFmt w:val="bullet"/>
      <w:lvlText w:val=""/>
      <w:lvlJc w:val="left"/>
      <w:pPr>
        <w:ind w:left="4395" w:hanging="360"/>
      </w:pPr>
      <w:rPr>
        <w:rFonts w:ascii="Symbol" w:hAnsi="Symbol" w:hint="default"/>
      </w:rPr>
    </w:lvl>
    <w:lvl w:ilvl="7" w:tplc="FFFFFFFF" w:tentative="1">
      <w:start w:val="1"/>
      <w:numFmt w:val="bullet"/>
      <w:lvlText w:val="o"/>
      <w:lvlJc w:val="left"/>
      <w:pPr>
        <w:ind w:left="5115" w:hanging="360"/>
      </w:pPr>
      <w:rPr>
        <w:rFonts w:ascii="Courier New" w:hAnsi="Courier New" w:cs="Courier New" w:hint="default"/>
      </w:rPr>
    </w:lvl>
    <w:lvl w:ilvl="8" w:tplc="FFFFFFFF" w:tentative="1">
      <w:start w:val="1"/>
      <w:numFmt w:val="bullet"/>
      <w:lvlText w:val=""/>
      <w:lvlJc w:val="left"/>
      <w:pPr>
        <w:ind w:left="5835" w:hanging="360"/>
      </w:pPr>
      <w:rPr>
        <w:rFonts w:ascii="Wingdings" w:hAnsi="Wingdings" w:hint="default"/>
      </w:rPr>
    </w:lvl>
  </w:abstractNum>
  <w:abstractNum w:abstractNumId="6" w15:restartNumberingAfterBreak="0">
    <w:nsid w:val="22472CFA"/>
    <w:multiLevelType w:val="hybridMultilevel"/>
    <w:tmpl w:val="3CCE0E24"/>
    <w:lvl w:ilvl="0" w:tplc="34A0243E">
      <w:start w:val="1"/>
      <w:numFmt w:val="upperLetter"/>
      <w:lvlText w:val="%1)"/>
      <w:lvlJc w:val="left"/>
      <w:pPr>
        <w:ind w:left="1080" w:hanging="360"/>
      </w:pPr>
      <w:rPr>
        <w:rFonts w:cs="Verdana"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28806DE5"/>
    <w:multiLevelType w:val="multilevel"/>
    <w:tmpl w:val="5790C2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9E089E"/>
    <w:multiLevelType w:val="hybridMultilevel"/>
    <w:tmpl w:val="87960D64"/>
    <w:lvl w:ilvl="0" w:tplc="4F30587E">
      <w:start w:val="1"/>
      <w:numFmt w:val="lowerLetter"/>
      <w:pStyle w:val="Titolo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06A19E7"/>
    <w:multiLevelType w:val="hybridMultilevel"/>
    <w:tmpl w:val="A624665A"/>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6517925"/>
    <w:multiLevelType w:val="hybridMultilevel"/>
    <w:tmpl w:val="E3C81A9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86943AC"/>
    <w:multiLevelType w:val="hybridMultilevel"/>
    <w:tmpl w:val="A624665A"/>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A52232B"/>
    <w:multiLevelType w:val="hybridMultilevel"/>
    <w:tmpl w:val="E474F29A"/>
    <w:lvl w:ilvl="0" w:tplc="91A4A3F4">
      <w:start w:val="1"/>
      <w:numFmt w:val="decimal"/>
      <w:lvlText w:val="Q%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E905703"/>
    <w:multiLevelType w:val="hybridMultilevel"/>
    <w:tmpl w:val="C736F948"/>
    <w:lvl w:ilvl="0" w:tplc="30EC5B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EA61840"/>
    <w:multiLevelType w:val="hybridMultilevel"/>
    <w:tmpl w:val="6624CD50"/>
    <w:lvl w:ilvl="0" w:tplc="30EC5BE8">
      <w:start w:val="1"/>
      <w:numFmt w:val="bullet"/>
      <w:lvlText w:val=""/>
      <w:lvlJc w:val="left"/>
      <w:pPr>
        <w:ind w:left="1070" w:hanging="360"/>
      </w:pPr>
      <w:rPr>
        <w:rFonts w:ascii="Symbol" w:hAnsi="Symbol" w:hint="default"/>
      </w:rPr>
    </w:lvl>
    <w:lvl w:ilvl="1" w:tplc="FFFFFFFF">
      <w:start w:val="1"/>
      <w:numFmt w:val="decimal"/>
      <w:lvlText w:val="%2."/>
      <w:lvlJc w:val="left"/>
      <w:pPr>
        <w:ind w:left="795" w:hanging="360"/>
      </w:pPr>
    </w:lvl>
    <w:lvl w:ilvl="2" w:tplc="FFFFFFFF">
      <w:start w:val="1"/>
      <w:numFmt w:val="bullet"/>
      <w:lvlText w:val=""/>
      <w:lvlJc w:val="left"/>
      <w:pPr>
        <w:ind w:left="1515" w:hanging="360"/>
      </w:pPr>
      <w:rPr>
        <w:rFonts w:ascii="Wingdings" w:hAnsi="Wingdings" w:hint="default"/>
      </w:rPr>
    </w:lvl>
    <w:lvl w:ilvl="3" w:tplc="FFFFFFFF" w:tentative="1">
      <w:start w:val="1"/>
      <w:numFmt w:val="bullet"/>
      <w:lvlText w:val=""/>
      <w:lvlJc w:val="left"/>
      <w:pPr>
        <w:ind w:left="2235" w:hanging="360"/>
      </w:pPr>
      <w:rPr>
        <w:rFonts w:ascii="Symbol" w:hAnsi="Symbol" w:hint="default"/>
      </w:rPr>
    </w:lvl>
    <w:lvl w:ilvl="4" w:tplc="FFFFFFFF" w:tentative="1">
      <w:start w:val="1"/>
      <w:numFmt w:val="bullet"/>
      <w:lvlText w:val="o"/>
      <w:lvlJc w:val="left"/>
      <w:pPr>
        <w:ind w:left="2955" w:hanging="360"/>
      </w:pPr>
      <w:rPr>
        <w:rFonts w:ascii="Courier New" w:hAnsi="Courier New" w:cs="Courier New" w:hint="default"/>
      </w:rPr>
    </w:lvl>
    <w:lvl w:ilvl="5" w:tplc="FFFFFFFF" w:tentative="1">
      <w:start w:val="1"/>
      <w:numFmt w:val="bullet"/>
      <w:lvlText w:val=""/>
      <w:lvlJc w:val="left"/>
      <w:pPr>
        <w:ind w:left="3675" w:hanging="360"/>
      </w:pPr>
      <w:rPr>
        <w:rFonts w:ascii="Wingdings" w:hAnsi="Wingdings" w:hint="default"/>
      </w:rPr>
    </w:lvl>
    <w:lvl w:ilvl="6" w:tplc="FFFFFFFF" w:tentative="1">
      <w:start w:val="1"/>
      <w:numFmt w:val="bullet"/>
      <w:lvlText w:val=""/>
      <w:lvlJc w:val="left"/>
      <w:pPr>
        <w:ind w:left="4395" w:hanging="360"/>
      </w:pPr>
      <w:rPr>
        <w:rFonts w:ascii="Symbol" w:hAnsi="Symbol" w:hint="default"/>
      </w:rPr>
    </w:lvl>
    <w:lvl w:ilvl="7" w:tplc="FFFFFFFF" w:tentative="1">
      <w:start w:val="1"/>
      <w:numFmt w:val="bullet"/>
      <w:lvlText w:val="o"/>
      <w:lvlJc w:val="left"/>
      <w:pPr>
        <w:ind w:left="5115" w:hanging="360"/>
      </w:pPr>
      <w:rPr>
        <w:rFonts w:ascii="Courier New" w:hAnsi="Courier New" w:cs="Courier New" w:hint="default"/>
      </w:rPr>
    </w:lvl>
    <w:lvl w:ilvl="8" w:tplc="FFFFFFFF" w:tentative="1">
      <w:start w:val="1"/>
      <w:numFmt w:val="bullet"/>
      <w:lvlText w:val=""/>
      <w:lvlJc w:val="left"/>
      <w:pPr>
        <w:ind w:left="5835" w:hanging="360"/>
      </w:pPr>
      <w:rPr>
        <w:rFonts w:ascii="Wingdings" w:hAnsi="Wingdings" w:hint="default"/>
      </w:rPr>
    </w:lvl>
  </w:abstractNum>
  <w:abstractNum w:abstractNumId="15" w15:restartNumberingAfterBreak="0">
    <w:nsid w:val="479C6EDD"/>
    <w:multiLevelType w:val="hybridMultilevel"/>
    <w:tmpl w:val="0D2EFC82"/>
    <w:lvl w:ilvl="0" w:tplc="FEEE7D9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2B60E0"/>
    <w:multiLevelType w:val="hybridMultilevel"/>
    <w:tmpl w:val="93826B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34F44E6"/>
    <w:multiLevelType w:val="multilevel"/>
    <w:tmpl w:val="647663A2"/>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C394F84"/>
    <w:multiLevelType w:val="hybridMultilevel"/>
    <w:tmpl w:val="A624665A"/>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00324F6"/>
    <w:multiLevelType w:val="hybridMultilevel"/>
    <w:tmpl w:val="BC523ECA"/>
    <w:lvl w:ilvl="0" w:tplc="200E44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7672233"/>
    <w:multiLevelType w:val="hybridMultilevel"/>
    <w:tmpl w:val="9A6A3B8A"/>
    <w:lvl w:ilvl="0" w:tplc="4F3C28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4F794F"/>
    <w:multiLevelType w:val="hybridMultilevel"/>
    <w:tmpl w:val="6A5843E8"/>
    <w:lvl w:ilvl="0" w:tplc="04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BAD1101"/>
    <w:multiLevelType w:val="multilevel"/>
    <w:tmpl w:val="647663A2"/>
    <w:lvl w:ilvl="0">
      <w:start w:val="1"/>
      <w:numFmt w:val="decimal"/>
      <w:pStyle w:val="Titolo1"/>
      <w:lvlText w:val="%1"/>
      <w:lvlJc w:val="left"/>
      <w:pPr>
        <w:ind w:left="4686" w:hanging="432"/>
      </w:pPr>
    </w:lvl>
    <w:lvl w:ilvl="1">
      <w:start w:val="1"/>
      <w:numFmt w:val="decimal"/>
      <w:pStyle w:val="Titolo2"/>
      <w:lvlText w:val="%1.%2"/>
      <w:lvlJc w:val="left"/>
      <w:pPr>
        <w:ind w:left="8230"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3" w15:restartNumberingAfterBreak="0">
    <w:nsid w:val="6D3F4D74"/>
    <w:multiLevelType w:val="hybridMultilevel"/>
    <w:tmpl w:val="630AC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342A8E"/>
    <w:multiLevelType w:val="hybridMultilevel"/>
    <w:tmpl w:val="D54EB440"/>
    <w:lvl w:ilvl="0" w:tplc="0410001B">
      <w:start w:val="1"/>
      <w:numFmt w:val="lowerRoman"/>
      <w:lvlText w:val="%1."/>
      <w:lvlJc w:val="righ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7D806CF3"/>
    <w:multiLevelType w:val="hybridMultilevel"/>
    <w:tmpl w:val="77CC2BBA"/>
    <w:lvl w:ilvl="0" w:tplc="C3504EF4">
      <w:start w:val="1"/>
      <w:numFmt w:val="upperLetter"/>
      <w:pStyle w:val="Paragrafoelenc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71421525">
    <w:abstractNumId w:val="22"/>
  </w:num>
  <w:num w:numId="2" w16cid:durableId="270287514">
    <w:abstractNumId w:val="8"/>
  </w:num>
  <w:num w:numId="3" w16cid:durableId="1675497260">
    <w:abstractNumId w:val="17"/>
  </w:num>
  <w:num w:numId="4" w16cid:durableId="1146706333">
    <w:abstractNumId w:val="7"/>
  </w:num>
  <w:num w:numId="5" w16cid:durableId="1502348752">
    <w:abstractNumId w:val="2"/>
  </w:num>
  <w:num w:numId="6" w16cid:durableId="1544101585">
    <w:abstractNumId w:val="10"/>
  </w:num>
  <w:num w:numId="7" w16cid:durableId="896626050">
    <w:abstractNumId w:val="23"/>
  </w:num>
  <w:num w:numId="8" w16cid:durableId="806780153">
    <w:abstractNumId w:val="4"/>
  </w:num>
  <w:num w:numId="9" w16cid:durableId="1677002603">
    <w:abstractNumId w:val="20"/>
  </w:num>
  <w:num w:numId="10" w16cid:durableId="22487393">
    <w:abstractNumId w:val="16"/>
  </w:num>
  <w:num w:numId="11" w16cid:durableId="270942799">
    <w:abstractNumId w:val="14"/>
  </w:num>
  <w:num w:numId="12" w16cid:durableId="10230698">
    <w:abstractNumId w:val="14"/>
    <w:lvlOverride w:ilvl="0">
      <w:startOverride w:val="1"/>
    </w:lvlOverride>
  </w:num>
  <w:num w:numId="13" w16cid:durableId="1914856611">
    <w:abstractNumId w:val="3"/>
  </w:num>
  <w:num w:numId="14" w16cid:durableId="2976140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55502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29930552">
    <w:abstractNumId w:val="0"/>
  </w:num>
  <w:num w:numId="17" w16cid:durableId="960115627">
    <w:abstractNumId w:val="0"/>
    <w:lvlOverride w:ilvl="0">
      <w:startOverride w:val="1"/>
    </w:lvlOverride>
  </w:num>
  <w:num w:numId="18" w16cid:durableId="1501657054">
    <w:abstractNumId w:val="0"/>
    <w:lvlOverride w:ilvl="0">
      <w:startOverride w:val="1"/>
    </w:lvlOverride>
  </w:num>
  <w:num w:numId="19" w16cid:durableId="2102412033">
    <w:abstractNumId w:val="0"/>
    <w:lvlOverride w:ilvl="0">
      <w:startOverride w:val="1"/>
    </w:lvlOverride>
  </w:num>
  <w:num w:numId="20" w16cid:durableId="652219945">
    <w:abstractNumId w:val="5"/>
  </w:num>
  <w:num w:numId="21" w16cid:durableId="610473314">
    <w:abstractNumId w:val="24"/>
  </w:num>
  <w:num w:numId="22" w16cid:durableId="370611815">
    <w:abstractNumId w:val="6"/>
  </w:num>
  <w:num w:numId="23" w16cid:durableId="656108850">
    <w:abstractNumId w:val="25"/>
  </w:num>
  <w:num w:numId="24" w16cid:durableId="771510051">
    <w:abstractNumId w:val="21"/>
  </w:num>
  <w:num w:numId="25" w16cid:durableId="1523395896">
    <w:abstractNumId w:val="1"/>
  </w:num>
  <w:num w:numId="26" w16cid:durableId="761605627">
    <w:abstractNumId w:val="13"/>
  </w:num>
  <w:num w:numId="27" w16cid:durableId="1348485781">
    <w:abstractNumId w:val="11"/>
  </w:num>
  <w:num w:numId="28" w16cid:durableId="2032802659">
    <w:abstractNumId w:val="9"/>
  </w:num>
  <w:num w:numId="29" w16cid:durableId="1171067793">
    <w:abstractNumId w:val="18"/>
  </w:num>
  <w:num w:numId="30" w16cid:durableId="795023017">
    <w:abstractNumId w:val="25"/>
    <w:lvlOverride w:ilvl="0">
      <w:startOverride w:val="1"/>
    </w:lvlOverride>
  </w:num>
  <w:num w:numId="31" w16cid:durableId="1081676089">
    <w:abstractNumId w:val="25"/>
  </w:num>
  <w:num w:numId="32" w16cid:durableId="495270298">
    <w:abstractNumId w:val="19"/>
  </w:num>
  <w:num w:numId="33" w16cid:durableId="710225021">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removeDateAndTime/>
  <w:doNotDisplayPageBoundarie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5uyYP9Qt12JhtK4kcsncJVBSDNe0AQtl1obLTf8RRciZEevZlltaHqJyF9S/UQ8pp3cFBIW5yKtULaKwtL8EA==" w:salt="svTIoqUPkfkNdJVwAuj2S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63C1F"/>
    <w:rsid w:val="00000106"/>
    <w:rsid w:val="000006B0"/>
    <w:rsid w:val="00000871"/>
    <w:rsid w:val="0000093E"/>
    <w:rsid w:val="00000B5A"/>
    <w:rsid w:val="000016E1"/>
    <w:rsid w:val="00001A56"/>
    <w:rsid w:val="00001FE4"/>
    <w:rsid w:val="00002320"/>
    <w:rsid w:val="000024D8"/>
    <w:rsid w:val="0000274F"/>
    <w:rsid w:val="00002779"/>
    <w:rsid w:val="00002825"/>
    <w:rsid w:val="00002ED5"/>
    <w:rsid w:val="00002EE6"/>
    <w:rsid w:val="00004AF7"/>
    <w:rsid w:val="00005477"/>
    <w:rsid w:val="000056A3"/>
    <w:rsid w:val="00005AB2"/>
    <w:rsid w:val="00005C61"/>
    <w:rsid w:val="00005F85"/>
    <w:rsid w:val="000064F2"/>
    <w:rsid w:val="00006545"/>
    <w:rsid w:val="00006613"/>
    <w:rsid w:val="00006815"/>
    <w:rsid w:val="00007464"/>
    <w:rsid w:val="00007779"/>
    <w:rsid w:val="000079F1"/>
    <w:rsid w:val="00007A47"/>
    <w:rsid w:val="00007A85"/>
    <w:rsid w:val="00007F5B"/>
    <w:rsid w:val="00010571"/>
    <w:rsid w:val="0001058E"/>
    <w:rsid w:val="00010A1D"/>
    <w:rsid w:val="00010FB2"/>
    <w:rsid w:val="000111A8"/>
    <w:rsid w:val="00011B38"/>
    <w:rsid w:val="000126F1"/>
    <w:rsid w:val="00012B39"/>
    <w:rsid w:val="00012D0A"/>
    <w:rsid w:val="00012D68"/>
    <w:rsid w:val="000138FA"/>
    <w:rsid w:val="00013DD9"/>
    <w:rsid w:val="00013F7F"/>
    <w:rsid w:val="0001403A"/>
    <w:rsid w:val="0001447C"/>
    <w:rsid w:val="000145FD"/>
    <w:rsid w:val="00014634"/>
    <w:rsid w:val="00014ED9"/>
    <w:rsid w:val="00015167"/>
    <w:rsid w:val="0001526F"/>
    <w:rsid w:val="000154A2"/>
    <w:rsid w:val="000157DC"/>
    <w:rsid w:val="0001595F"/>
    <w:rsid w:val="00015D05"/>
    <w:rsid w:val="000166FD"/>
    <w:rsid w:val="00016C55"/>
    <w:rsid w:val="0001714D"/>
    <w:rsid w:val="0001716D"/>
    <w:rsid w:val="000178F0"/>
    <w:rsid w:val="00020300"/>
    <w:rsid w:val="00020308"/>
    <w:rsid w:val="0002059D"/>
    <w:rsid w:val="00020AF3"/>
    <w:rsid w:val="00021363"/>
    <w:rsid w:val="000213BF"/>
    <w:rsid w:val="00021485"/>
    <w:rsid w:val="000216EE"/>
    <w:rsid w:val="00021B39"/>
    <w:rsid w:val="00021DEB"/>
    <w:rsid w:val="000222AE"/>
    <w:rsid w:val="0002246F"/>
    <w:rsid w:val="00022A26"/>
    <w:rsid w:val="00022CCD"/>
    <w:rsid w:val="00022EE9"/>
    <w:rsid w:val="000230FF"/>
    <w:rsid w:val="000233CE"/>
    <w:rsid w:val="0002341B"/>
    <w:rsid w:val="00023473"/>
    <w:rsid w:val="00023E8C"/>
    <w:rsid w:val="00024499"/>
    <w:rsid w:val="00024CAF"/>
    <w:rsid w:val="00025363"/>
    <w:rsid w:val="00025631"/>
    <w:rsid w:val="00025A7F"/>
    <w:rsid w:val="00025C8C"/>
    <w:rsid w:val="00026016"/>
    <w:rsid w:val="0002607B"/>
    <w:rsid w:val="000271F8"/>
    <w:rsid w:val="000275A0"/>
    <w:rsid w:val="000275BD"/>
    <w:rsid w:val="000279E9"/>
    <w:rsid w:val="00030900"/>
    <w:rsid w:val="00030B38"/>
    <w:rsid w:val="00030CFE"/>
    <w:rsid w:val="00030EF6"/>
    <w:rsid w:val="000312A6"/>
    <w:rsid w:val="00031738"/>
    <w:rsid w:val="00031FBC"/>
    <w:rsid w:val="00032C68"/>
    <w:rsid w:val="00033108"/>
    <w:rsid w:val="000332F2"/>
    <w:rsid w:val="00033318"/>
    <w:rsid w:val="000333F7"/>
    <w:rsid w:val="00033696"/>
    <w:rsid w:val="00033B3C"/>
    <w:rsid w:val="00033DE1"/>
    <w:rsid w:val="00034017"/>
    <w:rsid w:val="000340CE"/>
    <w:rsid w:val="000340EB"/>
    <w:rsid w:val="000341C3"/>
    <w:rsid w:val="00034277"/>
    <w:rsid w:val="00035C05"/>
    <w:rsid w:val="000372BF"/>
    <w:rsid w:val="00037FBD"/>
    <w:rsid w:val="0004027B"/>
    <w:rsid w:val="00040979"/>
    <w:rsid w:val="00040D1B"/>
    <w:rsid w:val="00040EED"/>
    <w:rsid w:val="00041079"/>
    <w:rsid w:val="000418EB"/>
    <w:rsid w:val="00041978"/>
    <w:rsid w:val="00041B30"/>
    <w:rsid w:val="00041C7C"/>
    <w:rsid w:val="00041DB8"/>
    <w:rsid w:val="00042241"/>
    <w:rsid w:val="000425D9"/>
    <w:rsid w:val="00042762"/>
    <w:rsid w:val="000427B1"/>
    <w:rsid w:val="00042BF9"/>
    <w:rsid w:val="00042E50"/>
    <w:rsid w:val="00043271"/>
    <w:rsid w:val="0004374E"/>
    <w:rsid w:val="000437B4"/>
    <w:rsid w:val="00043A53"/>
    <w:rsid w:val="00043E48"/>
    <w:rsid w:val="000442CD"/>
    <w:rsid w:val="00044364"/>
    <w:rsid w:val="00044845"/>
    <w:rsid w:val="000448B4"/>
    <w:rsid w:val="00044C5A"/>
    <w:rsid w:val="00045B6B"/>
    <w:rsid w:val="00045BA9"/>
    <w:rsid w:val="00045CED"/>
    <w:rsid w:val="000469D2"/>
    <w:rsid w:val="00047270"/>
    <w:rsid w:val="000504AC"/>
    <w:rsid w:val="000509A0"/>
    <w:rsid w:val="00050C75"/>
    <w:rsid w:val="0005116F"/>
    <w:rsid w:val="000518C1"/>
    <w:rsid w:val="00052218"/>
    <w:rsid w:val="00052934"/>
    <w:rsid w:val="00052CB6"/>
    <w:rsid w:val="000531B4"/>
    <w:rsid w:val="00053346"/>
    <w:rsid w:val="00053B49"/>
    <w:rsid w:val="0005431E"/>
    <w:rsid w:val="00054555"/>
    <w:rsid w:val="000546CD"/>
    <w:rsid w:val="000547CC"/>
    <w:rsid w:val="00054C9F"/>
    <w:rsid w:val="00054DE5"/>
    <w:rsid w:val="00055AC4"/>
    <w:rsid w:val="00055E25"/>
    <w:rsid w:val="0005603E"/>
    <w:rsid w:val="00056196"/>
    <w:rsid w:val="00056896"/>
    <w:rsid w:val="00056BF6"/>
    <w:rsid w:val="000605A6"/>
    <w:rsid w:val="0006071F"/>
    <w:rsid w:val="00060962"/>
    <w:rsid w:val="00060A0A"/>
    <w:rsid w:val="00060D38"/>
    <w:rsid w:val="0006131F"/>
    <w:rsid w:val="000613AD"/>
    <w:rsid w:val="000617DB"/>
    <w:rsid w:val="0006186E"/>
    <w:rsid w:val="00061BB8"/>
    <w:rsid w:val="00061F32"/>
    <w:rsid w:val="00062D49"/>
    <w:rsid w:val="0006339C"/>
    <w:rsid w:val="00063847"/>
    <w:rsid w:val="00063BAE"/>
    <w:rsid w:val="00063FB5"/>
    <w:rsid w:val="00064212"/>
    <w:rsid w:val="00064EF0"/>
    <w:rsid w:val="00065B40"/>
    <w:rsid w:val="000661C3"/>
    <w:rsid w:val="00066B8E"/>
    <w:rsid w:val="0006711D"/>
    <w:rsid w:val="0006773E"/>
    <w:rsid w:val="00067893"/>
    <w:rsid w:val="00067B6D"/>
    <w:rsid w:val="00067C84"/>
    <w:rsid w:val="000704EB"/>
    <w:rsid w:val="00070613"/>
    <w:rsid w:val="00072846"/>
    <w:rsid w:val="0007285E"/>
    <w:rsid w:val="00072E43"/>
    <w:rsid w:val="00073FFD"/>
    <w:rsid w:val="00074344"/>
    <w:rsid w:val="00074E30"/>
    <w:rsid w:val="00075014"/>
    <w:rsid w:val="000759A3"/>
    <w:rsid w:val="00075DA6"/>
    <w:rsid w:val="00076B7A"/>
    <w:rsid w:val="00076BC7"/>
    <w:rsid w:val="00076DE8"/>
    <w:rsid w:val="00077859"/>
    <w:rsid w:val="00077BA1"/>
    <w:rsid w:val="00077BDF"/>
    <w:rsid w:val="00077C57"/>
    <w:rsid w:val="000801E8"/>
    <w:rsid w:val="00080D13"/>
    <w:rsid w:val="00080DC3"/>
    <w:rsid w:val="00080FC3"/>
    <w:rsid w:val="000812C7"/>
    <w:rsid w:val="00081841"/>
    <w:rsid w:val="00081F58"/>
    <w:rsid w:val="0008237A"/>
    <w:rsid w:val="00082E89"/>
    <w:rsid w:val="000831F3"/>
    <w:rsid w:val="00083DAE"/>
    <w:rsid w:val="00084FC1"/>
    <w:rsid w:val="00085AA4"/>
    <w:rsid w:val="00085B24"/>
    <w:rsid w:val="00085EFA"/>
    <w:rsid w:val="000860D3"/>
    <w:rsid w:val="000866B2"/>
    <w:rsid w:val="00086783"/>
    <w:rsid w:val="00086BAC"/>
    <w:rsid w:val="000874BC"/>
    <w:rsid w:val="00087D2D"/>
    <w:rsid w:val="000900C6"/>
    <w:rsid w:val="00090912"/>
    <w:rsid w:val="00091203"/>
    <w:rsid w:val="00091B09"/>
    <w:rsid w:val="00091BB5"/>
    <w:rsid w:val="00092AA2"/>
    <w:rsid w:val="0009321F"/>
    <w:rsid w:val="000934DC"/>
    <w:rsid w:val="000934FD"/>
    <w:rsid w:val="0009362A"/>
    <w:rsid w:val="00093884"/>
    <w:rsid w:val="000942EA"/>
    <w:rsid w:val="0009498D"/>
    <w:rsid w:val="00094C24"/>
    <w:rsid w:val="00095712"/>
    <w:rsid w:val="0009597A"/>
    <w:rsid w:val="00095E39"/>
    <w:rsid w:val="00096AAC"/>
    <w:rsid w:val="00096B28"/>
    <w:rsid w:val="00096D55"/>
    <w:rsid w:val="00096D57"/>
    <w:rsid w:val="00097CBF"/>
    <w:rsid w:val="000A081E"/>
    <w:rsid w:val="000A0C5A"/>
    <w:rsid w:val="000A0FB7"/>
    <w:rsid w:val="000A10FD"/>
    <w:rsid w:val="000A17B4"/>
    <w:rsid w:val="000A1DBC"/>
    <w:rsid w:val="000A2058"/>
    <w:rsid w:val="000A2A7D"/>
    <w:rsid w:val="000A2CFA"/>
    <w:rsid w:val="000A2F1D"/>
    <w:rsid w:val="000A3326"/>
    <w:rsid w:val="000A35C8"/>
    <w:rsid w:val="000A3CDE"/>
    <w:rsid w:val="000A54CD"/>
    <w:rsid w:val="000A55CE"/>
    <w:rsid w:val="000A5820"/>
    <w:rsid w:val="000A6117"/>
    <w:rsid w:val="000A6616"/>
    <w:rsid w:val="000A6786"/>
    <w:rsid w:val="000A756F"/>
    <w:rsid w:val="000A7600"/>
    <w:rsid w:val="000A7CF6"/>
    <w:rsid w:val="000B056C"/>
    <w:rsid w:val="000B0864"/>
    <w:rsid w:val="000B0A19"/>
    <w:rsid w:val="000B0FA7"/>
    <w:rsid w:val="000B14CD"/>
    <w:rsid w:val="000B16DC"/>
    <w:rsid w:val="000B1961"/>
    <w:rsid w:val="000B1AC3"/>
    <w:rsid w:val="000B1DE9"/>
    <w:rsid w:val="000B253F"/>
    <w:rsid w:val="000B2818"/>
    <w:rsid w:val="000B2A66"/>
    <w:rsid w:val="000B2C5A"/>
    <w:rsid w:val="000B312D"/>
    <w:rsid w:val="000B3131"/>
    <w:rsid w:val="000B32A0"/>
    <w:rsid w:val="000B32E6"/>
    <w:rsid w:val="000B3465"/>
    <w:rsid w:val="000B3D11"/>
    <w:rsid w:val="000B4353"/>
    <w:rsid w:val="000B45DC"/>
    <w:rsid w:val="000B51F8"/>
    <w:rsid w:val="000B5D3D"/>
    <w:rsid w:val="000B5F77"/>
    <w:rsid w:val="000B60AB"/>
    <w:rsid w:val="000B6C50"/>
    <w:rsid w:val="000B7851"/>
    <w:rsid w:val="000B7C20"/>
    <w:rsid w:val="000C009C"/>
    <w:rsid w:val="000C0745"/>
    <w:rsid w:val="000C07C6"/>
    <w:rsid w:val="000C08C5"/>
    <w:rsid w:val="000C0AF3"/>
    <w:rsid w:val="000C0CE0"/>
    <w:rsid w:val="000C1066"/>
    <w:rsid w:val="000C11BC"/>
    <w:rsid w:val="000C1CB2"/>
    <w:rsid w:val="000C1E78"/>
    <w:rsid w:val="000C380D"/>
    <w:rsid w:val="000C3858"/>
    <w:rsid w:val="000C3FEB"/>
    <w:rsid w:val="000C40F1"/>
    <w:rsid w:val="000C4CAD"/>
    <w:rsid w:val="000C567A"/>
    <w:rsid w:val="000C5A4E"/>
    <w:rsid w:val="000C5C41"/>
    <w:rsid w:val="000C5FB4"/>
    <w:rsid w:val="000C6025"/>
    <w:rsid w:val="000C654E"/>
    <w:rsid w:val="000C660F"/>
    <w:rsid w:val="000C6631"/>
    <w:rsid w:val="000C7251"/>
    <w:rsid w:val="000C72DC"/>
    <w:rsid w:val="000C7AE6"/>
    <w:rsid w:val="000C7EDE"/>
    <w:rsid w:val="000D0040"/>
    <w:rsid w:val="000D0372"/>
    <w:rsid w:val="000D0C54"/>
    <w:rsid w:val="000D0C71"/>
    <w:rsid w:val="000D1038"/>
    <w:rsid w:val="000D13ED"/>
    <w:rsid w:val="000D16EB"/>
    <w:rsid w:val="000D1894"/>
    <w:rsid w:val="000D1A12"/>
    <w:rsid w:val="000D1C3A"/>
    <w:rsid w:val="000D1E53"/>
    <w:rsid w:val="000D1E81"/>
    <w:rsid w:val="000D2604"/>
    <w:rsid w:val="000D27F3"/>
    <w:rsid w:val="000D2C4F"/>
    <w:rsid w:val="000D2CBC"/>
    <w:rsid w:val="000D3569"/>
    <w:rsid w:val="000D3661"/>
    <w:rsid w:val="000D42F2"/>
    <w:rsid w:val="000D48AC"/>
    <w:rsid w:val="000D4B4E"/>
    <w:rsid w:val="000D4E31"/>
    <w:rsid w:val="000D4E48"/>
    <w:rsid w:val="000D5244"/>
    <w:rsid w:val="000D529F"/>
    <w:rsid w:val="000D5598"/>
    <w:rsid w:val="000D6245"/>
    <w:rsid w:val="000D78CF"/>
    <w:rsid w:val="000E02A3"/>
    <w:rsid w:val="000E03E9"/>
    <w:rsid w:val="000E07ED"/>
    <w:rsid w:val="000E0ECD"/>
    <w:rsid w:val="000E10A4"/>
    <w:rsid w:val="000E19CE"/>
    <w:rsid w:val="000E1A33"/>
    <w:rsid w:val="000E23D5"/>
    <w:rsid w:val="000E330E"/>
    <w:rsid w:val="000E384D"/>
    <w:rsid w:val="000E4100"/>
    <w:rsid w:val="000E4207"/>
    <w:rsid w:val="000E42A2"/>
    <w:rsid w:val="000E4875"/>
    <w:rsid w:val="000E492C"/>
    <w:rsid w:val="000E49FC"/>
    <w:rsid w:val="000E4A13"/>
    <w:rsid w:val="000E4B31"/>
    <w:rsid w:val="000E4B48"/>
    <w:rsid w:val="000E5313"/>
    <w:rsid w:val="000E539E"/>
    <w:rsid w:val="000E5B21"/>
    <w:rsid w:val="000E6341"/>
    <w:rsid w:val="000E686A"/>
    <w:rsid w:val="000E6879"/>
    <w:rsid w:val="000E70F7"/>
    <w:rsid w:val="000E75F0"/>
    <w:rsid w:val="000E77EF"/>
    <w:rsid w:val="000E7879"/>
    <w:rsid w:val="000F042B"/>
    <w:rsid w:val="000F1AC6"/>
    <w:rsid w:val="000F1AF5"/>
    <w:rsid w:val="000F3148"/>
    <w:rsid w:val="000F3473"/>
    <w:rsid w:val="000F4BF0"/>
    <w:rsid w:val="000F4C18"/>
    <w:rsid w:val="000F52DD"/>
    <w:rsid w:val="000F541A"/>
    <w:rsid w:val="000F57B6"/>
    <w:rsid w:val="000F5B7D"/>
    <w:rsid w:val="000F66F0"/>
    <w:rsid w:val="000F683D"/>
    <w:rsid w:val="000F690E"/>
    <w:rsid w:val="000F6FF0"/>
    <w:rsid w:val="000F71FE"/>
    <w:rsid w:val="000F7766"/>
    <w:rsid w:val="000F7954"/>
    <w:rsid w:val="000F7EAE"/>
    <w:rsid w:val="00100177"/>
    <w:rsid w:val="001004FA"/>
    <w:rsid w:val="00100A48"/>
    <w:rsid w:val="00100D19"/>
    <w:rsid w:val="00100EAE"/>
    <w:rsid w:val="00101225"/>
    <w:rsid w:val="0010144C"/>
    <w:rsid w:val="0010181A"/>
    <w:rsid w:val="00101986"/>
    <w:rsid w:val="00101B11"/>
    <w:rsid w:val="00101DAD"/>
    <w:rsid w:val="00102675"/>
    <w:rsid w:val="0010390A"/>
    <w:rsid w:val="001040CF"/>
    <w:rsid w:val="00104265"/>
    <w:rsid w:val="0010473F"/>
    <w:rsid w:val="00104DFF"/>
    <w:rsid w:val="00104FD6"/>
    <w:rsid w:val="00105115"/>
    <w:rsid w:val="0010560D"/>
    <w:rsid w:val="001058E6"/>
    <w:rsid w:val="00105B37"/>
    <w:rsid w:val="00106494"/>
    <w:rsid w:val="00106799"/>
    <w:rsid w:val="001067FA"/>
    <w:rsid w:val="001069C1"/>
    <w:rsid w:val="00106F04"/>
    <w:rsid w:val="0010780B"/>
    <w:rsid w:val="0010785F"/>
    <w:rsid w:val="00107DE3"/>
    <w:rsid w:val="00107E69"/>
    <w:rsid w:val="00107EA7"/>
    <w:rsid w:val="00110454"/>
    <w:rsid w:val="00110B88"/>
    <w:rsid w:val="00110E98"/>
    <w:rsid w:val="00111C8F"/>
    <w:rsid w:val="00112066"/>
    <w:rsid w:val="001120F2"/>
    <w:rsid w:val="001122D0"/>
    <w:rsid w:val="00112591"/>
    <w:rsid w:val="00112637"/>
    <w:rsid w:val="001128B5"/>
    <w:rsid w:val="00113090"/>
    <w:rsid w:val="00113750"/>
    <w:rsid w:val="001139A8"/>
    <w:rsid w:val="001139E4"/>
    <w:rsid w:val="0011403D"/>
    <w:rsid w:val="001141FB"/>
    <w:rsid w:val="001143E4"/>
    <w:rsid w:val="00114B49"/>
    <w:rsid w:val="00114ED5"/>
    <w:rsid w:val="00115648"/>
    <w:rsid w:val="00115EA1"/>
    <w:rsid w:val="0011604D"/>
    <w:rsid w:val="00116558"/>
    <w:rsid w:val="00116FEC"/>
    <w:rsid w:val="00117269"/>
    <w:rsid w:val="001174A8"/>
    <w:rsid w:val="00117CA3"/>
    <w:rsid w:val="00117E46"/>
    <w:rsid w:val="00117FB3"/>
    <w:rsid w:val="00120222"/>
    <w:rsid w:val="001204FC"/>
    <w:rsid w:val="00120548"/>
    <w:rsid w:val="00120B7D"/>
    <w:rsid w:val="00121319"/>
    <w:rsid w:val="00121770"/>
    <w:rsid w:val="00121A91"/>
    <w:rsid w:val="00121B3A"/>
    <w:rsid w:val="00122450"/>
    <w:rsid w:val="00122550"/>
    <w:rsid w:val="001227A0"/>
    <w:rsid w:val="001231AA"/>
    <w:rsid w:val="00123483"/>
    <w:rsid w:val="00124C76"/>
    <w:rsid w:val="00124E47"/>
    <w:rsid w:val="00124F90"/>
    <w:rsid w:val="0012509F"/>
    <w:rsid w:val="00125101"/>
    <w:rsid w:val="001256CF"/>
    <w:rsid w:val="001256D3"/>
    <w:rsid w:val="00125CC2"/>
    <w:rsid w:val="001278A2"/>
    <w:rsid w:val="00130D88"/>
    <w:rsid w:val="00130EF9"/>
    <w:rsid w:val="0013112A"/>
    <w:rsid w:val="0013112E"/>
    <w:rsid w:val="00131979"/>
    <w:rsid w:val="001324D7"/>
    <w:rsid w:val="001327B9"/>
    <w:rsid w:val="001329DF"/>
    <w:rsid w:val="0013329C"/>
    <w:rsid w:val="001333FD"/>
    <w:rsid w:val="0013408E"/>
    <w:rsid w:val="001340CE"/>
    <w:rsid w:val="00134578"/>
    <w:rsid w:val="0013511C"/>
    <w:rsid w:val="001353F4"/>
    <w:rsid w:val="00135DB5"/>
    <w:rsid w:val="00135E08"/>
    <w:rsid w:val="0013656A"/>
    <w:rsid w:val="00136B4D"/>
    <w:rsid w:val="00137264"/>
    <w:rsid w:val="00137E61"/>
    <w:rsid w:val="00140BD4"/>
    <w:rsid w:val="001412D5"/>
    <w:rsid w:val="0014136E"/>
    <w:rsid w:val="00142E4A"/>
    <w:rsid w:val="00142FBA"/>
    <w:rsid w:val="00143112"/>
    <w:rsid w:val="00143116"/>
    <w:rsid w:val="00143685"/>
    <w:rsid w:val="00143DD3"/>
    <w:rsid w:val="0014423D"/>
    <w:rsid w:val="00144920"/>
    <w:rsid w:val="00144AAD"/>
    <w:rsid w:val="00146012"/>
    <w:rsid w:val="0014628C"/>
    <w:rsid w:val="001462D5"/>
    <w:rsid w:val="00146698"/>
    <w:rsid w:val="00146A33"/>
    <w:rsid w:val="00146B8D"/>
    <w:rsid w:val="00146C60"/>
    <w:rsid w:val="00146D7A"/>
    <w:rsid w:val="00146E77"/>
    <w:rsid w:val="00146F68"/>
    <w:rsid w:val="001471A9"/>
    <w:rsid w:val="0014759E"/>
    <w:rsid w:val="0014796F"/>
    <w:rsid w:val="00147E4E"/>
    <w:rsid w:val="001504A4"/>
    <w:rsid w:val="001509B2"/>
    <w:rsid w:val="001519C2"/>
    <w:rsid w:val="00151A73"/>
    <w:rsid w:val="00151CE1"/>
    <w:rsid w:val="00151FBE"/>
    <w:rsid w:val="0015215A"/>
    <w:rsid w:val="00152DA0"/>
    <w:rsid w:val="00152DE0"/>
    <w:rsid w:val="0015349D"/>
    <w:rsid w:val="00153A29"/>
    <w:rsid w:val="00153E86"/>
    <w:rsid w:val="00155685"/>
    <w:rsid w:val="00155EE0"/>
    <w:rsid w:val="00156067"/>
    <w:rsid w:val="00156071"/>
    <w:rsid w:val="001561CF"/>
    <w:rsid w:val="001562B9"/>
    <w:rsid w:val="00156538"/>
    <w:rsid w:val="0015657B"/>
    <w:rsid w:val="00157562"/>
    <w:rsid w:val="00157895"/>
    <w:rsid w:val="00157B19"/>
    <w:rsid w:val="00157E2B"/>
    <w:rsid w:val="001612BB"/>
    <w:rsid w:val="00162033"/>
    <w:rsid w:val="00162660"/>
    <w:rsid w:val="00162BE2"/>
    <w:rsid w:val="00162E45"/>
    <w:rsid w:val="0016313B"/>
    <w:rsid w:val="0016369E"/>
    <w:rsid w:val="0016408C"/>
    <w:rsid w:val="00164153"/>
    <w:rsid w:val="001646B2"/>
    <w:rsid w:val="00165987"/>
    <w:rsid w:val="00165B05"/>
    <w:rsid w:val="00165F27"/>
    <w:rsid w:val="00166381"/>
    <w:rsid w:val="00166568"/>
    <w:rsid w:val="00166ED0"/>
    <w:rsid w:val="001675D5"/>
    <w:rsid w:val="001678F4"/>
    <w:rsid w:val="001706ED"/>
    <w:rsid w:val="00170D35"/>
    <w:rsid w:val="00170D8A"/>
    <w:rsid w:val="00171149"/>
    <w:rsid w:val="001715FF"/>
    <w:rsid w:val="00172046"/>
    <w:rsid w:val="0017230D"/>
    <w:rsid w:val="00172469"/>
    <w:rsid w:val="001727C0"/>
    <w:rsid w:val="00172CDC"/>
    <w:rsid w:val="00172FA3"/>
    <w:rsid w:val="001730A2"/>
    <w:rsid w:val="0017314B"/>
    <w:rsid w:val="001734BF"/>
    <w:rsid w:val="001734FE"/>
    <w:rsid w:val="001737CA"/>
    <w:rsid w:val="001737F0"/>
    <w:rsid w:val="00173D05"/>
    <w:rsid w:val="00174AC5"/>
    <w:rsid w:val="00174B11"/>
    <w:rsid w:val="001752CF"/>
    <w:rsid w:val="001759B1"/>
    <w:rsid w:val="00175AF5"/>
    <w:rsid w:val="00175DD2"/>
    <w:rsid w:val="001768AB"/>
    <w:rsid w:val="00176AAE"/>
    <w:rsid w:val="00176E22"/>
    <w:rsid w:val="00177B79"/>
    <w:rsid w:val="00177F8C"/>
    <w:rsid w:val="00180136"/>
    <w:rsid w:val="00180912"/>
    <w:rsid w:val="00180E67"/>
    <w:rsid w:val="001814B4"/>
    <w:rsid w:val="001817EC"/>
    <w:rsid w:val="001818CC"/>
    <w:rsid w:val="00182160"/>
    <w:rsid w:val="001826FD"/>
    <w:rsid w:val="00182A76"/>
    <w:rsid w:val="00183414"/>
    <w:rsid w:val="001839B2"/>
    <w:rsid w:val="00183AE7"/>
    <w:rsid w:val="00183C99"/>
    <w:rsid w:val="00183CE7"/>
    <w:rsid w:val="00184017"/>
    <w:rsid w:val="00184589"/>
    <w:rsid w:val="0018540C"/>
    <w:rsid w:val="00185A90"/>
    <w:rsid w:val="00185C4C"/>
    <w:rsid w:val="001865B6"/>
    <w:rsid w:val="001865EF"/>
    <w:rsid w:val="00186932"/>
    <w:rsid w:val="0018704D"/>
    <w:rsid w:val="001872C8"/>
    <w:rsid w:val="001879C7"/>
    <w:rsid w:val="0019085F"/>
    <w:rsid w:val="00190FCF"/>
    <w:rsid w:val="00191A56"/>
    <w:rsid w:val="001920DF"/>
    <w:rsid w:val="00192249"/>
    <w:rsid w:val="001924C0"/>
    <w:rsid w:val="00192BBA"/>
    <w:rsid w:val="00192FDE"/>
    <w:rsid w:val="00193114"/>
    <w:rsid w:val="00194440"/>
    <w:rsid w:val="001947EE"/>
    <w:rsid w:val="0019488B"/>
    <w:rsid w:val="00194A1B"/>
    <w:rsid w:val="0019537A"/>
    <w:rsid w:val="001955BB"/>
    <w:rsid w:val="0019689D"/>
    <w:rsid w:val="00196F6C"/>
    <w:rsid w:val="00197828"/>
    <w:rsid w:val="00197FF5"/>
    <w:rsid w:val="001A0632"/>
    <w:rsid w:val="001A069D"/>
    <w:rsid w:val="001A0C53"/>
    <w:rsid w:val="001A0C90"/>
    <w:rsid w:val="001A0E8D"/>
    <w:rsid w:val="001A16BF"/>
    <w:rsid w:val="001A19EF"/>
    <w:rsid w:val="001A1D74"/>
    <w:rsid w:val="001A217C"/>
    <w:rsid w:val="001A27A0"/>
    <w:rsid w:val="001A2869"/>
    <w:rsid w:val="001A2AC4"/>
    <w:rsid w:val="001A33A7"/>
    <w:rsid w:val="001A4A92"/>
    <w:rsid w:val="001A4D4B"/>
    <w:rsid w:val="001A5526"/>
    <w:rsid w:val="001A555F"/>
    <w:rsid w:val="001A558B"/>
    <w:rsid w:val="001A5A8F"/>
    <w:rsid w:val="001A5B61"/>
    <w:rsid w:val="001A5CA8"/>
    <w:rsid w:val="001A683E"/>
    <w:rsid w:val="001A6912"/>
    <w:rsid w:val="001A69F5"/>
    <w:rsid w:val="001A7004"/>
    <w:rsid w:val="001A747B"/>
    <w:rsid w:val="001B01C1"/>
    <w:rsid w:val="001B0951"/>
    <w:rsid w:val="001B0AE5"/>
    <w:rsid w:val="001B0EFC"/>
    <w:rsid w:val="001B0FDF"/>
    <w:rsid w:val="001B0FE0"/>
    <w:rsid w:val="001B172E"/>
    <w:rsid w:val="001B187F"/>
    <w:rsid w:val="001B1DD9"/>
    <w:rsid w:val="001B1DEB"/>
    <w:rsid w:val="001B2151"/>
    <w:rsid w:val="001B22E3"/>
    <w:rsid w:val="001B25A1"/>
    <w:rsid w:val="001B31B1"/>
    <w:rsid w:val="001B31BE"/>
    <w:rsid w:val="001B32D3"/>
    <w:rsid w:val="001B3347"/>
    <w:rsid w:val="001B39F8"/>
    <w:rsid w:val="001B3AF8"/>
    <w:rsid w:val="001B4086"/>
    <w:rsid w:val="001B4996"/>
    <w:rsid w:val="001B4AE1"/>
    <w:rsid w:val="001B5730"/>
    <w:rsid w:val="001B57ED"/>
    <w:rsid w:val="001B5DCD"/>
    <w:rsid w:val="001B6AE1"/>
    <w:rsid w:val="001B7063"/>
    <w:rsid w:val="001B73E7"/>
    <w:rsid w:val="001B767E"/>
    <w:rsid w:val="001B7F20"/>
    <w:rsid w:val="001C0461"/>
    <w:rsid w:val="001C088C"/>
    <w:rsid w:val="001C13FA"/>
    <w:rsid w:val="001C1457"/>
    <w:rsid w:val="001C163F"/>
    <w:rsid w:val="001C2017"/>
    <w:rsid w:val="001C2134"/>
    <w:rsid w:val="001C2186"/>
    <w:rsid w:val="001C2AC2"/>
    <w:rsid w:val="001C34BB"/>
    <w:rsid w:val="001C389D"/>
    <w:rsid w:val="001C3B72"/>
    <w:rsid w:val="001C3B81"/>
    <w:rsid w:val="001C41D7"/>
    <w:rsid w:val="001C4F22"/>
    <w:rsid w:val="001C5579"/>
    <w:rsid w:val="001C65B7"/>
    <w:rsid w:val="001C660F"/>
    <w:rsid w:val="001C66BA"/>
    <w:rsid w:val="001C69A8"/>
    <w:rsid w:val="001C6D50"/>
    <w:rsid w:val="001C7507"/>
    <w:rsid w:val="001C7877"/>
    <w:rsid w:val="001C78F4"/>
    <w:rsid w:val="001C7D48"/>
    <w:rsid w:val="001D00BD"/>
    <w:rsid w:val="001D07B9"/>
    <w:rsid w:val="001D090B"/>
    <w:rsid w:val="001D0F87"/>
    <w:rsid w:val="001D1701"/>
    <w:rsid w:val="001D1AA0"/>
    <w:rsid w:val="001D1B5D"/>
    <w:rsid w:val="001D21CE"/>
    <w:rsid w:val="001D261E"/>
    <w:rsid w:val="001D2AB5"/>
    <w:rsid w:val="001D380E"/>
    <w:rsid w:val="001D3811"/>
    <w:rsid w:val="001D3B3F"/>
    <w:rsid w:val="001D4D39"/>
    <w:rsid w:val="001D5740"/>
    <w:rsid w:val="001D5A1D"/>
    <w:rsid w:val="001D5C07"/>
    <w:rsid w:val="001D5CAF"/>
    <w:rsid w:val="001D6503"/>
    <w:rsid w:val="001D66F1"/>
    <w:rsid w:val="001D7080"/>
    <w:rsid w:val="001D7492"/>
    <w:rsid w:val="001D7C85"/>
    <w:rsid w:val="001E0231"/>
    <w:rsid w:val="001E05CE"/>
    <w:rsid w:val="001E1281"/>
    <w:rsid w:val="001E1282"/>
    <w:rsid w:val="001E1C23"/>
    <w:rsid w:val="001E22D5"/>
    <w:rsid w:val="001E2A4A"/>
    <w:rsid w:val="001E3356"/>
    <w:rsid w:val="001E36EC"/>
    <w:rsid w:val="001E49FD"/>
    <w:rsid w:val="001E4E68"/>
    <w:rsid w:val="001E5253"/>
    <w:rsid w:val="001E599B"/>
    <w:rsid w:val="001E5BDC"/>
    <w:rsid w:val="001E63FF"/>
    <w:rsid w:val="001E66EC"/>
    <w:rsid w:val="001E7D54"/>
    <w:rsid w:val="001E7E49"/>
    <w:rsid w:val="001F0400"/>
    <w:rsid w:val="001F0E16"/>
    <w:rsid w:val="001F1B5A"/>
    <w:rsid w:val="001F1EC1"/>
    <w:rsid w:val="001F251D"/>
    <w:rsid w:val="001F287C"/>
    <w:rsid w:val="001F288D"/>
    <w:rsid w:val="001F2992"/>
    <w:rsid w:val="001F33DE"/>
    <w:rsid w:val="001F352E"/>
    <w:rsid w:val="001F3660"/>
    <w:rsid w:val="001F419C"/>
    <w:rsid w:val="001F427C"/>
    <w:rsid w:val="001F452C"/>
    <w:rsid w:val="001F4611"/>
    <w:rsid w:val="001F4ECD"/>
    <w:rsid w:val="001F52FD"/>
    <w:rsid w:val="001F59C8"/>
    <w:rsid w:val="001F5F4E"/>
    <w:rsid w:val="001F6811"/>
    <w:rsid w:val="001F6936"/>
    <w:rsid w:val="001F6DD6"/>
    <w:rsid w:val="001F711E"/>
    <w:rsid w:val="001F7C99"/>
    <w:rsid w:val="001F7D89"/>
    <w:rsid w:val="001F7E7D"/>
    <w:rsid w:val="002004EC"/>
    <w:rsid w:val="00200EF9"/>
    <w:rsid w:val="002012B0"/>
    <w:rsid w:val="00201468"/>
    <w:rsid w:val="002017BA"/>
    <w:rsid w:val="0020313D"/>
    <w:rsid w:val="002031EA"/>
    <w:rsid w:val="00204C7D"/>
    <w:rsid w:val="00205C40"/>
    <w:rsid w:val="00206205"/>
    <w:rsid w:val="0020622B"/>
    <w:rsid w:val="00206A7B"/>
    <w:rsid w:val="00207A39"/>
    <w:rsid w:val="00207CA6"/>
    <w:rsid w:val="002101FB"/>
    <w:rsid w:val="002104E5"/>
    <w:rsid w:val="0021101C"/>
    <w:rsid w:val="00211384"/>
    <w:rsid w:val="00211CF5"/>
    <w:rsid w:val="00212030"/>
    <w:rsid w:val="00213569"/>
    <w:rsid w:val="002138C3"/>
    <w:rsid w:val="00213CDC"/>
    <w:rsid w:val="002142BB"/>
    <w:rsid w:val="002146B3"/>
    <w:rsid w:val="002152F9"/>
    <w:rsid w:val="00215527"/>
    <w:rsid w:val="00215BE1"/>
    <w:rsid w:val="00216141"/>
    <w:rsid w:val="0021622E"/>
    <w:rsid w:val="00217155"/>
    <w:rsid w:val="00217772"/>
    <w:rsid w:val="00217848"/>
    <w:rsid w:val="002209C3"/>
    <w:rsid w:val="00220A3B"/>
    <w:rsid w:val="00220D26"/>
    <w:rsid w:val="00221728"/>
    <w:rsid w:val="0022181F"/>
    <w:rsid w:val="002218C3"/>
    <w:rsid w:val="00221B56"/>
    <w:rsid w:val="0022214D"/>
    <w:rsid w:val="002227CF"/>
    <w:rsid w:val="002236FA"/>
    <w:rsid w:val="00224440"/>
    <w:rsid w:val="00224667"/>
    <w:rsid w:val="002247AF"/>
    <w:rsid w:val="0022488F"/>
    <w:rsid w:val="00224ABF"/>
    <w:rsid w:val="002255A5"/>
    <w:rsid w:val="00226C36"/>
    <w:rsid w:val="00227538"/>
    <w:rsid w:val="00227964"/>
    <w:rsid w:val="00227A16"/>
    <w:rsid w:val="00227A98"/>
    <w:rsid w:val="00227E47"/>
    <w:rsid w:val="00227F6F"/>
    <w:rsid w:val="00227FD5"/>
    <w:rsid w:val="0023008B"/>
    <w:rsid w:val="00230BBE"/>
    <w:rsid w:val="00230FA9"/>
    <w:rsid w:val="00231643"/>
    <w:rsid w:val="00231659"/>
    <w:rsid w:val="00231966"/>
    <w:rsid w:val="00231CCD"/>
    <w:rsid w:val="00231FF3"/>
    <w:rsid w:val="00232394"/>
    <w:rsid w:val="0023249B"/>
    <w:rsid w:val="002328C6"/>
    <w:rsid w:val="00232A37"/>
    <w:rsid w:val="00233015"/>
    <w:rsid w:val="0023345E"/>
    <w:rsid w:val="002336F6"/>
    <w:rsid w:val="00233DDB"/>
    <w:rsid w:val="00234013"/>
    <w:rsid w:val="002346D7"/>
    <w:rsid w:val="0023471B"/>
    <w:rsid w:val="00234DF3"/>
    <w:rsid w:val="00235224"/>
    <w:rsid w:val="002353C3"/>
    <w:rsid w:val="0023589B"/>
    <w:rsid w:val="00236144"/>
    <w:rsid w:val="0023670D"/>
    <w:rsid w:val="002369AA"/>
    <w:rsid w:val="00236FCF"/>
    <w:rsid w:val="002374D3"/>
    <w:rsid w:val="00237B4D"/>
    <w:rsid w:val="00240412"/>
    <w:rsid w:val="0024051F"/>
    <w:rsid w:val="0024077E"/>
    <w:rsid w:val="00240AE3"/>
    <w:rsid w:val="00240ECE"/>
    <w:rsid w:val="002411E1"/>
    <w:rsid w:val="002415E7"/>
    <w:rsid w:val="00241D72"/>
    <w:rsid w:val="0024265E"/>
    <w:rsid w:val="00242C10"/>
    <w:rsid w:val="00242E6E"/>
    <w:rsid w:val="0024346C"/>
    <w:rsid w:val="00244191"/>
    <w:rsid w:val="0024426C"/>
    <w:rsid w:val="00244561"/>
    <w:rsid w:val="00244813"/>
    <w:rsid w:val="00244A2C"/>
    <w:rsid w:val="00244ADE"/>
    <w:rsid w:val="00244D05"/>
    <w:rsid w:val="00244D77"/>
    <w:rsid w:val="00244FE9"/>
    <w:rsid w:val="00245056"/>
    <w:rsid w:val="002450DE"/>
    <w:rsid w:val="00245199"/>
    <w:rsid w:val="002456DA"/>
    <w:rsid w:val="00245B89"/>
    <w:rsid w:val="00246005"/>
    <w:rsid w:val="00246587"/>
    <w:rsid w:val="0024683D"/>
    <w:rsid w:val="00246ABA"/>
    <w:rsid w:val="00246B53"/>
    <w:rsid w:val="00246DA6"/>
    <w:rsid w:val="002475F6"/>
    <w:rsid w:val="00251067"/>
    <w:rsid w:val="00251A27"/>
    <w:rsid w:val="00251F26"/>
    <w:rsid w:val="00252076"/>
    <w:rsid w:val="00252A09"/>
    <w:rsid w:val="002533FC"/>
    <w:rsid w:val="00253719"/>
    <w:rsid w:val="002537CE"/>
    <w:rsid w:val="00253AF4"/>
    <w:rsid w:val="00253BF8"/>
    <w:rsid w:val="00253F4A"/>
    <w:rsid w:val="0025474C"/>
    <w:rsid w:val="0025491B"/>
    <w:rsid w:val="002549E6"/>
    <w:rsid w:val="002553BA"/>
    <w:rsid w:val="00255849"/>
    <w:rsid w:val="00255B29"/>
    <w:rsid w:val="00256077"/>
    <w:rsid w:val="00256437"/>
    <w:rsid w:val="00256780"/>
    <w:rsid w:val="0025725E"/>
    <w:rsid w:val="002574D1"/>
    <w:rsid w:val="00257FBF"/>
    <w:rsid w:val="002614EA"/>
    <w:rsid w:val="00261D1C"/>
    <w:rsid w:val="00261ED0"/>
    <w:rsid w:val="002621C0"/>
    <w:rsid w:val="0026242D"/>
    <w:rsid w:val="0026299A"/>
    <w:rsid w:val="00262C4D"/>
    <w:rsid w:val="0026331D"/>
    <w:rsid w:val="00263A72"/>
    <w:rsid w:val="00263AFF"/>
    <w:rsid w:val="0026408E"/>
    <w:rsid w:val="0026480C"/>
    <w:rsid w:val="00264D17"/>
    <w:rsid w:val="002653AF"/>
    <w:rsid w:val="00265A85"/>
    <w:rsid w:val="00266352"/>
    <w:rsid w:val="0026653F"/>
    <w:rsid w:val="0026725A"/>
    <w:rsid w:val="00267D21"/>
    <w:rsid w:val="00270200"/>
    <w:rsid w:val="00270564"/>
    <w:rsid w:val="002708B8"/>
    <w:rsid w:val="00270D4E"/>
    <w:rsid w:val="002711D5"/>
    <w:rsid w:val="002714FA"/>
    <w:rsid w:val="00273699"/>
    <w:rsid w:val="00273B76"/>
    <w:rsid w:val="00274544"/>
    <w:rsid w:val="002747FC"/>
    <w:rsid w:val="00274AAF"/>
    <w:rsid w:val="00274D2F"/>
    <w:rsid w:val="00275171"/>
    <w:rsid w:val="00275188"/>
    <w:rsid w:val="0027567D"/>
    <w:rsid w:val="00275EB0"/>
    <w:rsid w:val="002765D1"/>
    <w:rsid w:val="002768E1"/>
    <w:rsid w:val="00276E2F"/>
    <w:rsid w:val="00277553"/>
    <w:rsid w:val="002775CC"/>
    <w:rsid w:val="00277D49"/>
    <w:rsid w:val="00280417"/>
    <w:rsid w:val="0028060C"/>
    <w:rsid w:val="00280F3B"/>
    <w:rsid w:val="00281840"/>
    <w:rsid w:val="00281851"/>
    <w:rsid w:val="00281870"/>
    <w:rsid w:val="00281C2C"/>
    <w:rsid w:val="00282107"/>
    <w:rsid w:val="0028218D"/>
    <w:rsid w:val="00282901"/>
    <w:rsid w:val="002838EF"/>
    <w:rsid w:val="00283FA7"/>
    <w:rsid w:val="00284DE2"/>
    <w:rsid w:val="00285354"/>
    <w:rsid w:val="002853B1"/>
    <w:rsid w:val="002857DE"/>
    <w:rsid w:val="00285A45"/>
    <w:rsid w:val="00285CFF"/>
    <w:rsid w:val="00285D15"/>
    <w:rsid w:val="00286CCF"/>
    <w:rsid w:val="00287171"/>
    <w:rsid w:val="00287D88"/>
    <w:rsid w:val="002907B1"/>
    <w:rsid w:val="00290FF8"/>
    <w:rsid w:val="0029142B"/>
    <w:rsid w:val="00291FBD"/>
    <w:rsid w:val="0029217E"/>
    <w:rsid w:val="00292755"/>
    <w:rsid w:val="00292807"/>
    <w:rsid w:val="00292F46"/>
    <w:rsid w:val="00292F7D"/>
    <w:rsid w:val="00293A5F"/>
    <w:rsid w:val="00293AC5"/>
    <w:rsid w:val="00294074"/>
    <w:rsid w:val="002943B4"/>
    <w:rsid w:val="0029486D"/>
    <w:rsid w:val="00294983"/>
    <w:rsid w:val="002957E3"/>
    <w:rsid w:val="0029592F"/>
    <w:rsid w:val="00295977"/>
    <w:rsid w:val="00295D12"/>
    <w:rsid w:val="00295DCA"/>
    <w:rsid w:val="00295E4D"/>
    <w:rsid w:val="00295F04"/>
    <w:rsid w:val="00296067"/>
    <w:rsid w:val="00296589"/>
    <w:rsid w:val="00296BF7"/>
    <w:rsid w:val="002970EA"/>
    <w:rsid w:val="0029727F"/>
    <w:rsid w:val="002974A6"/>
    <w:rsid w:val="00297C80"/>
    <w:rsid w:val="002A0186"/>
    <w:rsid w:val="002A051B"/>
    <w:rsid w:val="002A0658"/>
    <w:rsid w:val="002A0C3C"/>
    <w:rsid w:val="002A0E37"/>
    <w:rsid w:val="002A13F1"/>
    <w:rsid w:val="002A1657"/>
    <w:rsid w:val="002A1964"/>
    <w:rsid w:val="002A22FD"/>
    <w:rsid w:val="002A2D48"/>
    <w:rsid w:val="002A2D63"/>
    <w:rsid w:val="002A3076"/>
    <w:rsid w:val="002A32CD"/>
    <w:rsid w:val="002A4C6E"/>
    <w:rsid w:val="002A4F46"/>
    <w:rsid w:val="002A54D9"/>
    <w:rsid w:val="002A55C5"/>
    <w:rsid w:val="002A5751"/>
    <w:rsid w:val="002A5753"/>
    <w:rsid w:val="002A6E54"/>
    <w:rsid w:val="002A742E"/>
    <w:rsid w:val="002A7B5A"/>
    <w:rsid w:val="002A7F2B"/>
    <w:rsid w:val="002B003D"/>
    <w:rsid w:val="002B036C"/>
    <w:rsid w:val="002B04BE"/>
    <w:rsid w:val="002B06CD"/>
    <w:rsid w:val="002B159F"/>
    <w:rsid w:val="002B1BEA"/>
    <w:rsid w:val="002B1E5E"/>
    <w:rsid w:val="002B1FBE"/>
    <w:rsid w:val="002B20CA"/>
    <w:rsid w:val="002B2422"/>
    <w:rsid w:val="002B2467"/>
    <w:rsid w:val="002B2D98"/>
    <w:rsid w:val="002B30BB"/>
    <w:rsid w:val="002B342E"/>
    <w:rsid w:val="002B358A"/>
    <w:rsid w:val="002B35CC"/>
    <w:rsid w:val="002B4AD7"/>
    <w:rsid w:val="002B59F0"/>
    <w:rsid w:val="002B5B01"/>
    <w:rsid w:val="002B6654"/>
    <w:rsid w:val="002B698F"/>
    <w:rsid w:val="002B73FB"/>
    <w:rsid w:val="002B7497"/>
    <w:rsid w:val="002B76FE"/>
    <w:rsid w:val="002B7955"/>
    <w:rsid w:val="002B7F6D"/>
    <w:rsid w:val="002C06CE"/>
    <w:rsid w:val="002C1530"/>
    <w:rsid w:val="002C2175"/>
    <w:rsid w:val="002C2940"/>
    <w:rsid w:val="002C2E9E"/>
    <w:rsid w:val="002C2FA5"/>
    <w:rsid w:val="002C3068"/>
    <w:rsid w:val="002C3305"/>
    <w:rsid w:val="002C3AA7"/>
    <w:rsid w:val="002C40BE"/>
    <w:rsid w:val="002C423B"/>
    <w:rsid w:val="002C4317"/>
    <w:rsid w:val="002C4999"/>
    <w:rsid w:val="002C4A15"/>
    <w:rsid w:val="002C4FC0"/>
    <w:rsid w:val="002C51C7"/>
    <w:rsid w:val="002C5437"/>
    <w:rsid w:val="002C54A8"/>
    <w:rsid w:val="002C551A"/>
    <w:rsid w:val="002C566E"/>
    <w:rsid w:val="002C569F"/>
    <w:rsid w:val="002C56E1"/>
    <w:rsid w:val="002C591C"/>
    <w:rsid w:val="002C5DC6"/>
    <w:rsid w:val="002C615B"/>
    <w:rsid w:val="002C687A"/>
    <w:rsid w:val="002C6F5E"/>
    <w:rsid w:val="002C713B"/>
    <w:rsid w:val="002C736F"/>
    <w:rsid w:val="002C7374"/>
    <w:rsid w:val="002C7E46"/>
    <w:rsid w:val="002D030A"/>
    <w:rsid w:val="002D0D64"/>
    <w:rsid w:val="002D0E50"/>
    <w:rsid w:val="002D0EAC"/>
    <w:rsid w:val="002D1122"/>
    <w:rsid w:val="002D1694"/>
    <w:rsid w:val="002D21B1"/>
    <w:rsid w:val="002D3317"/>
    <w:rsid w:val="002D3559"/>
    <w:rsid w:val="002D37EE"/>
    <w:rsid w:val="002D3881"/>
    <w:rsid w:val="002D3ADD"/>
    <w:rsid w:val="002D3D91"/>
    <w:rsid w:val="002D425B"/>
    <w:rsid w:val="002D557C"/>
    <w:rsid w:val="002D5768"/>
    <w:rsid w:val="002D6291"/>
    <w:rsid w:val="002D7205"/>
    <w:rsid w:val="002D750A"/>
    <w:rsid w:val="002D772D"/>
    <w:rsid w:val="002E0065"/>
    <w:rsid w:val="002E04A9"/>
    <w:rsid w:val="002E12EF"/>
    <w:rsid w:val="002E1BB9"/>
    <w:rsid w:val="002E1C11"/>
    <w:rsid w:val="002E1DF2"/>
    <w:rsid w:val="002E257D"/>
    <w:rsid w:val="002E28DB"/>
    <w:rsid w:val="002E359D"/>
    <w:rsid w:val="002E35C7"/>
    <w:rsid w:val="002E3EAA"/>
    <w:rsid w:val="002E401D"/>
    <w:rsid w:val="002E4311"/>
    <w:rsid w:val="002E43B9"/>
    <w:rsid w:val="002E576A"/>
    <w:rsid w:val="002E5B28"/>
    <w:rsid w:val="002E606F"/>
    <w:rsid w:val="002E62B3"/>
    <w:rsid w:val="002E6311"/>
    <w:rsid w:val="002E649A"/>
    <w:rsid w:val="002E6556"/>
    <w:rsid w:val="002E65F2"/>
    <w:rsid w:val="002E6F9C"/>
    <w:rsid w:val="002E7268"/>
    <w:rsid w:val="002E7B59"/>
    <w:rsid w:val="002E7D02"/>
    <w:rsid w:val="002F01DC"/>
    <w:rsid w:val="002F065D"/>
    <w:rsid w:val="002F07C6"/>
    <w:rsid w:val="002F0A8F"/>
    <w:rsid w:val="002F0F94"/>
    <w:rsid w:val="002F12CD"/>
    <w:rsid w:val="002F1B0E"/>
    <w:rsid w:val="002F1E0B"/>
    <w:rsid w:val="002F289C"/>
    <w:rsid w:val="002F3073"/>
    <w:rsid w:val="002F347A"/>
    <w:rsid w:val="002F37C2"/>
    <w:rsid w:val="002F3F3B"/>
    <w:rsid w:val="002F4938"/>
    <w:rsid w:val="002F4A56"/>
    <w:rsid w:val="002F4D0C"/>
    <w:rsid w:val="002F557B"/>
    <w:rsid w:val="002F57EB"/>
    <w:rsid w:val="002F5A3C"/>
    <w:rsid w:val="002F66CA"/>
    <w:rsid w:val="002F773E"/>
    <w:rsid w:val="002F7B7C"/>
    <w:rsid w:val="003003F3"/>
    <w:rsid w:val="003003F9"/>
    <w:rsid w:val="00300709"/>
    <w:rsid w:val="003009AC"/>
    <w:rsid w:val="00300D81"/>
    <w:rsid w:val="003011D4"/>
    <w:rsid w:val="003015DF"/>
    <w:rsid w:val="00301891"/>
    <w:rsid w:val="003018E8"/>
    <w:rsid w:val="0030209B"/>
    <w:rsid w:val="003020F7"/>
    <w:rsid w:val="00302488"/>
    <w:rsid w:val="00302A09"/>
    <w:rsid w:val="00302A76"/>
    <w:rsid w:val="00302F37"/>
    <w:rsid w:val="0030327A"/>
    <w:rsid w:val="003032AB"/>
    <w:rsid w:val="003036D7"/>
    <w:rsid w:val="00303B4E"/>
    <w:rsid w:val="00304BDC"/>
    <w:rsid w:val="00304CD4"/>
    <w:rsid w:val="00304ED0"/>
    <w:rsid w:val="00305609"/>
    <w:rsid w:val="0030562A"/>
    <w:rsid w:val="003057A5"/>
    <w:rsid w:val="00305D1F"/>
    <w:rsid w:val="00305E9C"/>
    <w:rsid w:val="00306780"/>
    <w:rsid w:val="00306B81"/>
    <w:rsid w:val="0030704A"/>
    <w:rsid w:val="003070F2"/>
    <w:rsid w:val="00310314"/>
    <w:rsid w:val="0031033C"/>
    <w:rsid w:val="00310BDC"/>
    <w:rsid w:val="00310CAF"/>
    <w:rsid w:val="003110E3"/>
    <w:rsid w:val="003110EF"/>
    <w:rsid w:val="00311358"/>
    <w:rsid w:val="003120D5"/>
    <w:rsid w:val="003124F5"/>
    <w:rsid w:val="0031252F"/>
    <w:rsid w:val="00312D33"/>
    <w:rsid w:val="0031315D"/>
    <w:rsid w:val="003134B2"/>
    <w:rsid w:val="0031396B"/>
    <w:rsid w:val="003139A6"/>
    <w:rsid w:val="00313C60"/>
    <w:rsid w:val="00313F4E"/>
    <w:rsid w:val="00314117"/>
    <w:rsid w:val="0031452B"/>
    <w:rsid w:val="0031472B"/>
    <w:rsid w:val="003154E2"/>
    <w:rsid w:val="003155BD"/>
    <w:rsid w:val="0031613D"/>
    <w:rsid w:val="003161E9"/>
    <w:rsid w:val="00316BB2"/>
    <w:rsid w:val="00316DD2"/>
    <w:rsid w:val="00317540"/>
    <w:rsid w:val="003176ED"/>
    <w:rsid w:val="00317AC2"/>
    <w:rsid w:val="00317BBF"/>
    <w:rsid w:val="00317DF8"/>
    <w:rsid w:val="00317EDF"/>
    <w:rsid w:val="003201FA"/>
    <w:rsid w:val="003206AF"/>
    <w:rsid w:val="00320ED3"/>
    <w:rsid w:val="00321065"/>
    <w:rsid w:val="00321275"/>
    <w:rsid w:val="0032165E"/>
    <w:rsid w:val="003217BE"/>
    <w:rsid w:val="0032196C"/>
    <w:rsid w:val="00322069"/>
    <w:rsid w:val="00322AA8"/>
    <w:rsid w:val="0032494A"/>
    <w:rsid w:val="00324A37"/>
    <w:rsid w:val="00324E8F"/>
    <w:rsid w:val="0032537E"/>
    <w:rsid w:val="00325417"/>
    <w:rsid w:val="00325432"/>
    <w:rsid w:val="00325CD5"/>
    <w:rsid w:val="00326389"/>
    <w:rsid w:val="0032640E"/>
    <w:rsid w:val="0032655B"/>
    <w:rsid w:val="003268D2"/>
    <w:rsid w:val="003269D5"/>
    <w:rsid w:val="00327012"/>
    <w:rsid w:val="003277C4"/>
    <w:rsid w:val="003279E7"/>
    <w:rsid w:val="00330363"/>
    <w:rsid w:val="00330680"/>
    <w:rsid w:val="0033089F"/>
    <w:rsid w:val="00330AD8"/>
    <w:rsid w:val="003315F5"/>
    <w:rsid w:val="00331811"/>
    <w:rsid w:val="00331C47"/>
    <w:rsid w:val="003321D7"/>
    <w:rsid w:val="0033324D"/>
    <w:rsid w:val="00333CD5"/>
    <w:rsid w:val="00333D66"/>
    <w:rsid w:val="00333EF4"/>
    <w:rsid w:val="003345D4"/>
    <w:rsid w:val="00334B67"/>
    <w:rsid w:val="00334F58"/>
    <w:rsid w:val="00334FEA"/>
    <w:rsid w:val="003350D6"/>
    <w:rsid w:val="003359FF"/>
    <w:rsid w:val="00335AED"/>
    <w:rsid w:val="00336D33"/>
    <w:rsid w:val="00336E3A"/>
    <w:rsid w:val="003370C9"/>
    <w:rsid w:val="00337129"/>
    <w:rsid w:val="00337317"/>
    <w:rsid w:val="00337A21"/>
    <w:rsid w:val="00337DA3"/>
    <w:rsid w:val="00340073"/>
    <w:rsid w:val="0034050B"/>
    <w:rsid w:val="00340B10"/>
    <w:rsid w:val="00341B6E"/>
    <w:rsid w:val="00342050"/>
    <w:rsid w:val="003420F9"/>
    <w:rsid w:val="003432FA"/>
    <w:rsid w:val="00343507"/>
    <w:rsid w:val="00343A52"/>
    <w:rsid w:val="00343BFD"/>
    <w:rsid w:val="00344957"/>
    <w:rsid w:val="00344BD6"/>
    <w:rsid w:val="00344D60"/>
    <w:rsid w:val="00344E59"/>
    <w:rsid w:val="003450C2"/>
    <w:rsid w:val="003454ED"/>
    <w:rsid w:val="00345847"/>
    <w:rsid w:val="00346600"/>
    <w:rsid w:val="0034676F"/>
    <w:rsid w:val="003469AF"/>
    <w:rsid w:val="00346AA2"/>
    <w:rsid w:val="00346AB8"/>
    <w:rsid w:val="00346CB2"/>
    <w:rsid w:val="00347121"/>
    <w:rsid w:val="00347367"/>
    <w:rsid w:val="00347403"/>
    <w:rsid w:val="00347534"/>
    <w:rsid w:val="00347D6A"/>
    <w:rsid w:val="00350CA1"/>
    <w:rsid w:val="00350D45"/>
    <w:rsid w:val="003510C9"/>
    <w:rsid w:val="00351757"/>
    <w:rsid w:val="003519DA"/>
    <w:rsid w:val="00351BE3"/>
    <w:rsid w:val="00352A2C"/>
    <w:rsid w:val="00352DA9"/>
    <w:rsid w:val="00353629"/>
    <w:rsid w:val="00353E8B"/>
    <w:rsid w:val="003540E9"/>
    <w:rsid w:val="00354133"/>
    <w:rsid w:val="00355569"/>
    <w:rsid w:val="0035556C"/>
    <w:rsid w:val="003564FA"/>
    <w:rsid w:val="00356903"/>
    <w:rsid w:val="00357571"/>
    <w:rsid w:val="00357712"/>
    <w:rsid w:val="00357AD6"/>
    <w:rsid w:val="00360D72"/>
    <w:rsid w:val="00360FBD"/>
    <w:rsid w:val="00361255"/>
    <w:rsid w:val="00361B6F"/>
    <w:rsid w:val="003621BC"/>
    <w:rsid w:val="0036298B"/>
    <w:rsid w:val="00362D2B"/>
    <w:rsid w:val="003634ED"/>
    <w:rsid w:val="00364460"/>
    <w:rsid w:val="00364C61"/>
    <w:rsid w:val="003656AB"/>
    <w:rsid w:val="00365943"/>
    <w:rsid w:val="00365F70"/>
    <w:rsid w:val="00365F8E"/>
    <w:rsid w:val="003665C3"/>
    <w:rsid w:val="0036689B"/>
    <w:rsid w:val="00366D42"/>
    <w:rsid w:val="00367160"/>
    <w:rsid w:val="0036753F"/>
    <w:rsid w:val="003700CA"/>
    <w:rsid w:val="0037015B"/>
    <w:rsid w:val="0037020E"/>
    <w:rsid w:val="00370671"/>
    <w:rsid w:val="00370DC9"/>
    <w:rsid w:val="00371A95"/>
    <w:rsid w:val="00371C57"/>
    <w:rsid w:val="00371CBD"/>
    <w:rsid w:val="00372038"/>
    <w:rsid w:val="0037245E"/>
    <w:rsid w:val="00372594"/>
    <w:rsid w:val="00372E44"/>
    <w:rsid w:val="00372E8A"/>
    <w:rsid w:val="00373429"/>
    <w:rsid w:val="0037344E"/>
    <w:rsid w:val="00373811"/>
    <w:rsid w:val="00373928"/>
    <w:rsid w:val="00373D64"/>
    <w:rsid w:val="00374786"/>
    <w:rsid w:val="003748B4"/>
    <w:rsid w:val="00374A8F"/>
    <w:rsid w:val="003755B3"/>
    <w:rsid w:val="00375857"/>
    <w:rsid w:val="00375C6D"/>
    <w:rsid w:val="0037613E"/>
    <w:rsid w:val="00376F54"/>
    <w:rsid w:val="0037711B"/>
    <w:rsid w:val="00377883"/>
    <w:rsid w:val="00380102"/>
    <w:rsid w:val="003806F7"/>
    <w:rsid w:val="0038077B"/>
    <w:rsid w:val="00380FE4"/>
    <w:rsid w:val="003816C4"/>
    <w:rsid w:val="00381DAE"/>
    <w:rsid w:val="003821C1"/>
    <w:rsid w:val="003826C8"/>
    <w:rsid w:val="003829D6"/>
    <w:rsid w:val="00383097"/>
    <w:rsid w:val="003831E2"/>
    <w:rsid w:val="00383A09"/>
    <w:rsid w:val="00383B87"/>
    <w:rsid w:val="00384C43"/>
    <w:rsid w:val="00385BC6"/>
    <w:rsid w:val="00385F5C"/>
    <w:rsid w:val="00387A6C"/>
    <w:rsid w:val="00390E7C"/>
    <w:rsid w:val="00391E8C"/>
    <w:rsid w:val="003923A0"/>
    <w:rsid w:val="00392652"/>
    <w:rsid w:val="003929A1"/>
    <w:rsid w:val="00392A6B"/>
    <w:rsid w:val="00392DB6"/>
    <w:rsid w:val="00393554"/>
    <w:rsid w:val="0039365A"/>
    <w:rsid w:val="00393E2D"/>
    <w:rsid w:val="0039470E"/>
    <w:rsid w:val="00394E3A"/>
    <w:rsid w:val="00394F80"/>
    <w:rsid w:val="003950BB"/>
    <w:rsid w:val="00395540"/>
    <w:rsid w:val="00395C72"/>
    <w:rsid w:val="00396B14"/>
    <w:rsid w:val="00396BF9"/>
    <w:rsid w:val="00396D21"/>
    <w:rsid w:val="00396EDD"/>
    <w:rsid w:val="00396F7D"/>
    <w:rsid w:val="0039774D"/>
    <w:rsid w:val="00397879"/>
    <w:rsid w:val="00397C31"/>
    <w:rsid w:val="00397CDC"/>
    <w:rsid w:val="00397FE5"/>
    <w:rsid w:val="003A04E1"/>
    <w:rsid w:val="003A052A"/>
    <w:rsid w:val="003A067F"/>
    <w:rsid w:val="003A0E03"/>
    <w:rsid w:val="003A0F93"/>
    <w:rsid w:val="003A0FB5"/>
    <w:rsid w:val="003A1044"/>
    <w:rsid w:val="003A1153"/>
    <w:rsid w:val="003A15E8"/>
    <w:rsid w:val="003A1A3C"/>
    <w:rsid w:val="003A1B8D"/>
    <w:rsid w:val="003A1ED2"/>
    <w:rsid w:val="003A2DC9"/>
    <w:rsid w:val="003A2F5F"/>
    <w:rsid w:val="003A30AE"/>
    <w:rsid w:val="003A3270"/>
    <w:rsid w:val="003A44E9"/>
    <w:rsid w:val="003A5382"/>
    <w:rsid w:val="003A575A"/>
    <w:rsid w:val="003A5900"/>
    <w:rsid w:val="003A5C1D"/>
    <w:rsid w:val="003A5DB4"/>
    <w:rsid w:val="003A6085"/>
    <w:rsid w:val="003A6E3B"/>
    <w:rsid w:val="003A75C1"/>
    <w:rsid w:val="003A773D"/>
    <w:rsid w:val="003A78AC"/>
    <w:rsid w:val="003B0006"/>
    <w:rsid w:val="003B0FFF"/>
    <w:rsid w:val="003B1091"/>
    <w:rsid w:val="003B132F"/>
    <w:rsid w:val="003B1464"/>
    <w:rsid w:val="003B1BC3"/>
    <w:rsid w:val="003B1E51"/>
    <w:rsid w:val="003B22B2"/>
    <w:rsid w:val="003B23CC"/>
    <w:rsid w:val="003B2A8B"/>
    <w:rsid w:val="003B320B"/>
    <w:rsid w:val="003B34A1"/>
    <w:rsid w:val="003B363D"/>
    <w:rsid w:val="003B36C1"/>
    <w:rsid w:val="003B3A84"/>
    <w:rsid w:val="003B40A3"/>
    <w:rsid w:val="003B4656"/>
    <w:rsid w:val="003B56AF"/>
    <w:rsid w:val="003B6135"/>
    <w:rsid w:val="003B6E20"/>
    <w:rsid w:val="003B6F36"/>
    <w:rsid w:val="003B79FB"/>
    <w:rsid w:val="003B7D3F"/>
    <w:rsid w:val="003C059F"/>
    <w:rsid w:val="003C16C6"/>
    <w:rsid w:val="003C1710"/>
    <w:rsid w:val="003C1D0D"/>
    <w:rsid w:val="003C232C"/>
    <w:rsid w:val="003C2E99"/>
    <w:rsid w:val="003C3001"/>
    <w:rsid w:val="003C35E6"/>
    <w:rsid w:val="003C397B"/>
    <w:rsid w:val="003C43CD"/>
    <w:rsid w:val="003C484E"/>
    <w:rsid w:val="003C4EB5"/>
    <w:rsid w:val="003C5050"/>
    <w:rsid w:val="003C50CE"/>
    <w:rsid w:val="003C5288"/>
    <w:rsid w:val="003C537A"/>
    <w:rsid w:val="003C5D75"/>
    <w:rsid w:val="003C6BC5"/>
    <w:rsid w:val="003C7696"/>
    <w:rsid w:val="003D017C"/>
    <w:rsid w:val="003D02F0"/>
    <w:rsid w:val="003D0516"/>
    <w:rsid w:val="003D09B4"/>
    <w:rsid w:val="003D0D59"/>
    <w:rsid w:val="003D1AC5"/>
    <w:rsid w:val="003D1B59"/>
    <w:rsid w:val="003D1D3C"/>
    <w:rsid w:val="003D1D80"/>
    <w:rsid w:val="003D1EED"/>
    <w:rsid w:val="003D24BA"/>
    <w:rsid w:val="003D3B93"/>
    <w:rsid w:val="003D47C1"/>
    <w:rsid w:val="003D4B69"/>
    <w:rsid w:val="003D4F08"/>
    <w:rsid w:val="003D4FAB"/>
    <w:rsid w:val="003D4FAD"/>
    <w:rsid w:val="003D5A6F"/>
    <w:rsid w:val="003D5CB9"/>
    <w:rsid w:val="003D5DB1"/>
    <w:rsid w:val="003D6062"/>
    <w:rsid w:val="003D61FE"/>
    <w:rsid w:val="003D656E"/>
    <w:rsid w:val="003D666D"/>
    <w:rsid w:val="003D6902"/>
    <w:rsid w:val="003D7321"/>
    <w:rsid w:val="003E014B"/>
    <w:rsid w:val="003E038A"/>
    <w:rsid w:val="003E0405"/>
    <w:rsid w:val="003E0CF9"/>
    <w:rsid w:val="003E1371"/>
    <w:rsid w:val="003E196A"/>
    <w:rsid w:val="003E2368"/>
    <w:rsid w:val="003E24CC"/>
    <w:rsid w:val="003E2717"/>
    <w:rsid w:val="003E3AC0"/>
    <w:rsid w:val="003E3C5D"/>
    <w:rsid w:val="003E3D78"/>
    <w:rsid w:val="003E3DBA"/>
    <w:rsid w:val="003E4571"/>
    <w:rsid w:val="003E48D0"/>
    <w:rsid w:val="003E4CE0"/>
    <w:rsid w:val="003E555E"/>
    <w:rsid w:val="003E559B"/>
    <w:rsid w:val="003E5954"/>
    <w:rsid w:val="003E5B22"/>
    <w:rsid w:val="003E621E"/>
    <w:rsid w:val="003E649A"/>
    <w:rsid w:val="003E7169"/>
    <w:rsid w:val="003E73D5"/>
    <w:rsid w:val="003E7558"/>
    <w:rsid w:val="003E7AA0"/>
    <w:rsid w:val="003F0B44"/>
    <w:rsid w:val="003F0BBC"/>
    <w:rsid w:val="003F1204"/>
    <w:rsid w:val="003F1FB2"/>
    <w:rsid w:val="003F1FCF"/>
    <w:rsid w:val="003F25D3"/>
    <w:rsid w:val="003F2651"/>
    <w:rsid w:val="003F2C8D"/>
    <w:rsid w:val="003F33D3"/>
    <w:rsid w:val="003F39B1"/>
    <w:rsid w:val="003F3E4C"/>
    <w:rsid w:val="003F3F14"/>
    <w:rsid w:val="003F4824"/>
    <w:rsid w:val="003F4AFE"/>
    <w:rsid w:val="003F5A11"/>
    <w:rsid w:val="003F5B77"/>
    <w:rsid w:val="003F61D7"/>
    <w:rsid w:val="003F6288"/>
    <w:rsid w:val="003F6714"/>
    <w:rsid w:val="003F6AD4"/>
    <w:rsid w:val="003F7008"/>
    <w:rsid w:val="003F70E0"/>
    <w:rsid w:val="003F7508"/>
    <w:rsid w:val="003F7C9B"/>
    <w:rsid w:val="003F7F1F"/>
    <w:rsid w:val="004003A2"/>
    <w:rsid w:val="00401185"/>
    <w:rsid w:val="00401CF2"/>
    <w:rsid w:val="0040211B"/>
    <w:rsid w:val="0040236B"/>
    <w:rsid w:val="00402635"/>
    <w:rsid w:val="0040265D"/>
    <w:rsid w:val="00402A43"/>
    <w:rsid w:val="00402AD3"/>
    <w:rsid w:val="00402FF5"/>
    <w:rsid w:val="0040305B"/>
    <w:rsid w:val="00403C9F"/>
    <w:rsid w:val="004045CC"/>
    <w:rsid w:val="00404638"/>
    <w:rsid w:val="004048DD"/>
    <w:rsid w:val="00404A27"/>
    <w:rsid w:val="00405453"/>
    <w:rsid w:val="00405739"/>
    <w:rsid w:val="00406853"/>
    <w:rsid w:val="00406988"/>
    <w:rsid w:val="00406A35"/>
    <w:rsid w:val="00406C0C"/>
    <w:rsid w:val="004075C4"/>
    <w:rsid w:val="004102A7"/>
    <w:rsid w:val="00410993"/>
    <w:rsid w:val="0041139A"/>
    <w:rsid w:val="004115D4"/>
    <w:rsid w:val="004123D9"/>
    <w:rsid w:val="004128F8"/>
    <w:rsid w:val="00412957"/>
    <w:rsid w:val="00412C02"/>
    <w:rsid w:val="00412D6D"/>
    <w:rsid w:val="0041367F"/>
    <w:rsid w:val="0041372D"/>
    <w:rsid w:val="00413E2B"/>
    <w:rsid w:val="00414537"/>
    <w:rsid w:val="004149C3"/>
    <w:rsid w:val="00414AB2"/>
    <w:rsid w:val="00415010"/>
    <w:rsid w:val="004156B6"/>
    <w:rsid w:val="00415B87"/>
    <w:rsid w:val="00415BBD"/>
    <w:rsid w:val="00415C97"/>
    <w:rsid w:val="00416058"/>
    <w:rsid w:val="004166CF"/>
    <w:rsid w:val="00416841"/>
    <w:rsid w:val="00416B17"/>
    <w:rsid w:val="004171A6"/>
    <w:rsid w:val="00417427"/>
    <w:rsid w:val="00417571"/>
    <w:rsid w:val="004178E6"/>
    <w:rsid w:val="00417AFB"/>
    <w:rsid w:val="0042013D"/>
    <w:rsid w:val="00422198"/>
    <w:rsid w:val="00422251"/>
    <w:rsid w:val="004222BC"/>
    <w:rsid w:val="004224B0"/>
    <w:rsid w:val="004231D5"/>
    <w:rsid w:val="00423217"/>
    <w:rsid w:val="00423BA0"/>
    <w:rsid w:val="004240E1"/>
    <w:rsid w:val="00424573"/>
    <w:rsid w:val="00424840"/>
    <w:rsid w:val="004249C4"/>
    <w:rsid w:val="00424A2A"/>
    <w:rsid w:val="004257CF"/>
    <w:rsid w:val="00425FE5"/>
    <w:rsid w:val="0042606A"/>
    <w:rsid w:val="0042606D"/>
    <w:rsid w:val="004261AD"/>
    <w:rsid w:val="00426324"/>
    <w:rsid w:val="00426902"/>
    <w:rsid w:val="00426951"/>
    <w:rsid w:val="00426A34"/>
    <w:rsid w:val="00426ADC"/>
    <w:rsid w:val="00426C50"/>
    <w:rsid w:val="00426D5B"/>
    <w:rsid w:val="00427068"/>
    <w:rsid w:val="0042727B"/>
    <w:rsid w:val="00427866"/>
    <w:rsid w:val="00430270"/>
    <w:rsid w:val="004302ED"/>
    <w:rsid w:val="00430375"/>
    <w:rsid w:val="004305B7"/>
    <w:rsid w:val="00430B18"/>
    <w:rsid w:val="00430B37"/>
    <w:rsid w:val="004311C5"/>
    <w:rsid w:val="0043139E"/>
    <w:rsid w:val="004319ED"/>
    <w:rsid w:val="00431A08"/>
    <w:rsid w:val="0043235B"/>
    <w:rsid w:val="0043242D"/>
    <w:rsid w:val="004325FF"/>
    <w:rsid w:val="00432848"/>
    <w:rsid w:val="0043284D"/>
    <w:rsid w:val="00432AC4"/>
    <w:rsid w:val="00432FC9"/>
    <w:rsid w:val="0043354B"/>
    <w:rsid w:val="00433A3D"/>
    <w:rsid w:val="00433AD8"/>
    <w:rsid w:val="00433CA1"/>
    <w:rsid w:val="00434E72"/>
    <w:rsid w:val="00435473"/>
    <w:rsid w:val="0043576B"/>
    <w:rsid w:val="004357B4"/>
    <w:rsid w:val="004359C5"/>
    <w:rsid w:val="00435F98"/>
    <w:rsid w:val="00435FE9"/>
    <w:rsid w:val="00436206"/>
    <w:rsid w:val="0043757A"/>
    <w:rsid w:val="00437582"/>
    <w:rsid w:val="0043788A"/>
    <w:rsid w:val="00440342"/>
    <w:rsid w:val="004406BD"/>
    <w:rsid w:val="004408D1"/>
    <w:rsid w:val="00440D4E"/>
    <w:rsid w:val="004414EF"/>
    <w:rsid w:val="00441977"/>
    <w:rsid w:val="00441B89"/>
    <w:rsid w:val="004424E6"/>
    <w:rsid w:val="00442518"/>
    <w:rsid w:val="0044299D"/>
    <w:rsid w:val="00442FCD"/>
    <w:rsid w:val="00444272"/>
    <w:rsid w:val="00444295"/>
    <w:rsid w:val="00444714"/>
    <w:rsid w:val="00444F94"/>
    <w:rsid w:val="00445696"/>
    <w:rsid w:val="00445B7E"/>
    <w:rsid w:val="00445BC4"/>
    <w:rsid w:val="00445E7B"/>
    <w:rsid w:val="004468C4"/>
    <w:rsid w:val="00447737"/>
    <w:rsid w:val="00447D0D"/>
    <w:rsid w:val="00450412"/>
    <w:rsid w:val="004504AA"/>
    <w:rsid w:val="00450C2E"/>
    <w:rsid w:val="00450DA2"/>
    <w:rsid w:val="004510EA"/>
    <w:rsid w:val="004515DA"/>
    <w:rsid w:val="00451618"/>
    <w:rsid w:val="00451A0B"/>
    <w:rsid w:val="004537A0"/>
    <w:rsid w:val="00453CC2"/>
    <w:rsid w:val="00453DB6"/>
    <w:rsid w:val="00453F33"/>
    <w:rsid w:val="00453F82"/>
    <w:rsid w:val="00454257"/>
    <w:rsid w:val="00454259"/>
    <w:rsid w:val="004551C0"/>
    <w:rsid w:val="004553BE"/>
    <w:rsid w:val="00456142"/>
    <w:rsid w:val="00456B62"/>
    <w:rsid w:val="00456EC6"/>
    <w:rsid w:val="00456F0B"/>
    <w:rsid w:val="00456F7D"/>
    <w:rsid w:val="004573EF"/>
    <w:rsid w:val="004573F5"/>
    <w:rsid w:val="0045752E"/>
    <w:rsid w:val="00457C7B"/>
    <w:rsid w:val="0046083D"/>
    <w:rsid w:val="00461564"/>
    <w:rsid w:val="00461937"/>
    <w:rsid w:val="004620A0"/>
    <w:rsid w:val="004620D1"/>
    <w:rsid w:val="004624D5"/>
    <w:rsid w:val="0046275B"/>
    <w:rsid w:val="00463479"/>
    <w:rsid w:val="0046375A"/>
    <w:rsid w:val="004638D4"/>
    <w:rsid w:val="00463C52"/>
    <w:rsid w:val="00463D90"/>
    <w:rsid w:val="0046412D"/>
    <w:rsid w:val="00464135"/>
    <w:rsid w:val="004644C4"/>
    <w:rsid w:val="00464D47"/>
    <w:rsid w:val="0046503C"/>
    <w:rsid w:val="0046520D"/>
    <w:rsid w:val="004652F0"/>
    <w:rsid w:val="00465643"/>
    <w:rsid w:val="00465759"/>
    <w:rsid w:val="00465CFA"/>
    <w:rsid w:val="00465DA9"/>
    <w:rsid w:val="004667CC"/>
    <w:rsid w:val="004668D2"/>
    <w:rsid w:val="00466A61"/>
    <w:rsid w:val="00467114"/>
    <w:rsid w:val="00467529"/>
    <w:rsid w:val="0046754B"/>
    <w:rsid w:val="0047019B"/>
    <w:rsid w:val="004707A5"/>
    <w:rsid w:val="00470E87"/>
    <w:rsid w:val="00471DEF"/>
    <w:rsid w:val="00472065"/>
    <w:rsid w:val="004727AC"/>
    <w:rsid w:val="004730C6"/>
    <w:rsid w:val="004730DF"/>
    <w:rsid w:val="0047339D"/>
    <w:rsid w:val="0047366A"/>
    <w:rsid w:val="00473E7F"/>
    <w:rsid w:val="004740B2"/>
    <w:rsid w:val="0047469B"/>
    <w:rsid w:val="00474946"/>
    <w:rsid w:val="00475A18"/>
    <w:rsid w:val="00475A78"/>
    <w:rsid w:val="00475D25"/>
    <w:rsid w:val="00476825"/>
    <w:rsid w:val="00476AAD"/>
    <w:rsid w:val="00476F56"/>
    <w:rsid w:val="0047703A"/>
    <w:rsid w:val="00477200"/>
    <w:rsid w:val="004773DA"/>
    <w:rsid w:val="004776A6"/>
    <w:rsid w:val="00477FFD"/>
    <w:rsid w:val="0048000F"/>
    <w:rsid w:val="00480332"/>
    <w:rsid w:val="0048098A"/>
    <w:rsid w:val="004813F4"/>
    <w:rsid w:val="0048206D"/>
    <w:rsid w:val="00482387"/>
    <w:rsid w:val="00482A83"/>
    <w:rsid w:val="00483D55"/>
    <w:rsid w:val="00484023"/>
    <w:rsid w:val="0048418C"/>
    <w:rsid w:val="00484323"/>
    <w:rsid w:val="004844C5"/>
    <w:rsid w:val="00484B3B"/>
    <w:rsid w:val="00484C1E"/>
    <w:rsid w:val="00485A4C"/>
    <w:rsid w:val="00485DFE"/>
    <w:rsid w:val="00485E4F"/>
    <w:rsid w:val="00485F56"/>
    <w:rsid w:val="00485FC8"/>
    <w:rsid w:val="00486663"/>
    <w:rsid w:val="00486D9D"/>
    <w:rsid w:val="0048731C"/>
    <w:rsid w:val="00487E3F"/>
    <w:rsid w:val="00490282"/>
    <w:rsid w:val="0049046F"/>
    <w:rsid w:val="0049054B"/>
    <w:rsid w:val="004907D8"/>
    <w:rsid w:val="00491092"/>
    <w:rsid w:val="0049131A"/>
    <w:rsid w:val="004914E1"/>
    <w:rsid w:val="00491546"/>
    <w:rsid w:val="0049159C"/>
    <w:rsid w:val="004916FC"/>
    <w:rsid w:val="00491908"/>
    <w:rsid w:val="00492767"/>
    <w:rsid w:val="004937A7"/>
    <w:rsid w:val="00493FD1"/>
    <w:rsid w:val="004941A0"/>
    <w:rsid w:val="00494607"/>
    <w:rsid w:val="00494B27"/>
    <w:rsid w:val="00494E5B"/>
    <w:rsid w:val="00494EA1"/>
    <w:rsid w:val="0049515E"/>
    <w:rsid w:val="00495905"/>
    <w:rsid w:val="00496166"/>
    <w:rsid w:val="00496613"/>
    <w:rsid w:val="00496F0E"/>
    <w:rsid w:val="00497353"/>
    <w:rsid w:val="0049738C"/>
    <w:rsid w:val="00497406"/>
    <w:rsid w:val="004975ED"/>
    <w:rsid w:val="00497659"/>
    <w:rsid w:val="004A0308"/>
    <w:rsid w:val="004A0372"/>
    <w:rsid w:val="004A03BF"/>
    <w:rsid w:val="004A05B9"/>
    <w:rsid w:val="004A0A25"/>
    <w:rsid w:val="004A0C51"/>
    <w:rsid w:val="004A125F"/>
    <w:rsid w:val="004A166D"/>
    <w:rsid w:val="004A1B24"/>
    <w:rsid w:val="004A1EF4"/>
    <w:rsid w:val="004A20DC"/>
    <w:rsid w:val="004A2BD3"/>
    <w:rsid w:val="004A2F2B"/>
    <w:rsid w:val="004A2FA8"/>
    <w:rsid w:val="004A3946"/>
    <w:rsid w:val="004A4BA2"/>
    <w:rsid w:val="004A4EAC"/>
    <w:rsid w:val="004A50D2"/>
    <w:rsid w:val="004A55CE"/>
    <w:rsid w:val="004A5696"/>
    <w:rsid w:val="004A57CE"/>
    <w:rsid w:val="004A5B6B"/>
    <w:rsid w:val="004A60F1"/>
    <w:rsid w:val="004A678D"/>
    <w:rsid w:val="004A69B6"/>
    <w:rsid w:val="004A6BD1"/>
    <w:rsid w:val="004A704E"/>
    <w:rsid w:val="004A7555"/>
    <w:rsid w:val="004A7719"/>
    <w:rsid w:val="004A785C"/>
    <w:rsid w:val="004A7BAD"/>
    <w:rsid w:val="004B02C3"/>
    <w:rsid w:val="004B08D9"/>
    <w:rsid w:val="004B0B81"/>
    <w:rsid w:val="004B1226"/>
    <w:rsid w:val="004B17DD"/>
    <w:rsid w:val="004B19C6"/>
    <w:rsid w:val="004B1D1A"/>
    <w:rsid w:val="004B26FB"/>
    <w:rsid w:val="004B293F"/>
    <w:rsid w:val="004B2EDB"/>
    <w:rsid w:val="004B2F3B"/>
    <w:rsid w:val="004B31D2"/>
    <w:rsid w:val="004B3396"/>
    <w:rsid w:val="004B3765"/>
    <w:rsid w:val="004B3997"/>
    <w:rsid w:val="004B3A8D"/>
    <w:rsid w:val="004B3BD9"/>
    <w:rsid w:val="004B3BF7"/>
    <w:rsid w:val="004B4014"/>
    <w:rsid w:val="004B41CC"/>
    <w:rsid w:val="004B4727"/>
    <w:rsid w:val="004B4F92"/>
    <w:rsid w:val="004B51AD"/>
    <w:rsid w:val="004B53F3"/>
    <w:rsid w:val="004B56A6"/>
    <w:rsid w:val="004B56FD"/>
    <w:rsid w:val="004B6172"/>
    <w:rsid w:val="004B6452"/>
    <w:rsid w:val="004B6495"/>
    <w:rsid w:val="004B6FB7"/>
    <w:rsid w:val="004C0301"/>
    <w:rsid w:val="004C0360"/>
    <w:rsid w:val="004C10ED"/>
    <w:rsid w:val="004C1A38"/>
    <w:rsid w:val="004C1AAB"/>
    <w:rsid w:val="004C1FE3"/>
    <w:rsid w:val="004C2A13"/>
    <w:rsid w:val="004C35D0"/>
    <w:rsid w:val="004C3937"/>
    <w:rsid w:val="004C3FD2"/>
    <w:rsid w:val="004C47F3"/>
    <w:rsid w:val="004C4E07"/>
    <w:rsid w:val="004C4E65"/>
    <w:rsid w:val="004C5070"/>
    <w:rsid w:val="004C5846"/>
    <w:rsid w:val="004C5959"/>
    <w:rsid w:val="004C59B8"/>
    <w:rsid w:val="004C5B35"/>
    <w:rsid w:val="004C5DDC"/>
    <w:rsid w:val="004C5E29"/>
    <w:rsid w:val="004C67C7"/>
    <w:rsid w:val="004C6917"/>
    <w:rsid w:val="004C694E"/>
    <w:rsid w:val="004C6B8C"/>
    <w:rsid w:val="004C76FF"/>
    <w:rsid w:val="004C7E96"/>
    <w:rsid w:val="004C7EE2"/>
    <w:rsid w:val="004D028A"/>
    <w:rsid w:val="004D031E"/>
    <w:rsid w:val="004D0744"/>
    <w:rsid w:val="004D1042"/>
    <w:rsid w:val="004D1073"/>
    <w:rsid w:val="004D1B9D"/>
    <w:rsid w:val="004D1C01"/>
    <w:rsid w:val="004D2C6E"/>
    <w:rsid w:val="004D2ED6"/>
    <w:rsid w:val="004D30FA"/>
    <w:rsid w:val="004D3758"/>
    <w:rsid w:val="004D40C7"/>
    <w:rsid w:val="004D4117"/>
    <w:rsid w:val="004D524A"/>
    <w:rsid w:val="004D5513"/>
    <w:rsid w:val="004D5B11"/>
    <w:rsid w:val="004D6BD8"/>
    <w:rsid w:val="004D6C91"/>
    <w:rsid w:val="004D7849"/>
    <w:rsid w:val="004D78E9"/>
    <w:rsid w:val="004D7AE0"/>
    <w:rsid w:val="004D7F13"/>
    <w:rsid w:val="004E0F87"/>
    <w:rsid w:val="004E1C3A"/>
    <w:rsid w:val="004E1EAD"/>
    <w:rsid w:val="004E1FBC"/>
    <w:rsid w:val="004E234D"/>
    <w:rsid w:val="004E2854"/>
    <w:rsid w:val="004E3BC7"/>
    <w:rsid w:val="004E4030"/>
    <w:rsid w:val="004E419E"/>
    <w:rsid w:val="004E4536"/>
    <w:rsid w:val="004E4987"/>
    <w:rsid w:val="004E4F87"/>
    <w:rsid w:val="004E51DE"/>
    <w:rsid w:val="004E54D8"/>
    <w:rsid w:val="004E5659"/>
    <w:rsid w:val="004E5D1C"/>
    <w:rsid w:val="004E5F2A"/>
    <w:rsid w:val="004E5FA3"/>
    <w:rsid w:val="004E5FF8"/>
    <w:rsid w:val="004E617E"/>
    <w:rsid w:val="004E61AC"/>
    <w:rsid w:val="004E723E"/>
    <w:rsid w:val="004E741E"/>
    <w:rsid w:val="004E7753"/>
    <w:rsid w:val="004E7F43"/>
    <w:rsid w:val="004F01A2"/>
    <w:rsid w:val="004F02D7"/>
    <w:rsid w:val="004F0326"/>
    <w:rsid w:val="004F0331"/>
    <w:rsid w:val="004F03A9"/>
    <w:rsid w:val="004F05EF"/>
    <w:rsid w:val="004F17A3"/>
    <w:rsid w:val="004F18EB"/>
    <w:rsid w:val="004F19E6"/>
    <w:rsid w:val="004F1A10"/>
    <w:rsid w:val="004F30AE"/>
    <w:rsid w:val="004F3BEE"/>
    <w:rsid w:val="004F4117"/>
    <w:rsid w:val="004F4161"/>
    <w:rsid w:val="004F4296"/>
    <w:rsid w:val="004F452E"/>
    <w:rsid w:val="004F5AC2"/>
    <w:rsid w:val="004F5C2F"/>
    <w:rsid w:val="004F5F52"/>
    <w:rsid w:val="004F641D"/>
    <w:rsid w:val="004F64A1"/>
    <w:rsid w:val="004F6BEB"/>
    <w:rsid w:val="004F6FEB"/>
    <w:rsid w:val="004F780C"/>
    <w:rsid w:val="004F782C"/>
    <w:rsid w:val="004F7B28"/>
    <w:rsid w:val="00500263"/>
    <w:rsid w:val="00500DA4"/>
    <w:rsid w:val="00500FBC"/>
    <w:rsid w:val="005012C6"/>
    <w:rsid w:val="005018D2"/>
    <w:rsid w:val="0050193D"/>
    <w:rsid w:val="005019DF"/>
    <w:rsid w:val="00501B6A"/>
    <w:rsid w:val="00501B7D"/>
    <w:rsid w:val="00501C1C"/>
    <w:rsid w:val="00501D79"/>
    <w:rsid w:val="00502C6B"/>
    <w:rsid w:val="00502CB4"/>
    <w:rsid w:val="0050313D"/>
    <w:rsid w:val="00503B2C"/>
    <w:rsid w:val="00503CE9"/>
    <w:rsid w:val="00503E92"/>
    <w:rsid w:val="00503FF0"/>
    <w:rsid w:val="00504354"/>
    <w:rsid w:val="005044DC"/>
    <w:rsid w:val="00504998"/>
    <w:rsid w:val="00504B68"/>
    <w:rsid w:val="005058EA"/>
    <w:rsid w:val="00505ECC"/>
    <w:rsid w:val="005060BC"/>
    <w:rsid w:val="00506270"/>
    <w:rsid w:val="0050691D"/>
    <w:rsid w:val="00506FD7"/>
    <w:rsid w:val="00507361"/>
    <w:rsid w:val="00507AF2"/>
    <w:rsid w:val="00507E34"/>
    <w:rsid w:val="00507E45"/>
    <w:rsid w:val="0051029F"/>
    <w:rsid w:val="00510657"/>
    <w:rsid w:val="00510A00"/>
    <w:rsid w:val="00511216"/>
    <w:rsid w:val="005117EE"/>
    <w:rsid w:val="00511F7B"/>
    <w:rsid w:val="00514106"/>
    <w:rsid w:val="00514822"/>
    <w:rsid w:val="00515098"/>
    <w:rsid w:val="00515530"/>
    <w:rsid w:val="00515ACC"/>
    <w:rsid w:val="005164B3"/>
    <w:rsid w:val="00516989"/>
    <w:rsid w:val="00516CBA"/>
    <w:rsid w:val="00516F67"/>
    <w:rsid w:val="005174F3"/>
    <w:rsid w:val="00517932"/>
    <w:rsid w:val="00517E1C"/>
    <w:rsid w:val="00520271"/>
    <w:rsid w:val="0052073A"/>
    <w:rsid w:val="00520976"/>
    <w:rsid w:val="00520B29"/>
    <w:rsid w:val="00520CF7"/>
    <w:rsid w:val="00520F1A"/>
    <w:rsid w:val="005210B7"/>
    <w:rsid w:val="005211A8"/>
    <w:rsid w:val="005212F7"/>
    <w:rsid w:val="005212FC"/>
    <w:rsid w:val="0052136F"/>
    <w:rsid w:val="005223DF"/>
    <w:rsid w:val="005229DC"/>
    <w:rsid w:val="00522FCC"/>
    <w:rsid w:val="0052328E"/>
    <w:rsid w:val="005241B3"/>
    <w:rsid w:val="00524770"/>
    <w:rsid w:val="00524C3E"/>
    <w:rsid w:val="00524D37"/>
    <w:rsid w:val="00524E9C"/>
    <w:rsid w:val="005250DA"/>
    <w:rsid w:val="005251EB"/>
    <w:rsid w:val="00525584"/>
    <w:rsid w:val="005264C5"/>
    <w:rsid w:val="00526E5D"/>
    <w:rsid w:val="00526FDB"/>
    <w:rsid w:val="005279B7"/>
    <w:rsid w:val="00527C09"/>
    <w:rsid w:val="00527F8C"/>
    <w:rsid w:val="005300C2"/>
    <w:rsid w:val="0053097A"/>
    <w:rsid w:val="005311E2"/>
    <w:rsid w:val="0053134F"/>
    <w:rsid w:val="0053154F"/>
    <w:rsid w:val="005315AA"/>
    <w:rsid w:val="005315CC"/>
    <w:rsid w:val="00532FF0"/>
    <w:rsid w:val="00533046"/>
    <w:rsid w:val="0053314F"/>
    <w:rsid w:val="00533CE4"/>
    <w:rsid w:val="005342C3"/>
    <w:rsid w:val="00534300"/>
    <w:rsid w:val="00534A52"/>
    <w:rsid w:val="00534F14"/>
    <w:rsid w:val="00535DB3"/>
    <w:rsid w:val="00536390"/>
    <w:rsid w:val="00536714"/>
    <w:rsid w:val="00536DA6"/>
    <w:rsid w:val="005372CD"/>
    <w:rsid w:val="00537328"/>
    <w:rsid w:val="00540A41"/>
    <w:rsid w:val="00540F1E"/>
    <w:rsid w:val="005413DF"/>
    <w:rsid w:val="0054184A"/>
    <w:rsid w:val="00543344"/>
    <w:rsid w:val="005434A0"/>
    <w:rsid w:val="00543E6C"/>
    <w:rsid w:val="00544433"/>
    <w:rsid w:val="00544897"/>
    <w:rsid w:val="00544A94"/>
    <w:rsid w:val="00544CFC"/>
    <w:rsid w:val="00544D67"/>
    <w:rsid w:val="005452DD"/>
    <w:rsid w:val="00545831"/>
    <w:rsid w:val="005463F0"/>
    <w:rsid w:val="00546D89"/>
    <w:rsid w:val="00546D90"/>
    <w:rsid w:val="00546FB3"/>
    <w:rsid w:val="005472E1"/>
    <w:rsid w:val="005476C0"/>
    <w:rsid w:val="00547C59"/>
    <w:rsid w:val="005506A1"/>
    <w:rsid w:val="005508DF"/>
    <w:rsid w:val="0055094E"/>
    <w:rsid w:val="00550B4C"/>
    <w:rsid w:val="00550C09"/>
    <w:rsid w:val="00550C8E"/>
    <w:rsid w:val="005515C6"/>
    <w:rsid w:val="005516F9"/>
    <w:rsid w:val="00551860"/>
    <w:rsid w:val="00552116"/>
    <w:rsid w:val="00552535"/>
    <w:rsid w:val="00552855"/>
    <w:rsid w:val="00552AAC"/>
    <w:rsid w:val="00552BD8"/>
    <w:rsid w:val="00552F3D"/>
    <w:rsid w:val="00553278"/>
    <w:rsid w:val="005532C4"/>
    <w:rsid w:val="005533B0"/>
    <w:rsid w:val="0055373D"/>
    <w:rsid w:val="00553D6F"/>
    <w:rsid w:val="00553F8A"/>
    <w:rsid w:val="00554037"/>
    <w:rsid w:val="005551C3"/>
    <w:rsid w:val="00555ED6"/>
    <w:rsid w:val="00555F0B"/>
    <w:rsid w:val="005566AB"/>
    <w:rsid w:val="00556B3C"/>
    <w:rsid w:val="00556CB0"/>
    <w:rsid w:val="00557275"/>
    <w:rsid w:val="005572DC"/>
    <w:rsid w:val="00557349"/>
    <w:rsid w:val="00557442"/>
    <w:rsid w:val="005579EE"/>
    <w:rsid w:val="00560149"/>
    <w:rsid w:val="00560364"/>
    <w:rsid w:val="00560E0B"/>
    <w:rsid w:val="00561168"/>
    <w:rsid w:val="005611C2"/>
    <w:rsid w:val="00561211"/>
    <w:rsid w:val="005613CF"/>
    <w:rsid w:val="00561A32"/>
    <w:rsid w:val="005621EC"/>
    <w:rsid w:val="0056227D"/>
    <w:rsid w:val="005625F4"/>
    <w:rsid w:val="005631E8"/>
    <w:rsid w:val="00563221"/>
    <w:rsid w:val="00563A92"/>
    <w:rsid w:val="00563C1F"/>
    <w:rsid w:val="00564110"/>
    <w:rsid w:val="005641A7"/>
    <w:rsid w:val="00564230"/>
    <w:rsid w:val="0056424C"/>
    <w:rsid w:val="005647ED"/>
    <w:rsid w:val="00564FB9"/>
    <w:rsid w:val="00564FE1"/>
    <w:rsid w:val="00565193"/>
    <w:rsid w:val="005653AB"/>
    <w:rsid w:val="005666CD"/>
    <w:rsid w:val="00566A02"/>
    <w:rsid w:val="00566C49"/>
    <w:rsid w:val="00566EC5"/>
    <w:rsid w:val="00567272"/>
    <w:rsid w:val="00570B0A"/>
    <w:rsid w:val="00570FC2"/>
    <w:rsid w:val="005715F2"/>
    <w:rsid w:val="00571F2D"/>
    <w:rsid w:val="00571F95"/>
    <w:rsid w:val="00572241"/>
    <w:rsid w:val="005722E9"/>
    <w:rsid w:val="0057279C"/>
    <w:rsid w:val="00572A06"/>
    <w:rsid w:val="00572C8A"/>
    <w:rsid w:val="0057314E"/>
    <w:rsid w:val="00573205"/>
    <w:rsid w:val="0057364B"/>
    <w:rsid w:val="005739FB"/>
    <w:rsid w:val="00573E7B"/>
    <w:rsid w:val="00574116"/>
    <w:rsid w:val="00574BFD"/>
    <w:rsid w:val="00574CE9"/>
    <w:rsid w:val="0057510C"/>
    <w:rsid w:val="00575AD3"/>
    <w:rsid w:val="00575CBB"/>
    <w:rsid w:val="00575EC8"/>
    <w:rsid w:val="00576B6D"/>
    <w:rsid w:val="00576EB3"/>
    <w:rsid w:val="00577404"/>
    <w:rsid w:val="00577923"/>
    <w:rsid w:val="00577CFF"/>
    <w:rsid w:val="00580E56"/>
    <w:rsid w:val="00580F63"/>
    <w:rsid w:val="0058140C"/>
    <w:rsid w:val="0058165F"/>
    <w:rsid w:val="00581931"/>
    <w:rsid w:val="00581B50"/>
    <w:rsid w:val="00582588"/>
    <w:rsid w:val="00582C01"/>
    <w:rsid w:val="00582D3C"/>
    <w:rsid w:val="005840C3"/>
    <w:rsid w:val="005840C6"/>
    <w:rsid w:val="00585110"/>
    <w:rsid w:val="0058592C"/>
    <w:rsid w:val="00586116"/>
    <w:rsid w:val="00586449"/>
    <w:rsid w:val="00586851"/>
    <w:rsid w:val="00586CD1"/>
    <w:rsid w:val="00586DB1"/>
    <w:rsid w:val="00587017"/>
    <w:rsid w:val="005870F7"/>
    <w:rsid w:val="005875CB"/>
    <w:rsid w:val="00587A9F"/>
    <w:rsid w:val="00587C4F"/>
    <w:rsid w:val="00587D65"/>
    <w:rsid w:val="00587D78"/>
    <w:rsid w:val="00587DC3"/>
    <w:rsid w:val="0059034E"/>
    <w:rsid w:val="005903A2"/>
    <w:rsid w:val="005906A5"/>
    <w:rsid w:val="00590CB3"/>
    <w:rsid w:val="00590F50"/>
    <w:rsid w:val="00591402"/>
    <w:rsid w:val="0059173E"/>
    <w:rsid w:val="0059367B"/>
    <w:rsid w:val="00593DDB"/>
    <w:rsid w:val="005945B1"/>
    <w:rsid w:val="0059495F"/>
    <w:rsid w:val="005958A0"/>
    <w:rsid w:val="005958FC"/>
    <w:rsid w:val="00595E58"/>
    <w:rsid w:val="0059639F"/>
    <w:rsid w:val="0059670D"/>
    <w:rsid w:val="00596839"/>
    <w:rsid w:val="005970FD"/>
    <w:rsid w:val="005971EE"/>
    <w:rsid w:val="0059773F"/>
    <w:rsid w:val="00597DE6"/>
    <w:rsid w:val="005A0560"/>
    <w:rsid w:val="005A07B6"/>
    <w:rsid w:val="005A0950"/>
    <w:rsid w:val="005A0BD1"/>
    <w:rsid w:val="005A0D4A"/>
    <w:rsid w:val="005A18DF"/>
    <w:rsid w:val="005A20CE"/>
    <w:rsid w:val="005A20ED"/>
    <w:rsid w:val="005A23F8"/>
    <w:rsid w:val="005A2535"/>
    <w:rsid w:val="005A2AAB"/>
    <w:rsid w:val="005A2B38"/>
    <w:rsid w:val="005A2C9B"/>
    <w:rsid w:val="005A2EFA"/>
    <w:rsid w:val="005A3372"/>
    <w:rsid w:val="005A3640"/>
    <w:rsid w:val="005A4B5B"/>
    <w:rsid w:val="005A4CE2"/>
    <w:rsid w:val="005A5012"/>
    <w:rsid w:val="005A5116"/>
    <w:rsid w:val="005A554D"/>
    <w:rsid w:val="005A59EB"/>
    <w:rsid w:val="005A5D59"/>
    <w:rsid w:val="005A601B"/>
    <w:rsid w:val="005A6830"/>
    <w:rsid w:val="005A6CA3"/>
    <w:rsid w:val="005A6F5C"/>
    <w:rsid w:val="005A7EDB"/>
    <w:rsid w:val="005B0195"/>
    <w:rsid w:val="005B08A7"/>
    <w:rsid w:val="005B11CF"/>
    <w:rsid w:val="005B12C1"/>
    <w:rsid w:val="005B1BB5"/>
    <w:rsid w:val="005B1D17"/>
    <w:rsid w:val="005B1EFA"/>
    <w:rsid w:val="005B22E8"/>
    <w:rsid w:val="005B2828"/>
    <w:rsid w:val="005B2D1C"/>
    <w:rsid w:val="005B324C"/>
    <w:rsid w:val="005B3725"/>
    <w:rsid w:val="005B3BA8"/>
    <w:rsid w:val="005B3E6A"/>
    <w:rsid w:val="005B4260"/>
    <w:rsid w:val="005B470A"/>
    <w:rsid w:val="005B4D2B"/>
    <w:rsid w:val="005B52B4"/>
    <w:rsid w:val="005B534D"/>
    <w:rsid w:val="005B54F6"/>
    <w:rsid w:val="005B5505"/>
    <w:rsid w:val="005B59D9"/>
    <w:rsid w:val="005B5DC1"/>
    <w:rsid w:val="005B5F6B"/>
    <w:rsid w:val="005B6026"/>
    <w:rsid w:val="005B64AF"/>
    <w:rsid w:val="005B6597"/>
    <w:rsid w:val="005B6695"/>
    <w:rsid w:val="005B6B12"/>
    <w:rsid w:val="005B6BF6"/>
    <w:rsid w:val="005B76F0"/>
    <w:rsid w:val="005B7B88"/>
    <w:rsid w:val="005C0061"/>
    <w:rsid w:val="005C03CA"/>
    <w:rsid w:val="005C0DB8"/>
    <w:rsid w:val="005C0EF0"/>
    <w:rsid w:val="005C12B2"/>
    <w:rsid w:val="005C1E6C"/>
    <w:rsid w:val="005C217D"/>
    <w:rsid w:val="005C30F3"/>
    <w:rsid w:val="005C3690"/>
    <w:rsid w:val="005C36DC"/>
    <w:rsid w:val="005C3848"/>
    <w:rsid w:val="005C38AE"/>
    <w:rsid w:val="005C393F"/>
    <w:rsid w:val="005C4107"/>
    <w:rsid w:val="005C4703"/>
    <w:rsid w:val="005C493D"/>
    <w:rsid w:val="005C51C5"/>
    <w:rsid w:val="005C53F5"/>
    <w:rsid w:val="005C56A5"/>
    <w:rsid w:val="005C56B4"/>
    <w:rsid w:val="005C56F8"/>
    <w:rsid w:val="005C578B"/>
    <w:rsid w:val="005C58B7"/>
    <w:rsid w:val="005C69EB"/>
    <w:rsid w:val="005C74FA"/>
    <w:rsid w:val="005C77B6"/>
    <w:rsid w:val="005D00D3"/>
    <w:rsid w:val="005D031C"/>
    <w:rsid w:val="005D0A1B"/>
    <w:rsid w:val="005D1C27"/>
    <w:rsid w:val="005D2929"/>
    <w:rsid w:val="005D3263"/>
    <w:rsid w:val="005D34F5"/>
    <w:rsid w:val="005D3EA5"/>
    <w:rsid w:val="005D3EEC"/>
    <w:rsid w:val="005D413D"/>
    <w:rsid w:val="005D418E"/>
    <w:rsid w:val="005D4572"/>
    <w:rsid w:val="005D45AE"/>
    <w:rsid w:val="005D5323"/>
    <w:rsid w:val="005D556B"/>
    <w:rsid w:val="005D5AA2"/>
    <w:rsid w:val="005D5CB0"/>
    <w:rsid w:val="005D6306"/>
    <w:rsid w:val="005D6872"/>
    <w:rsid w:val="005D6CB3"/>
    <w:rsid w:val="005D6D5C"/>
    <w:rsid w:val="005D71F4"/>
    <w:rsid w:val="005D73CB"/>
    <w:rsid w:val="005D76A3"/>
    <w:rsid w:val="005E0161"/>
    <w:rsid w:val="005E0181"/>
    <w:rsid w:val="005E097C"/>
    <w:rsid w:val="005E169A"/>
    <w:rsid w:val="005E18BB"/>
    <w:rsid w:val="005E1D11"/>
    <w:rsid w:val="005E256B"/>
    <w:rsid w:val="005E2930"/>
    <w:rsid w:val="005E2DDB"/>
    <w:rsid w:val="005E2E82"/>
    <w:rsid w:val="005E33FB"/>
    <w:rsid w:val="005E3428"/>
    <w:rsid w:val="005E3E68"/>
    <w:rsid w:val="005E3ED1"/>
    <w:rsid w:val="005E3FD9"/>
    <w:rsid w:val="005E412D"/>
    <w:rsid w:val="005E4732"/>
    <w:rsid w:val="005E4D29"/>
    <w:rsid w:val="005E5E9E"/>
    <w:rsid w:val="005E6C4A"/>
    <w:rsid w:val="005E6DE4"/>
    <w:rsid w:val="005E7421"/>
    <w:rsid w:val="005E74F1"/>
    <w:rsid w:val="005E753A"/>
    <w:rsid w:val="005E7887"/>
    <w:rsid w:val="005F002F"/>
    <w:rsid w:val="005F00EA"/>
    <w:rsid w:val="005F0102"/>
    <w:rsid w:val="005F03A7"/>
    <w:rsid w:val="005F0867"/>
    <w:rsid w:val="005F091E"/>
    <w:rsid w:val="005F09F1"/>
    <w:rsid w:val="005F0F25"/>
    <w:rsid w:val="005F10B1"/>
    <w:rsid w:val="005F1194"/>
    <w:rsid w:val="005F15FE"/>
    <w:rsid w:val="005F1C84"/>
    <w:rsid w:val="005F244B"/>
    <w:rsid w:val="005F28E9"/>
    <w:rsid w:val="005F32BC"/>
    <w:rsid w:val="005F32FB"/>
    <w:rsid w:val="005F37AE"/>
    <w:rsid w:val="005F37FB"/>
    <w:rsid w:val="005F3BBA"/>
    <w:rsid w:val="005F4337"/>
    <w:rsid w:val="005F49ED"/>
    <w:rsid w:val="005F4CCD"/>
    <w:rsid w:val="005F4E6E"/>
    <w:rsid w:val="005F4E92"/>
    <w:rsid w:val="005F50D8"/>
    <w:rsid w:val="005F5760"/>
    <w:rsid w:val="005F58D7"/>
    <w:rsid w:val="005F59C5"/>
    <w:rsid w:val="005F59EC"/>
    <w:rsid w:val="005F5BEC"/>
    <w:rsid w:val="005F6233"/>
    <w:rsid w:val="005F6510"/>
    <w:rsid w:val="005F68E0"/>
    <w:rsid w:val="005F6AAE"/>
    <w:rsid w:val="005F7491"/>
    <w:rsid w:val="005F7800"/>
    <w:rsid w:val="006014B2"/>
    <w:rsid w:val="00601C34"/>
    <w:rsid w:val="006035B0"/>
    <w:rsid w:val="00604082"/>
    <w:rsid w:val="006042FF"/>
    <w:rsid w:val="006045A7"/>
    <w:rsid w:val="006045B5"/>
    <w:rsid w:val="00604826"/>
    <w:rsid w:val="00604890"/>
    <w:rsid w:val="006057B4"/>
    <w:rsid w:val="00605A19"/>
    <w:rsid w:val="00605D4D"/>
    <w:rsid w:val="006064CF"/>
    <w:rsid w:val="006067B5"/>
    <w:rsid w:val="00606BC7"/>
    <w:rsid w:val="00606C6D"/>
    <w:rsid w:val="00607B16"/>
    <w:rsid w:val="00607B3D"/>
    <w:rsid w:val="006101EB"/>
    <w:rsid w:val="00610410"/>
    <w:rsid w:val="00610796"/>
    <w:rsid w:val="00610943"/>
    <w:rsid w:val="00610A03"/>
    <w:rsid w:val="00610B07"/>
    <w:rsid w:val="00610E14"/>
    <w:rsid w:val="0061103E"/>
    <w:rsid w:val="0061114B"/>
    <w:rsid w:val="006111CC"/>
    <w:rsid w:val="006118FF"/>
    <w:rsid w:val="00611988"/>
    <w:rsid w:val="00611B42"/>
    <w:rsid w:val="00612216"/>
    <w:rsid w:val="0061233E"/>
    <w:rsid w:val="00612B0F"/>
    <w:rsid w:val="00612C4A"/>
    <w:rsid w:val="00612E1B"/>
    <w:rsid w:val="006132B3"/>
    <w:rsid w:val="006132F6"/>
    <w:rsid w:val="0061383F"/>
    <w:rsid w:val="00613915"/>
    <w:rsid w:val="00613997"/>
    <w:rsid w:val="00613BEA"/>
    <w:rsid w:val="00613F86"/>
    <w:rsid w:val="0061413F"/>
    <w:rsid w:val="00614230"/>
    <w:rsid w:val="006143EF"/>
    <w:rsid w:val="006145AA"/>
    <w:rsid w:val="00614678"/>
    <w:rsid w:val="00614C56"/>
    <w:rsid w:val="00614F67"/>
    <w:rsid w:val="0061557B"/>
    <w:rsid w:val="00615EC7"/>
    <w:rsid w:val="006168B5"/>
    <w:rsid w:val="00617CA1"/>
    <w:rsid w:val="00617D5D"/>
    <w:rsid w:val="0062012F"/>
    <w:rsid w:val="00620238"/>
    <w:rsid w:val="006203BE"/>
    <w:rsid w:val="0062182D"/>
    <w:rsid w:val="00621C85"/>
    <w:rsid w:val="00621DF5"/>
    <w:rsid w:val="00622240"/>
    <w:rsid w:val="006223C3"/>
    <w:rsid w:val="00622A73"/>
    <w:rsid w:val="00622F0B"/>
    <w:rsid w:val="00623868"/>
    <w:rsid w:val="00623A46"/>
    <w:rsid w:val="006245EB"/>
    <w:rsid w:val="00624A50"/>
    <w:rsid w:val="00624BB9"/>
    <w:rsid w:val="006250A4"/>
    <w:rsid w:val="00625B11"/>
    <w:rsid w:val="0062601B"/>
    <w:rsid w:val="0062631D"/>
    <w:rsid w:val="006263CE"/>
    <w:rsid w:val="00626CA4"/>
    <w:rsid w:val="00626D32"/>
    <w:rsid w:val="0062734D"/>
    <w:rsid w:val="00627D59"/>
    <w:rsid w:val="00630165"/>
    <w:rsid w:val="0063138F"/>
    <w:rsid w:val="006316DD"/>
    <w:rsid w:val="006318DC"/>
    <w:rsid w:val="006322E2"/>
    <w:rsid w:val="006334B4"/>
    <w:rsid w:val="006336E9"/>
    <w:rsid w:val="00633911"/>
    <w:rsid w:val="00633A87"/>
    <w:rsid w:val="00633B2B"/>
    <w:rsid w:val="00634A85"/>
    <w:rsid w:val="00634EC4"/>
    <w:rsid w:val="00635347"/>
    <w:rsid w:val="00635439"/>
    <w:rsid w:val="0063565E"/>
    <w:rsid w:val="00635A12"/>
    <w:rsid w:val="00635BCA"/>
    <w:rsid w:val="00635DDF"/>
    <w:rsid w:val="00636458"/>
    <w:rsid w:val="00636533"/>
    <w:rsid w:val="0063668A"/>
    <w:rsid w:val="006367CF"/>
    <w:rsid w:val="00636C24"/>
    <w:rsid w:val="00636E02"/>
    <w:rsid w:val="00637437"/>
    <w:rsid w:val="00637B29"/>
    <w:rsid w:val="00637FCB"/>
    <w:rsid w:val="00640894"/>
    <w:rsid w:val="00640AC0"/>
    <w:rsid w:val="006414DE"/>
    <w:rsid w:val="00641963"/>
    <w:rsid w:val="00641C86"/>
    <w:rsid w:val="00642297"/>
    <w:rsid w:val="00642300"/>
    <w:rsid w:val="006426B8"/>
    <w:rsid w:val="00642AE4"/>
    <w:rsid w:val="00642BFA"/>
    <w:rsid w:val="0064351D"/>
    <w:rsid w:val="006435BF"/>
    <w:rsid w:val="00643EB0"/>
    <w:rsid w:val="00643FC8"/>
    <w:rsid w:val="00644159"/>
    <w:rsid w:val="00644307"/>
    <w:rsid w:val="006448AE"/>
    <w:rsid w:val="00644A34"/>
    <w:rsid w:val="00645204"/>
    <w:rsid w:val="00645858"/>
    <w:rsid w:val="00645CBC"/>
    <w:rsid w:val="00645CD1"/>
    <w:rsid w:val="00645CDB"/>
    <w:rsid w:val="00645CE4"/>
    <w:rsid w:val="00645E58"/>
    <w:rsid w:val="006462D0"/>
    <w:rsid w:val="00646C0F"/>
    <w:rsid w:val="00646CE6"/>
    <w:rsid w:val="00646D3F"/>
    <w:rsid w:val="00647198"/>
    <w:rsid w:val="00647237"/>
    <w:rsid w:val="006475F6"/>
    <w:rsid w:val="006479D7"/>
    <w:rsid w:val="00647DF9"/>
    <w:rsid w:val="00650396"/>
    <w:rsid w:val="0065109C"/>
    <w:rsid w:val="006511A3"/>
    <w:rsid w:val="0065126A"/>
    <w:rsid w:val="00651752"/>
    <w:rsid w:val="0065200A"/>
    <w:rsid w:val="006523C7"/>
    <w:rsid w:val="00652BA9"/>
    <w:rsid w:val="00652D41"/>
    <w:rsid w:val="00652E52"/>
    <w:rsid w:val="00652F59"/>
    <w:rsid w:val="0065332B"/>
    <w:rsid w:val="00653744"/>
    <w:rsid w:val="00653B14"/>
    <w:rsid w:val="0065434D"/>
    <w:rsid w:val="006545A3"/>
    <w:rsid w:val="00655D87"/>
    <w:rsid w:val="00656191"/>
    <w:rsid w:val="00656C7A"/>
    <w:rsid w:val="00656E93"/>
    <w:rsid w:val="00657BE7"/>
    <w:rsid w:val="00657C00"/>
    <w:rsid w:val="00657D50"/>
    <w:rsid w:val="00660052"/>
    <w:rsid w:val="00660190"/>
    <w:rsid w:val="006603D3"/>
    <w:rsid w:val="006604BE"/>
    <w:rsid w:val="006604CC"/>
    <w:rsid w:val="00660D82"/>
    <w:rsid w:val="006611BF"/>
    <w:rsid w:val="00661706"/>
    <w:rsid w:val="0066176B"/>
    <w:rsid w:val="0066185A"/>
    <w:rsid w:val="00661AD8"/>
    <w:rsid w:val="00661B12"/>
    <w:rsid w:val="006623DF"/>
    <w:rsid w:val="00662882"/>
    <w:rsid w:val="00663072"/>
    <w:rsid w:val="006630E0"/>
    <w:rsid w:val="006631EB"/>
    <w:rsid w:val="00663691"/>
    <w:rsid w:val="00663F4C"/>
    <w:rsid w:val="006644F7"/>
    <w:rsid w:val="00665825"/>
    <w:rsid w:val="00665A7C"/>
    <w:rsid w:val="00665CF5"/>
    <w:rsid w:val="00665DEC"/>
    <w:rsid w:val="006667A8"/>
    <w:rsid w:val="0066774F"/>
    <w:rsid w:val="00667827"/>
    <w:rsid w:val="006709B7"/>
    <w:rsid w:val="00671363"/>
    <w:rsid w:val="006719CC"/>
    <w:rsid w:val="00672010"/>
    <w:rsid w:val="0067221D"/>
    <w:rsid w:val="00672C04"/>
    <w:rsid w:val="00672D1B"/>
    <w:rsid w:val="006731AA"/>
    <w:rsid w:val="00673206"/>
    <w:rsid w:val="00673563"/>
    <w:rsid w:val="0067394F"/>
    <w:rsid w:val="00673AC8"/>
    <w:rsid w:val="00673C5E"/>
    <w:rsid w:val="00673FAB"/>
    <w:rsid w:val="00674523"/>
    <w:rsid w:val="00674C26"/>
    <w:rsid w:val="0067523C"/>
    <w:rsid w:val="00675955"/>
    <w:rsid w:val="00675F47"/>
    <w:rsid w:val="006760AD"/>
    <w:rsid w:val="00676140"/>
    <w:rsid w:val="006762F8"/>
    <w:rsid w:val="0067657D"/>
    <w:rsid w:val="00677501"/>
    <w:rsid w:val="006776FA"/>
    <w:rsid w:val="00677928"/>
    <w:rsid w:val="006779AB"/>
    <w:rsid w:val="00680018"/>
    <w:rsid w:val="006802BF"/>
    <w:rsid w:val="006803D8"/>
    <w:rsid w:val="006806F4"/>
    <w:rsid w:val="006808FD"/>
    <w:rsid w:val="00680A90"/>
    <w:rsid w:val="00680CBD"/>
    <w:rsid w:val="006810C4"/>
    <w:rsid w:val="006811EB"/>
    <w:rsid w:val="006816D8"/>
    <w:rsid w:val="00681C6E"/>
    <w:rsid w:val="00681EDB"/>
    <w:rsid w:val="00681F42"/>
    <w:rsid w:val="0068238A"/>
    <w:rsid w:val="006829D5"/>
    <w:rsid w:val="00682B21"/>
    <w:rsid w:val="00682B58"/>
    <w:rsid w:val="00682CB1"/>
    <w:rsid w:val="00683568"/>
    <w:rsid w:val="00683A01"/>
    <w:rsid w:val="00683FD8"/>
    <w:rsid w:val="00684AF0"/>
    <w:rsid w:val="00684B9D"/>
    <w:rsid w:val="00684D1A"/>
    <w:rsid w:val="00684EB0"/>
    <w:rsid w:val="00685485"/>
    <w:rsid w:val="00685812"/>
    <w:rsid w:val="00685A84"/>
    <w:rsid w:val="00685CFB"/>
    <w:rsid w:val="00686CB5"/>
    <w:rsid w:val="00687099"/>
    <w:rsid w:val="00687A6B"/>
    <w:rsid w:val="00687C1D"/>
    <w:rsid w:val="006902D1"/>
    <w:rsid w:val="0069049F"/>
    <w:rsid w:val="00690530"/>
    <w:rsid w:val="00690682"/>
    <w:rsid w:val="00690879"/>
    <w:rsid w:val="00690E34"/>
    <w:rsid w:val="00691A0D"/>
    <w:rsid w:val="00691B63"/>
    <w:rsid w:val="0069245B"/>
    <w:rsid w:val="006928CA"/>
    <w:rsid w:val="00692941"/>
    <w:rsid w:val="00692FB4"/>
    <w:rsid w:val="00693597"/>
    <w:rsid w:val="00693807"/>
    <w:rsid w:val="00694832"/>
    <w:rsid w:val="00694A04"/>
    <w:rsid w:val="006956FE"/>
    <w:rsid w:val="006958E3"/>
    <w:rsid w:val="00695A42"/>
    <w:rsid w:val="00695AC2"/>
    <w:rsid w:val="006960E9"/>
    <w:rsid w:val="00696B02"/>
    <w:rsid w:val="006A09FA"/>
    <w:rsid w:val="006A0E18"/>
    <w:rsid w:val="006A1288"/>
    <w:rsid w:val="006A1ABD"/>
    <w:rsid w:val="006A1E77"/>
    <w:rsid w:val="006A2C89"/>
    <w:rsid w:val="006A2DC8"/>
    <w:rsid w:val="006A30A8"/>
    <w:rsid w:val="006A44DA"/>
    <w:rsid w:val="006A498C"/>
    <w:rsid w:val="006A5314"/>
    <w:rsid w:val="006A61AC"/>
    <w:rsid w:val="006A6374"/>
    <w:rsid w:val="006A64F6"/>
    <w:rsid w:val="006A658C"/>
    <w:rsid w:val="006A66BF"/>
    <w:rsid w:val="006A6A45"/>
    <w:rsid w:val="006A7238"/>
    <w:rsid w:val="006A756A"/>
    <w:rsid w:val="006A797D"/>
    <w:rsid w:val="006A7A10"/>
    <w:rsid w:val="006A7E92"/>
    <w:rsid w:val="006B005C"/>
    <w:rsid w:val="006B09E2"/>
    <w:rsid w:val="006B0DA4"/>
    <w:rsid w:val="006B145F"/>
    <w:rsid w:val="006B14EC"/>
    <w:rsid w:val="006B1786"/>
    <w:rsid w:val="006B17F1"/>
    <w:rsid w:val="006B1B6B"/>
    <w:rsid w:val="006B2757"/>
    <w:rsid w:val="006B28B3"/>
    <w:rsid w:val="006B2B20"/>
    <w:rsid w:val="006B30A1"/>
    <w:rsid w:val="006B36B2"/>
    <w:rsid w:val="006B3D9E"/>
    <w:rsid w:val="006B4616"/>
    <w:rsid w:val="006B492E"/>
    <w:rsid w:val="006B4D0F"/>
    <w:rsid w:val="006B4FF4"/>
    <w:rsid w:val="006B5605"/>
    <w:rsid w:val="006B5E18"/>
    <w:rsid w:val="006B654F"/>
    <w:rsid w:val="006B677A"/>
    <w:rsid w:val="006B6CDB"/>
    <w:rsid w:val="006B7B72"/>
    <w:rsid w:val="006C0189"/>
    <w:rsid w:val="006C0925"/>
    <w:rsid w:val="006C0D19"/>
    <w:rsid w:val="006C0D3A"/>
    <w:rsid w:val="006C0F82"/>
    <w:rsid w:val="006C1248"/>
    <w:rsid w:val="006C1298"/>
    <w:rsid w:val="006C1485"/>
    <w:rsid w:val="006C1B4A"/>
    <w:rsid w:val="006C2683"/>
    <w:rsid w:val="006C2B48"/>
    <w:rsid w:val="006C2D4D"/>
    <w:rsid w:val="006C2FCD"/>
    <w:rsid w:val="006C2FFC"/>
    <w:rsid w:val="006C3617"/>
    <w:rsid w:val="006C371A"/>
    <w:rsid w:val="006C4351"/>
    <w:rsid w:val="006C4ECA"/>
    <w:rsid w:val="006C531D"/>
    <w:rsid w:val="006C5A3D"/>
    <w:rsid w:val="006C5AC4"/>
    <w:rsid w:val="006C6198"/>
    <w:rsid w:val="006C6421"/>
    <w:rsid w:val="006C6639"/>
    <w:rsid w:val="006C6729"/>
    <w:rsid w:val="006C694A"/>
    <w:rsid w:val="006C6C5B"/>
    <w:rsid w:val="006C6E63"/>
    <w:rsid w:val="006C6E8F"/>
    <w:rsid w:val="006C6F0A"/>
    <w:rsid w:val="006C712E"/>
    <w:rsid w:val="006C7352"/>
    <w:rsid w:val="006D0135"/>
    <w:rsid w:val="006D0137"/>
    <w:rsid w:val="006D050C"/>
    <w:rsid w:val="006D0638"/>
    <w:rsid w:val="006D0D23"/>
    <w:rsid w:val="006D0D35"/>
    <w:rsid w:val="006D0D98"/>
    <w:rsid w:val="006D0DBF"/>
    <w:rsid w:val="006D1A8D"/>
    <w:rsid w:val="006D29E0"/>
    <w:rsid w:val="006D2C70"/>
    <w:rsid w:val="006D2FB8"/>
    <w:rsid w:val="006D344E"/>
    <w:rsid w:val="006D3658"/>
    <w:rsid w:val="006D376D"/>
    <w:rsid w:val="006D38B5"/>
    <w:rsid w:val="006D39AE"/>
    <w:rsid w:val="006D3BB5"/>
    <w:rsid w:val="006D3E66"/>
    <w:rsid w:val="006D436A"/>
    <w:rsid w:val="006D4692"/>
    <w:rsid w:val="006D4A95"/>
    <w:rsid w:val="006D4F43"/>
    <w:rsid w:val="006D54B3"/>
    <w:rsid w:val="006D59BF"/>
    <w:rsid w:val="006D5AB4"/>
    <w:rsid w:val="006D5AD3"/>
    <w:rsid w:val="006D5AE0"/>
    <w:rsid w:val="006D605D"/>
    <w:rsid w:val="006D6790"/>
    <w:rsid w:val="006D6803"/>
    <w:rsid w:val="006D6EA0"/>
    <w:rsid w:val="006D704B"/>
    <w:rsid w:val="006D74AF"/>
    <w:rsid w:val="006D781A"/>
    <w:rsid w:val="006D7E95"/>
    <w:rsid w:val="006E00C4"/>
    <w:rsid w:val="006E0396"/>
    <w:rsid w:val="006E0398"/>
    <w:rsid w:val="006E10E6"/>
    <w:rsid w:val="006E15FE"/>
    <w:rsid w:val="006E1637"/>
    <w:rsid w:val="006E1AAD"/>
    <w:rsid w:val="006E1ADD"/>
    <w:rsid w:val="006E1DC5"/>
    <w:rsid w:val="006E2829"/>
    <w:rsid w:val="006E2999"/>
    <w:rsid w:val="006E3080"/>
    <w:rsid w:val="006E337F"/>
    <w:rsid w:val="006E3481"/>
    <w:rsid w:val="006E3968"/>
    <w:rsid w:val="006E39B5"/>
    <w:rsid w:val="006E4086"/>
    <w:rsid w:val="006E443B"/>
    <w:rsid w:val="006E48AA"/>
    <w:rsid w:val="006E492E"/>
    <w:rsid w:val="006E4A3E"/>
    <w:rsid w:val="006E4C43"/>
    <w:rsid w:val="006E4ED0"/>
    <w:rsid w:val="006E508A"/>
    <w:rsid w:val="006E54A6"/>
    <w:rsid w:val="006E55E7"/>
    <w:rsid w:val="006E56E1"/>
    <w:rsid w:val="006E5CFD"/>
    <w:rsid w:val="006E5FD9"/>
    <w:rsid w:val="006E6300"/>
    <w:rsid w:val="006E65C6"/>
    <w:rsid w:val="006E6651"/>
    <w:rsid w:val="006E66F1"/>
    <w:rsid w:val="006E6A98"/>
    <w:rsid w:val="006E6AF5"/>
    <w:rsid w:val="006E6F60"/>
    <w:rsid w:val="006E785C"/>
    <w:rsid w:val="006F01FB"/>
    <w:rsid w:val="006F025C"/>
    <w:rsid w:val="006F0524"/>
    <w:rsid w:val="006F11AA"/>
    <w:rsid w:val="006F1C24"/>
    <w:rsid w:val="006F2084"/>
    <w:rsid w:val="006F21F0"/>
    <w:rsid w:val="006F250E"/>
    <w:rsid w:val="006F2702"/>
    <w:rsid w:val="006F2951"/>
    <w:rsid w:val="006F2D7A"/>
    <w:rsid w:val="006F3AA1"/>
    <w:rsid w:val="006F3DC6"/>
    <w:rsid w:val="006F3F7F"/>
    <w:rsid w:val="006F3FFB"/>
    <w:rsid w:val="006F4185"/>
    <w:rsid w:val="006F45D5"/>
    <w:rsid w:val="006F49FD"/>
    <w:rsid w:val="006F4E2B"/>
    <w:rsid w:val="006F5364"/>
    <w:rsid w:val="006F53CE"/>
    <w:rsid w:val="006F53E8"/>
    <w:rsid w:val="006F5C47"/>
    <w:rsid w:val="006F5C8C"/>
    <w:rsid w:val="006F6226"/>
    <w:rsid w:val="006F6A04"/>
    <w:rsid w:val="006F6B49"/>
    <w:rsid w:val="006F7250"/>
    <w:rsid w:val="006F744F"/>
    <w:rsid w:val="007009D6"/>
    <w:rsid w:val="00700F4C"/>
    <w:rsid w:val="00700FC6"/>
    <w:rsid w:val="00701127"/>
    <w:rsid w:val="0070137A"/>
    <w:rsid w:val="0070175C"/>
    <w:rsid w:val="0070177E"/>
    <w:rsid w:val="0070204F"/>
    <w:rsid w:val="007023F5"/>
    <w:rsid w:val="00702CC5"/>
    <w:rsid w:val="00702EA4"/>
    <w:rsid w:val="00702FCA"/>
    <w:rsid w:val="00703376"/>
    <w:rsid w:val="0070376B"/>
    <w:rsid w:val="00703A00"/>
    <w:rsid w:val="00703F6E"/>
    <w:rsid w:val="00704103"/>
    <w:rsid w:val="007041BA"/>
    <w:rsid w:val="0070450A"/>
    <w:rsid w:val="00704F45"/>
    <w:rsid w:val="007051A2"/>
    <w:rsid w:val="00705A8E"/>
    <w:rsid w:val="00705AA6"/>
    <w:rsid w:val="00705BA0"/>
    <w:rsid w:val="00706072"/>
    <w:rsid w:val="007065CB"/>
    <w:rsid w:val="00706AB2"/>
    <w:rsid w:val="00707074"/>
    <w:rsid w:val="007076DA"/>
    <w:rsid w:val="00707C4A"/>
    <w:rsid w:val="00707CD5"/>
    <w:rsid w:val="007101F0"/>
    <w:rsid w:val="007106C0"/>
    <w:rsid w:val="00710E18"/>
    <w:rsid w:val="007118DF"/>
    <w:rsid w:val="00711E12"/>
    <w:rsid w:val="00712300"/>
    <w:rsid w:val="00713061"/>
    <w:rsid w:val="00713399"/>
    <w:rsid w:val="00713602"/>
    <w:rsid w:val="00713FB1"/>
    <w:rsid w:val="007140FD"/>
    <w:rsid w:val="007147A4"/>
    <w:rsid w:val="007151BF"/>
    <w:rsid w:val="00715FE1"/>
    <w:rsid w:val="007161B4"/>
    <w:rsid w:val="00716342"/>
    <w:rsid w:val="007164BF"/>
    <w:rsid w:val="007165A5"/>
    <w:rsid w:val="00716759"/>
    <w:rsid w:val="007167DE"/>
    <w:rsid w:val="00717B52"/>
    <w:rsid w:val="007203BF"/>
    <w:rsid w:val="0072056B"/>
    <w:rsid w:val="007205F7"/>
    <w:rsid w:val="00720850"/>
    <w:rsid w:val="00720A99"/>
    <w:rsid w:val="00720E44"/>
    <w:rsid w:val="00721031"/>
    <w:rsid w:val="00721178"/>
    <w:rsid w:val="00721767"/>
    <w:rsid w:val="00721CB3"/>
    <w:rsid w:val="007223F7"/>
    <w:rsid w:val="00722F17"/>
    <w:rsid w:val="007237AA"/>
    <w:rsid w:val="007238FB"/>
    <w:rsid w:val="00723A91"/>
    <w:rsid w:val="00723F73"/>
    <w:rsid w:val="00723FEC"/>
    <w:rsid w:val="00724A15"/>
    <w:rsid w:val="00724A82"/>
    <w:rsid w:val="00724BD9"/>
    <w:rsid w:val="0072592B"/>
    <w:rsid w:val="00725C1A"/>
    <w:rsid w:val="00725D74"/>
    <w:rsid w:val="00725D86"/>
    <w:rsid w:val="00725F59"/>
    <w:rsid w:val="007262D3"/>
    <w:rsid w:val="007266C8"/>
    <w:rsid w:val="00726919"/>
    <w:rsid w:val="00726CAE"/>
    <w:rsid w:val="00727212"/>
    <w:rsid w:val="007273D0"/>
    <w:rsid w:val="00727D5F"/>
    <w:rsid w:val="00730173"/>
    <w:rsid w:val="0073024F"/>
    <w:rsid w:val="00730E4F"/>
    <w:rsid w:val="0073163D"/>
    <w:rsid w:val="00731684"/>
    <w:rsid w:val="007318E3"/>
    <w:rsid w:val="00731D04"/>
    <w:rsid w:val="00732295"/>
    <w:rsid w:val="00732E6A"/>
    <w:rsid w:val="0073302D"/>
    <w:rsid w:val="007330FF"/>
    <w:rsid w:val="007333C0"/>
    <w:rsid w:val="007333E9"/>
    <w:rsid w:val="0073380E"/>
    <w:rsid w:val="00733A79"/>
    <w:rsid w:val="00733D35"/>
    <w:rsid w:val="00733F83"/>
    <w:rsid w:val="00734107"/>
    <w:rsid w:val="007341E4"/>
    <w:rsid w:val="00734573"/>
    <w:rsid w:val="00734F2C"/>
    <w:rsid w:val="00734F43"/>
    <w:rsid w:val="00735382"/>
    <w:rsid w:val="00735451"/>
    <w:rsid w:val="007354B6"/>
    <w:rsid w:val="00735657"/>
    <w:rsid w:val="00735C87"/>
    <w:rsid w:val="00740229"/>
    <w:rsid w:val="00740996"/>
    <w:rsid w:val="00740CE4"/>
    <w:rsid w:val="00740FDB"/>
    <w:rsid w:val="00741324"/>
    <w:rsid w:val="00741677"/>
    <w:rsid w:val="0074205D"/>
    <w:rsid w:val="00742608"/>
    <w:rsid w:val="00742962"/>
    <w:rsid w:val="00742C0F"/>
    <w:rsid w:val="00743006"/>
    <w:rsid w:val="00743477"/>
    <w:rsid w:val="0074379E"/>
    <w:rsid w:val="00743D74"/>
    <w:rsid w:val="007442A4"/>
    <w:rsid w:val="00744335"/>
    <w:rsid w:val="0074564F"/>
    <w:rsid w:val="007456A1"/>
    <w:rsid w:val="00745EA7"/>
    <w:rsid w:val="00746111"/>
    <w:rsid w:val="007463A8"/>
    <w:rsid w:val="007465BC"/>
    <w:rsid w:val="007467D7"/>
    <w:rsid w:val="00746A56"/>
    <w:rsid w:val="00747168"/>
    <w:rsid w:val="00747785"/>
    <w:rsid w:val="0075066B"/>
    <w:rsid w:val="00750BE1"/>
    <w:rsid w:val="0075129A"/>
    <w:rsid w:val="007520A8"/>
    <w:rsid w:val="00752244"/>
    <w:rsid w:val="007529E5"/>
    <w:rsid w:val="00752DE9"/>
    <w:rsid w:val="007531C1"/>
    <w:rsid w:val="00753542"/>
    <w:rsid w:val="00753870"/>
    <w:rsid w:val="007549AC"/>
    <w:rsid w:val="00754C78"/>
    <w:rsid w:val="00755C9A"/>
    <w:rsid w:val="007567FC"/>
    <w:rsid w:val="00756B73"/>
    <w:rsid w:val="00756E8A"/>
    <w:rsid w:val="00757140"/>
    <w:rsid w:val="00757219"/>
    <w:rsid w:val="0075725E"/>
    <w:rsid w:val="0075730C"/>
    <w:rsid w:val="007574CF"/>
    <w:rsid w:val="0075786E"/>
    <w:rsid w:val="0076041E"/>
    <w:rsid w:val="00760C2F"/>
    <w:rsid w:val="0076123B"/>
    <w:rsid w:val="007613B2"/>
    <w:rsid w:val="00761A0F"/>
    <w:rsid w:val="00762863"/>
    <w:rsid w:val="0076289E"/>
    <w:rsid w:val="00762945"/>
    <w:rsid w:val="007632DC"/>
    <w:rsid w:val="00763983"/>
    <w:rsid w:val="007642D0"/>
    <w:rsid w:val="00764B06"/>
    <w:rsid w:val="00764B1E"/>
    <w:rsid w:val="00764CF3"/>
    <w:rsid w:val="00765302"/>
    <w:rsid w:val="0076571A"/>
    <w:rsid w:val="00765AE2"/>
    <w:rsid w:val="00765B95"/>
    <w:rsid w:val="00766174"/>
    <w:rsid w:val="00766648"/>
    <w:rsid w:val="0076688F"/>
    <w:rsid w:val="00766BA8"/>
    <w:rsid w:val="00766D94"/>
    <w:rsid w:val="00766F29"/>
    <w:rsid w:val="00766F30"/>
    <w:rsid w:val="007670E1"/>
    <w:rsid w:val="00767323"/>
    <w:rsid w:val="007675BB"/>
    <w:rsid w:val="007700CE"/>
    <w:rsid w:val="00770750"/>
    <w:rsid w:val="00770CF0"/>
    <w:rsid w:val="007712EA"/>
    <w:rsid w:val="00771909"/>
    <w:rsid w:val="00771B32"/>
    <w:rsid w:val="00772158"/>
    <w:rsid w:val="0077218E"/>
    <w:rsid w:val="00772ACD"/>
    <w:rsid w:val="00772BA7"/>
    <w:rsid w:val="00772EDB"/>
    <w:rsid w:val="00773003"/>
    <w:rsid w:val="00773718"/>
    <w:rsid w:val="007739B5"/>
    <w:rsid w:val="00773B45"/>
    <w:rsid w:val="00773BAA"/>
    <w:rsid w:val="00773D9D"/>
    <w:rsid w:val="0077428B"/>
    <w:rsid w:val="007746D7"/>
    <w:rsid w:val="0077506E"/>
    <w:rsid w:val="007750F2"/>
    <w:rsid w:val="00775136"/>
    <w:rsid w:val="00775C32"/>
    <w:rsid w:val="0077682F"/>
    <w:rsid w:val="007768B8"/>
    <w:rsid w:val="00776DD7"/>
    <w:rsid w:val="007770FE"/>
    <w:rsid w:val="007771EE"/>
    <w:rsid w:val="00777300"/>
    <w:rsid w:val="00777399"/>
    <w:rsid w:val="007777CB"/>
    <w:rsid w:val="00777811"/>
    <w:rsid w:val="00777954"/>
    <w:rsid w:val="00777C9A"/>
    <w:rsid w:val="00777E56"/>
    <w:rsid w:val="00780887"/>
    <w:rsid w:val="00780B82"/>
    <w:rsid w:val="00780FEC"/>
    <w:rsid w:val="007812A6"/>
    <w:rsid w:val="007813F9"/>
    <w:rsid w:val="007815FA"/>
    <w:rsid w:val="007823A2"/>
    <w:rsid w:val="00782809"/>
    <w:rsid w:val="00782C97"/>
    <w:rsid w:val="00783055"/>
    <w:rsid w:val="00783135"/>
    <w:rsid w:val="00783154"/>
    <w:rsid w:val="00783C45"/>
    <w:rsid w:val="0078400A"/>
    <w:rsid w:val="00784292"/>
    <w:rsid w:val="00784297"/>
    <w:rsid w:val="00784313"/>
    <w:rsid w:val="00784511"/>
    <w:rsid w:val="007846D1"/>
    <w:rsid w:val="0078476B"/>
    <w:rsid w:val="00784821"/>
    <w:rsid w:val="00784AF9"/>
    <w:rsid w:val="00784C2F"/>
    <w:rsid w:val="00784C4A"/>
    <w:rsid w:val="00784FE3"/>
    <w:rsid w:val="007853F6"/>
    <w:rsid w:val="00786756"/>
    <w:rsid w:val="00786FDF"/>
    <w:rsid w:val="00787413"/>
    <w:rsid w:val="0078765D"/>
    <w:rsid w:val="00787867"/>
    <w:rsid w:val="00787BE1"/>
    <w:rsid w:val="00787ED3"/>
    <w:rsid w:val="007904FF"/>
    <w:rsid w:val="00790B45"/>
    <w:rsid w:val="00790C10"/>
    <w:rsid w:val="00790C97"/>
    <w:rsid w:val="00792544"/>
    <w:rsid w:val="00792792"/>
    <w:rsid w:val="007928DA"/>
    <w:rsid w:val="007928E7"/>
    <w:rsid w:val="00792E0A"/>
    <w:rsid w:val="00793167"/>
    <w:rsid w:val="007932E1"/>
    <w:rsid w:val="00794039"/>
    <w:rsid w:val="00794595"/>
    <w:rsid w:val="007945A4"/>
    <w:rsid w:val="00794C71"/>
    <w:rsid w:val="007950D2"/>
    <w:rsid w:val="007953EE"/>
    <w:rsid w:val="00795A9E"/>
    <w:rsid w:val="007960DB"/>
    <w:rsid w:val="007960DE"/>
    <w:rsid w:val="007971C4"/>
    <w:rsid w:val="007979BE"/>
    <w:rsid w:val="00797E0C"/>
    <w:rsid w:val="007A02AF"/>
    <w:rsid w:val="007A0924"/>
    <w:rsid w:val="007A0A42"/>
    <w:rsid w:val="007A0B00"/>
    <w:rsid w:val="007A0C47"/>
    <w:rsid w:val="007A10B8"/>
    <w:rsid w:val="007A1110"/>
    <w:rsid w:val="007A1337"/>
    <w:rsid w:val="007A15D3"/>
    <w:rsid w:val="007A1712"/>
    <w:rsid w:val="007A1A9D"/>
    <w:rsid w:val="007A1E30"/>
    <w:rsid w:val="007A28AF"/>
    <w:rsid w:val="007A37AE"/>
    <w:rsid w:val="007A3A27"/>
    <w:rsid w:val="007A3E0A"/>
    <w:rsid w:val="007A415F"/>
    <w:rsid w:val="007A4668"/>
    <w:rsid w:val="007A4EF9"/>
    <w:rsid w:val="007A51AC"/>
    <w:rsid w:val="007A51C5"/>
    <w:rsid w:val="007A5AB6"/>
    <w:rsid w:val="007A5D93"/>
    <w:rsid w:val="007A6114"/>
    <w:rsid w:val="007A6940"/>
    <w:rsid w:val="007A6EEF"/>
    <w:rsid w:val="007A7881"/>
    <w:rsid w:val="007B0A46"/>
    <w:rsid w:val="007B1037"/>
    <w:rsid w:val="007B1175"/>
    <w:rsid w:val="007B1975"/>
    <w:rsid w:val="007B28C4"/>
    <w:rsid w:val="007B2E4F"/>
    <w:rsid w:val="007B2EFF"/>
    <w:rsid w:val="007B2F1D"/>
    <w:rsid w:val="007B2F22"/>
    <w:rsid w:val="007B30F5"/>
    <w:rsid w:val="007B338B"/>
    <w:rsid w:val="007B36C1"/>
    <w:rsid w:val="007B398A"/>
    <w:rsid w:val="007B42C3"/>
    <w:rsid w:val="007B4656"/>
    <w:rsid w:val="007B4676"/>
    <w:rsid w:val="007B4E95"/>
    <w:rsid w:val="007B56BB"/>
    <w:rsid w:val="007B59C8"/>
    <w:rsid w:val="007B5C15"/>
    <w:rsid w:val="007B5DFE"/>
    <w:rsid w:val="007B6711"/>
    <w:rsid w:val="007B6BFC"/>
    <w:rsid w:val="007B744D"/>
    <w:rsid w:val="007B7537"/>
    <w:rsid w:val="007B7AA0"/>
    <w:rsid w:val="007B7D6C"/>
    <w:rsid w:val="007B7F68"/>
    <w:rsid w:val="007C03E4"/>
    <w:rsid w:val="007C04B0"/>
    <w:rsid w:val="007C1513"/>
    <w:rsid w:val="007C1767"/>
    <w:rsid w:val="007C27E1"/>
    <w:rsid w:val="007C291A"/>
    <w:rsid w:val="007C2F82"/>
    <w:rsid w:val="007C3237"/>
    <w:rsid w:val="007C3239"/>
    <w:rsid w:val="007C364A"/>
    <w:rsid w:val="007C3D45"/>
    <w:rsid w:val="007C406B"/>
    <w:rsid w:val="007C407F"/>
    <w:rsid w:val="007C40A9"/>
    <w:rsid w:val="007C412A"/>
    <w:rsid w:val="007C46FC"/>
    <w:rsid w:val="007C4804"/>
    <w:rsid w:val="007C511F"/>
    <w:rsid w:val="007C53B9"/>
    <w:rsid w:val="007C57C2"/>
    <w:rsid w:val="007C5F63"/>
    <w:rsid w:val="007C6471"/>
    <w:rsid w:val="007C6578"/>
    <w:rsid w:val="007C74B1"/>
    <w:rsid w:val="007C75BF"/>
    <w:rsid w:val="007C778D"/>
    <w:rsid w:val="007C7E56"/>
    <w:rsid w:val="007D07E4"/>
    <w:rsid w:val="007D0991"/>
    <w:rsid w:val="007D0BC2"/>
    <w:rsid w:val="007D0DC1"/>
    <w:rsid w:val="007D17C8"/>
    <w:rsid w:val="007D17E5"/>
    <w:rsid w:val="007D1821"/>
    <w:rsid w:val="007D19CE"/>
    <w:rsid w:val="007D1F12"/>
    <w:rsid w:val="007D1F7F"/>
    <w:rsid w:val="007D218E"/>
    <w:rsid w:val="007D2222"/>
    <w:rsid w:val="007D2544"/>
    <w:rsid w:val="007D26EB"/>
    <w:rsid w:val="007D29AE"/>
    <w:rsid w:val="007D3308"/>
    <w:rsid w:val="007D37AB"/>
    <w:rsid w:val="007D3E36"/>
    <w:rsid w:val="007D3F5B"/>
    <w:rsid w:val="007D4555"/>
    <w:rsid w:val="007D4A09"/>
    <w:rsid w:val="007D4D89"/>
    <w:rsid w:val="007D4E4B"/>
    <w:rsid w:val="007D530E"/>
    <w:rsid w:val="007D5621"/>
    <w:rsid w:val="007D58B9"/>
    <w:rsid w:val="007D5ADA"/>
    <w:rsid w:val="007D5C4D"/>
    <w:rsid w:val="007D5E64"/>
    <w:rsid w:val="007D6233"/>
    <w:rsid w:val="007D7192"/>
    <w:rsid w:val="007D7226"/>
    <w:rsid w:val="007D7412"/>
    <w:rsid w:val="007D7509"/>
    <w:rsid w:val="007D7C86"/>
    <w:rsid w:val="007E0660"/>
    <w:rsid w:val="007E0B7A"/>
    <w:rsid w:val="007E109B"/>
    <w:rsid w:val="007E1117"/>
    <w:rsid w:val="007E11BB"/>
    <w:rsid w:val="007E13CE"/>
    <w:rsid w:val="007E1526"/>
    <w:rsid w:val="007E1AB5"/>
    <w:rsid w:val="007E1BD8"/>
    <w:rsid w:val="007E1D2B"/>
    <w:rsid w:val="007E2074"/>
    <w:rsid w:val="007E24B5"/>
    <w:rsid w:val="007E2611"/>
    <w:rsid w:val="007E2612"/>
    <w:rsid w:val="007E26A4"/>
    <w:rsid w:val="007E27B6"/>
    <w:rsid w:val="007E2DA1"/>
    <w:rsid w:val="007E2FC9"/>
    <w:rsid w:val="007E3219"/>
    <w:rsid w:val="007E34E2"/>
    <w:rsid w:val="007E4E5E"/>
    <w:rsid w:val="007E4EBC"/>
    <w:rsid w:val="007E56C7"/>
    <w:rsid w:val="007E57C1"/>
    <w:rsid w:val="007E61F1"/>
    <w:rsid w:val="007E6346"/>
    <w:rsid w:val="007E6672"/>
    <w:rsid w:val="007E66F8"/>
    <w:rsid w:val="007E6B8B"/>
    <w:rsid w:val="007E70E1"/>
    <w:rsid w:val="007E72EC"/>
    <w:rsid w:val="007E75F3"/>
    <w:rsid w:val="007E76BC"/>
    <w:rsid w:val="007E7997"/>
    <w:rsid w:val="007F0029"/>
    <w:rsid w:val="007F0700"/>
    <w:rsid w:val="007F0AB4"/>
    <w:rsid w:val="007F0DF1"/>
    <w:rsid w:val="007F12CE"/>
    <w:rsid w:val="007F14DF"/>
    <w:rsid w:val="007F156C"/>
    <w:rsid w:val="007F1A39"/>
    <w:rsid w:val="007F1C71"/>
    <w:rsid w:val="007F1CD3"/>
    <w:rsid w:val="007F1CDD"/>
    <w:rsid w:val="007F221A"/>
    <w:rsid w:val="007F2291"/>
    <w:rsid w:val="007F2AE6"/>
    <w:rsid w:val="007F2EDD"/>
    <w:rsid w:val="007F2FB8"/>
    <w:rsid w:val="007F314D"/>
    <w:rsid w:val="007F34D9"/>
    <w:rsid w:val="007F38B7"/>
    <w:rsid w:val="007F38FC"/>
    <w:rsid w:val="007F3966"/>
    <w:rsid w:val="007F3EDD"/>
    <w:rsid w:val="007F4A18"/>
    <w:rsid w:val="007F4E2A"/>
    <w:rsid w:val="007F4E73"/>
    <w:rsid w:val="007F5667"/>
    <w:rsid w:val="007F641F"/>
    <w:rsid w:val="007F67F4"/>
    <w:rsid w:val="007F7128"/>
    <w:rsid w:val="007F7316"/>
    <w:rsid w:val="007F752E"/>
    <w:rsid w:val="007F799D"/>
    <w:rsid w:val="007F7D36"/>
    <w:rsid w:val="008001AE"/>
    <w:rsid w:val="00800327"/>
    <w:rsid w:val="008009A7"/>
    <w:rsid w:val="008009DB"/>
    <w:rsid w:val="00800FA8"/>
    <w:rsid w:val="0080131A"/>
    <w:rsid w:val="00801322"/>
    <w:rsid w:val="008015DA"/>
    <w:rsid w:val="0080283E"/>
    <w:rsid w:val="0080290E"/>
    <w:rsid w:val="00802977"/>
    <w:rsid w:val="00803117"/>
    <w:rsid w:val="00803188"/>
    <w:rsid w:val="008032D7"/>
    <w:rsid w:val="00803502"/>
    <w:rsid w:val="0080379B"/>
    <w:rsid w:val="00804763"/>
    <w:rsid w:val="00805030"/>
    <w:rsid w:val="008051D7"/>
    <w:rsid w:val="008053EC"/>
    <w:rsid w:val="008054C6"/>
    <w:rsid w:val="00806632"/>
    <w:rsid w:val="00806858"/>
    <w:rsid w:val="00806C5A"/>
    <w:rsid w:val="00806C73"/>
    <w:rsid w:val="0080734D"/>
    <w:rsid w:val="008073AD"/>
    <w:rsid w:val="00807BF0"/>
    <w:rsid w:val="00807FEF"/>
    <w:rsid w:val="0081000C"/>
    <w:rsid w:val="00810238"/>
    <w:rsid w:val="0081086E"/>
    <w:rsid w:val="00810891"/>
    <w:rsid w:val="00810BDF"/>
    <w:rsid w:val="00810C3D"/>
    <w:rsid w:val="00810EF9"/>
    <w:rsid w:val="00811295"/>
    <w:rsid w:val="00811BC6"/>
    <w:rsid w:val="00811C0A"/>
    <w:rsid w:val="0081211E"/>
    <w:rsid w:val="0081225F"/>
    <w:rsid w:val="00812BDB"/>
    <w:rsid w:val="0081382C"/>
    <w:rsid w:val="00813A7F"/>
    <w:rsid w:val="0081423D"/>
    <w:rsid w:val="00814D97"/>
    <w:rsid w:val="008150BD"/>
    <w:rsid w:val="008156D0"/>
    <w:rsid w:val="008158E9"/>
    <w:rsid w:val="00815910"/>
    <w:rsid w:val="00815C61"/>
    <w:rsid w:val="00816183"/>
    <w:rsid w:val="008163AA"/>
    <w:rsid w:val="00816921"/>
    <w:rsid w:val="0081699B"/>
    <w:rsid w:val="00816FAA"/>
    <w:rsid w:val="0081740D"/>
    <w:rsid w:val="00817516"/>
    <w:rsid w:val="0081768B"/>
    <w:rsid w:val="008208ED"/>
    <w:rsid w:val="00820BEC"/>
    <w:rsid w:val="00820E0A"/>
    <w:rsid w:val="00820EA0"/>
    <w:rsid w:val="008215BF"/>
    <w:rsid w:val="008217AC"/>
    <w:rsid w:val="008219A9"/>
    <w:rsid w:val="00821B55"/>
    <w:rsid w:val="00821D7C"/>
    <w:rsid w:val="00822BBD"/>
    <w:rsid w:val="00822F15"/>
    <w:rsid w:val="00824960"/>
    <w:rsid w:val="00824B97"/>
    <w:rsid w:val="00825162"/>
    <w:rsid w:val="008251B8"/>
    <w:rsid w:val="008256BC"/>
    <w:rsid w:val="00825C52"/>
    <w:rsid w:val="00825FC5"/>
    <w:rsid w:val="008263C0"/>
    <w:rsid w:val="00826C2E"/>
    <w:rsid w:val="0082744A"/>
    <w:rsid w:val="0082792D"/>
    <w:rsid w:val="008279C0"/>
    <w:rsid w:val="00827B60"/>
    <w:rsid w:val="00827E04"/>
    <w:rsid w:val="00830842"/>
    <w:rsid w:val="0083092F"/>
    <w:rsid w:val="00830FB8"/>
    <w:rsid w:val="00831719"/>
    <w:rsid w:val="00831FC0"/>
    <w:rsid w:val="00832DD0"/>
    <w:rsid w:val="00833405"/>
    <w:rsid w:val="0083411D"/>
    <w:rsid w:val="00834649"/>
    <w:rsid w:val="0083488C"/>
    <w:rsid w:val="0083548F"/>
    <w:rsid w:val="00835949"/>
    <w:rsid w:val="00835A34"/>
    <w:rsid w:val="00836218"/>
    <w:rsid w:val="008362DC"/>
    <w:rsid w:val="00836A88"/>
    <w:rsid w:val="00836F20"/>
    <w:rsid w:val="00840278"/>
    <w:rsid w:val="0084040C"/>
    <w:rsid w:val="008405FB"/>
    <w:rsid w:val="00840658"/>
    <w:rsid w:val="00840EC8"/>
    <w:rsid w:val="00840ED9"/>
    <w:rsid w:val="00840F06"/>
    <w:rsid w:val="008416BF"/>
    <w:rsid w:val="008417A5"/>
    <w:rsid w:val="00841A54"/>
    <w:rsid w:val="00842AC5"/>
    <w:rsid w:val="00842D60"/>
    <w:rsid w:val="0084305D"/>
    <w:rsid w:val="00843982"/>
    <w:rsid w:val="008439AB"/>
    <w:rsid w:val="00843BB9"/>
    <w:rsid w:val="00843C16"/>
    <w:rsid w:val="008445CC"/>
    <w:rsid w:val="008446F9"/>
    <w:rsid w:val="00845348"/>
    <w:rsid w:val="0084562E"/>
    <w:rsid w:val="008459CC"/>
    <w:rsid w:val="00845B20"/>
    <w:rsid w:val="0084603F"/>
    <w:rsid w:val="008464A6"/>
    <w:rsid w:val="00846D0B"/>
    <w:rsid w:val="00846E89"/>
    <w:rsid w:val="00847021"/>
    <w:rsid w:val="00847D32"/>
    <w:rsid w:val="00847DB8"/>
    <w:rsid w:val="00847E67"/>
    <w:rsid w:val="00850546"/>
    <w:rsid w:val="00850F49"/>
    <w:rsid w:val="00851620"/>
    <w:rsid w:val="00851A97"/>
    <w:rsid w:val="00851ABE"/>
    <w:rsid w:val="008524C4"/>
    <w:rsid w:val="00852CC8"/>
    <w:rsid w:val="00852E76"/>
    <w:rsid w:val="008530DC"/>
    <w:rsid w:val="008536EB"/>
    <w:rsid w:val="00853B1A"/>
    <w:rsid w:val="00853B56"/>
    <w:rsid w:val="00854AAE"/>
    <w:rsid w:val="00854CA0"/>
    <w:rsid w:val="00855717"/>
    <w:rsid w:val="00855C9B"/>
    <w:rsid w:val="00855E72"/>
    <w:rsid w:val="00856BF1"/>
    <w:rsid w:val="00856DE1"/>
    <w:rsid w:val="008570A8"/>
    <w:rsid w:val="008571DD"/>
    <w:rsid w:val="0085754A"/>
    <w:rsid w:val="008576BE"/>
    <w:rsid w:val="00857F7B"/>
    <w:rsid w:val="00860585"/>
    <w:rsid w:val="008605B6"/>
    <w:rsid w:val="008607A4"/>
    <w:rsid w:val="00860F58"/>
    <w:rsid w:val="00861825"/>
    <w:rsid w:val="00861F03"/>
    <w:rsid w:val="00862146"/>
    <w:rsid w:val="00862809"/>
    <w:rsid w:val="00862D13"/>
    <w:rsid w:val="00863012"/>
    <w:rsid w:val="0086317F"/>
    <w:rsid w:val="008634F3"/>
    <w:rsid w:val="00863708"/>
    <w:rsid w:val="00863879"/>
    <w:rsid w:val="008639EF"/>
    <w:rsid w:val="00863F1C"/>
    <w:rsid w:val="0086476C"/>
    <w:rsid w:val="00865852"/>
    <w:rsid w:val="0086587C"/>
    <w:rsid w:val="00865D34"/>
    <w:rsid w:val="00865DC6"/>
    <w:rsid w:val="0086668A"/>
    <w:rsid w:val="008673FA"/>
    <w:rsid w:val="00867707"/>
    <w:rsid w:val="00867794"/>
    <w:rsid w:val="00867919"/>
    <w:rsid w:val="00871562"/>
    <w:rsid w:val="00871720"/>
    <w:rsid w:val="0087190B"/>
    <w:rsid w:val="0087211B"/>
    <w:rsid w:val="00872884"/>
    <w:rsid w:val="00872B56"/>
    <w:rsid w:val="00872C63"/>
    <w:rsid w:val="008730ED"/>
    <w:rsid w:val="0087344C"/>
    <w:rsid w:val="008738C8"/>
    <w:rsid w:val="00873A06"/>
    <w:rsid w:val="00873D69"/>
    <w:rsid w:val="0087415A"/>
    <w:rsid w:val="0087469A"/>
    <w:rsid w:val="00874864"/>
    <w:rsid w:val="00874FF7"/>
    <w:rsid w:val="00875495"/>
    <w:rsid w:val="008755EE"/>
    <w:rsid w:val="00875795"/>
    <w:rsid w:val="008757F9"/>
    <w:rsid w:val="00877086"/>
    <w:rsid w:val="00877147"/>
    <w:rsid w:val="008776F1"/>
    <w:rsid w:val="0087782A"/>
    <w:rsid w:val="00877B8A"/>
    <w:rsid w:val="008803EB"/>
    <w:rsid w:val="008804FD"/>
    <w:rsid w:val="008808ED"/>
    <w:rsid w:val="0088120A"/>
    <w:rsid w:val="00881226"/>
    <w:rsid w:val="008812F6"/>
    <w:rsid w:val="008813CC"/>
    <w:rsid w:val="00881A7E"/>
    <w:rsid w:val="00881B5B"/>
    <w:rsid w:val="00881D7A"/>
    <w:rsid w:val="00882283"/>
    <w:rsid w:val="00882828"/>
    <w:rsid w:val="00882CAA"/>
    <w:rsid w:val="00882FF8"/>
    <w:rsid w:val="00883165"/>
    <w:rsid w:val="00883A29"/>
    <w:rsid w:val="00883CEC"/>
    <w:rsid w:val="00884291"/>
    <w:rsid w:val="00884667"/>
    <w:rsid w:val="008846D7"/>
    <w:rsid w:val="008849C6"/>
    <w:rsid w:val="00884A20"/>
    <w:rsid w:val="00885582"/>
    <w:rsid w:val="008858FE"/>
    <w:rsid w:val="00885E31"/>
    <w:rsid w:val="00886163"/>
    <w:rsid w:val="00886450"/>
    <w:rsid w:val="008867EC"/>
    <w:rsid w:val="008869C2"/>
    <w:rsid w:val="00886E55"/>
    <w:rsid w:val="00886F8F"/>
    <w:rsid w:val="0088749B"/>
    <w:rsid w:val="0088758F"/>
    <w:rsid w:val="00890389"/>
    <w:rsid w:val="0089075A"/>
    <w:rsid w:val="00890E73"/>
    <w:rsid w:val="00890FE2"/>
    <w:rsid w:val="008911C4"/>
    <w:rsid w:val="00891391"/>
    <w:rsid w:val="00891B8F"/>
    <w:rsid w:val="00891FE5"/>
    <w:rsid w:val="0089277A"/>
    <w:rsid w:val="00892A2C"/>
    <w:rsid w:val="008930C6"/>
    <w:rsid w:val="0089384F"/>
    <w:rsid w:val="00894515"/>
    <w:rsid w:val="008949C9"/>
    <w:rsid w:val="00894BC1"/>
    <w:rsid w:val="00895081"/>
    <w:rsid w:val="00895385"/>
    <w:rsid w:val="00895F4A"/>
    <w:rsid w:val="0089621C"/>
    <w:rsid w:val="0089636C"/>
    <w:rsid w:val="008964DA"/>
    <w:rsid w:val="00896B12"/>
    <w:rsid w:val="00897688"/>
    <w:rsid w:val="00897895"/>
    <w:rsid w:val="008979B0"/>
    <w:rsid w:val="00897EC7"/>
    <w:rsid w:val="00897F0F"/>
    <w:rsid w:val="008A0247"/>
    <w:rsid w:val="008A046F"/>
    <w:rsid w:val="008A09B1"/>
    <w:rsid w:val="008A0FB0"/>
    <w:rsid w:val="008A1115"/>
    <w:rsid w:val="008A17D8"/>
    <w:rsid w:val="008A1935"/>
    <w:rsid w:val="008A222A"/>
    <w:rsid w:val="008A28D0"/>
    <w:rsid w:val="008A29E6"/>
    <w:rsid w:val="008A2A45"/>
    <w:rsid w:val="008A391C"/>
    <w:rsid w:val="008A4053"/>
    <w:rsid w:val="008A4474"/>
    <w:rsid w:val="008A44F9"/>
    <w:rsid w:val="008A4D40"/>
    <w:rsid w:val="008A4F10"/>
    <w:rsid w:val="008A52C1"/>
    <w:rsid w:val="008A5324"/>
    <w:rsid w:val="008A607F"/>
    <w:rsid w:val="008A623F"/>
    <w:rsid w:val="008A6346"/>
    <w:rsid w:val="008A6DDE"/>
    <w:rsid w:val="008A6E9C"/>
    <w:rsid w:val="008A7EE3"/>
    <w:rsid w:val="008B0044"/>
    <w:rsid w:val="008B03F7"/>
    <w:rsid w:val="008B04E2"/>
    <w:rsid w:val="008B0AA5"/>
    <w:rsid w:val="008B0B02"/>
    <w:rsid w:val="008B0F46"/>
    <w:rsid w:val="008B0FBC"/>
    <w:rsid w:val="008B10FD"/>
    <w:rsid w:val="008B1EC4"/>
    <w:rsid w:val="008B202B"/>
    <w:rsid w:val="008B2871"/>
    <w:rsid w:val="008B2B5A"/>
    <w:rsid w:val="008B2F71"/>
    <w:rsid w:val="008B3F9D"/>
    <w:rsid w:val="008B4234"/>
    <w:rsid w:val="008B47D3"/>
    <w:rsid w:val="008B4D80"/>
    <w:rsid w:val="008B4F8C"/>
    <w:rsid w:val="008B5250"/>
    <w:rsid w:val="008B5599"/>
    <w:rsid w:val="008B58CB"/>
    <w:rsid w:val="008B5E1C"/>
    <w:rsid w:val="008B6140"/>
    <w:rsid w:val="008B6338"/>
    <w:rsid w:val="008B65E8"/>
    <w:rsid w:val="008B66F8"/>
    <w:rsid w:val="008B6FDE"/>
    <w:rsid w:val="008B7490"/>
    <w:rsid w:val="008B7D4C"/>
    <w:rsid w:val="008C0646"/>
    <w:rsid w:val="008C071F"/>
    <w:rsid w:val="008C0BF0"/>
    <w:rsid w:val="008C0CE8"/>
    <w:rsid w:val="008C0F5B"/>
    <w:rsid w:val="008C103B"/>
    <w:rsid w:val="008C141F"/>
    <w:rsid w:val="008C1856"/>
    <w:rsid w:val="008C197A"/>
    <w:rsid w:val="008C1C24"/>
    <w:rsid w:val="008C23B6"/>
    <w:rsid w:val="008C2785"/>
    <w:rsid w:val="008C3517"/>
    <w:rsid w:val="008C3A0B"/>
    <w:rsid w:val="008C3AE8"/>
    <w:rsid w:val="008C3B5F"/>
    <w:rsid w:val="008C3F10"/>
    <w:rsid w:val="008C4169"/>
    <w:rsid w:val="008C49EB"/>
    <w:rsid w:val="008C4C28"/>
    <w:rsid w:val="008C4D68"/>
    <w:rsid w:val="008C503A"/>
    <w:rsid w:val="008C5A41"/>
    <w:rsid w:val="008C6A59"/>
    <w:rsid w:val="008C6B22"/>
    <w:rsid w:val="008C767A"/>
    <w:rsid w:val="008C7BD3"/>
    <w:rsid w:val="008C7C6F"/>
    <w:rsid w:val="008D03BE"/>
    <w:rsid w:val="008D073F"/>
    <w:rsid w:val="008D0C5F"/>
    <w:rsid w:val="008D0E55"/>
    <w:rsid w:val="008D0E92"/>
    <w:rsid w:val="008D0EAE"/>
    <w:rsid w:val="008D127D"/>
    <w:rsid w:val="008D1A97"/>
    <w:rsid w:val="008D2642"/>
    <w:rsid w:val="008D3190"/>
    <w:rsid w:val="008D38E9"/>
    <w:rsid w:val="008D3FBB"/>
    <w:rsid w:val="008D402B"/>
    <w:rsid w:val="008D4264"/>
    <w:rsid w:val="008D4358"/>
    <w:rsid w:val="008D4CDF"/>
    <w:rsid w:val="008D5790"/>
    <w:rsid w:val="008D5C28"/>
    <w:rsid w:val="008D60F2"/>
    <w:rsid w:val="008D6386"/>
    <w:rsid w:val="008D6716"/>
    <w:rsid w:val="008D7023"/>
    <w:rsid w:val="008D7161"/>
    <w:rsid w:val="008D71B6"/>
    <w:rsid w:val="008D7909"/>
    <w:rsid w:val="008E018E"/>
    <w:rsid w:val="008E03EF"/>
    <w:rsid w:val="008E0644"/>
    <w:rsid w:val="008E1371"/>
    <w:rsid w:val="008E1DB0"/>
    <w:rsid w:val="008E1F2B"/>
    <w:rsid w:val="008E2159"/>
    <w:rsid w:val="008E240F"/>
    <w:rsid w:val="008E2597"/>
    <w:rsid w:val="008E2890"/>
    <w:rsid w:val="008E2B78"/>
    <w:rsid w:val="008E32E8"/>
    <w:rsid w:val="008E35F6"/>
    <w:rsid w:val="008E376F"/>
    <w:rsid w:val="008E3B82"/>
    <w:rsid w:val="008E3BF2"/>
    <w:rsid w:val="008E3EC0"/>
    <w:rsid w:val="008E3F55"/>
    <w:rsid w:val="008E4A94"/>
    <w:rsid w:val="008E4F52"/>
    <w:rsid w:val="008E52DF"/>
    <w:rsid w:val="008E585D"/>
    <w:rsid w:val="008E5FFC"/>
    <w:rsid w:val="008E687B"/>
    <w:rsid w:val="008E6A8C"/>
    <w:rsid w:val="008E6AC0"/>
    <w:rsid w:val="008E6B8F"/>
    <w:rsid w:val="008E76C0"/>
    <w:rsid w:val="008E7DF7"/>
    <w:rsid w:val="008F05CB"/>
    <w:rsid w:val="008F076D"/>
    <w:rsid w:val="008F0D64"/>
    <w:rsid w:val="008F121A"/>
    <w:rsid w:val="008F19D7"/>
    <w:rsid w:val="008F29DA"/>
    <w:rsid w:val="008F2D5D"/>
    <w:rsid w:val="008F3010"/>
    <w:rsid w:val="008F3070"/>
    <w:rsid w:val="008F35EC"/>
    <w:rsid w:val="008F39FB"/>
    <w:rsid w:val="008F3D0D"/>
    <w:rsid w:val="008F3D56"/>
    <w:rsid w:val="008F4C8C"/>
    <w:rsid w:val="008F54C4"/>
    <w:rsid w:val="008F591C"/>
    <w:rsid w:val="008F59AE"/>
    <w:rsid w:val="008F5C27"/>
    <w:rsid w:val="008F789B"/>
    <w:rsid w:val="00900377"/>
    <w:rsid w:val="009005DD"/>
    <w:rsid w:val="00900900"/>
    <w:rsid w:val="00900ABF"/>
    <w:rsid w:val="00901581"/>
    <w:rsid w:val="00901940"/>
    <w:rsid w:val="009020A8"/>
    <w:rsid w:val="00903D72"/>
    <w:rsid w:val="009040B1"/>
    <w:rsid w:val="00904F85"/>
    <w:rsid w:val="009058E0"/>
    <w:rsid w:val="00905D92"/>
    <w:rsid w:val="00906383"/>
    <w:rsid w:val="009063F1"/>
    <w:rsid w:val="00906775"/>
    <w:rsid w:val="00906D18"/>
    <w:rsid w:val="00906DB4"/>
    <w:rsid w:val="00906EB5"/>
    <w:rsid w:val="00907153"/>
    <w:rsid w:val="00907F26"/>
    <w:rsid w:val="009109D2"/>
    <w:rsid w:val="009112EF"/>
    <w:rsid w:val="00911732"/>
    <w:rsid w:val="00911828"/>
    <w:rsid w:val="00911AC6"/>
    <w:rsid w:val="00911F2E"/>
    <w:rsid w:val="0091204F"/>
    <w:rsid w:val="009121C2"/>
    <w:rsid w:val="00912A82"/>
    <w:rsid w:val="00913079"/>
    <w:rsid w:val="009134CE"/>
    <w:rsid w:val="009140E6"/>
    <w:rsid w:val="009141A8"/>
    <w:rsid w:val="009147E6"/>
    <w:rsid w:val="00914AD2"/>
    <w:rsid w:val="00914B40"/>
    <w:rsid w:val="00914BBA"/>
    <w:rsid w:val="00914E6C"/>
    <w:rsid w:val="009150C8"/>
    <w:rsid w:val="00915375"/>
    <w:rsid w:val="00916529"/>
    <w:rsid w:val="00916B98"/>
    <w:rsid w:val="00916E27"/>
    <w:rsid w:val="0091794C"/>
    <w:rsid w:val="00920086"/>
    <w:rsid w:val="00920B1C"/>
    <w:rsid w:val="009218FA"/>
    <w:rsid w:val="00921A82"/>
    <w:rsid w:val="00921AC7"/>
    <w:rsid w:val="00922423"/>
    <w:rsid w:val="00922C37"/>
    <w:rsid w:val="009231E2"/>
    <w:rsid w:val="0092328A"/>
    <w:rsid w:val="0092387A"/>
    <w:rsid w:val="009238CF"/>
    <w:rsid w:val="009246E2"/>
    <w:rsid w:val="00925034"/>
    <w:rsid w:val="009250BC"/>
    <w:rsid w:val="009259B1"/>
    <w:rsid w:val="00925E04"/>
    <w:rsid w:val="00925E8F"/>
    <w:rsid w:val="00927C2A"/>
    <w:rsid w:val="00927E87"/>
    <w:rsid w:val="009302F8"/>
    <w:rsid w:val="009306FE"/>
    <w:rsid w:val="00932787"/>
    <w:rsid w:val="00932A30"/>
    <w:rsid w:val="00932A63"/>
    <w:rsid w:val="0093345C"/>
    <w:rsid w:val="0093391C"/>
    <w:rsid w:val="00934587"/>
    <w:rsid w:val="0093472E"/>
    <w:rsid w:val="00934C0B"/>
    <w:rsid w:val="00934DDB"/>
    <w:rsid w:val="00934E44"/>
    <w:rsid w:val="0093507B"/>
    <w:rsid w:val="0093555E"/>
    <w:rsid w:val="00936BBF"/>
    <w:rsid w:val="00937290"/>
    <w:rsid w:val="00937301"/>
    <w:rsid w:val="00937342"/>
    <w:rsid w:val="009373BE"/>
    <w:rsid w:val="00937519"/>
    <w:rsid w:val="00937CA9"/>
    <w:rsid w:val="00937EE2"/>
    <w:rsid w:val="00940055"/>
    <w:rsid w:val="009402EC"/>
    <w:rsid w:val="0094081B"/>
    <w:rsid w:val="00940A60"/>
    <w:rsid w:val="00940F8E"/>
    <w:rsid w:val="00941681"/>
    <w:rsid w:val="00941D25"/>
    <w:rsid w:val="00941E0F"/>
    <w:rsid w:val="009420C1"/>
    <w:rsid w:val="00942634"/>
    <w:rsid w:val="00942CDA"/>
    <w:rsid w:val="00942E03"/>
    <w:rsid w:val="00943312"/>
    <w:rsid w:val="00943704"/>
    <w:rsid w:val="00943CFC"/>
    <w:rsid w:val="009441D7"/>
    <w:rsid w:val="0094432B"/>
    <w:rsid w:val="00944516"/>
    <w:rsid w:val="00945AFC"/>
    <w:rsid w:val="0094601A"/>
    <w:rsid w:val="00946072"/>
    <w:rsid w:val="00946151"/>
    <w:rsid w:val="009463BB"/>
    <w:rsid w:val="00946489"/>
    <w:rsid w:val="00946559"/>
    <w:rsid w:val="009466F7"/>
    <w:rsid w:val="0094673B"/>
    <w:rsid w:val="00947A09"/>
    <w:rsid w:val="00950011"/>
    <w:rsid w:val="00950B2F"/>
    <w:rsid w:val="00950E68"/>
    <w:rsid w:val="00950F6E"/>
    <w:rsid w:val="009521F2"/>
    <w:rsid w:val="009523FC"/>
    <w:rsid w:val="00953951"/>
    <w:rsid w:val="00953FA6"/>
    <w:rsid w:val="009541EB"/>
    <w:rsid w:val="0095445E"/>
    <w:rsid w:val="00954598"/>
    <w:rsid w:val="009545F9"/>
    <w:rsid w:val="00954691"/>
    <w:rsid w:val="00954772"/>
    <w:rsid w:val="00954B8E"/>
    <w:rsid w:val="009550E0"/>
    <w:rsid w:val="0095511D"/>
    <w:rsid w:val="00955BEB"/>
    <w:rsid w:val="00955E3B"/>
    <w:rsid w:val="0095696D"/>
    <w:rsid w:val="00956A2D"/>
    <w:rsid w:val="00956AB7"/>
    <w:rsid w:val="00957D5F"/>
    <w:rsid w:val="009604E8"/>
    <w:rsid w:val="0096082D"/>
    <w:rsid w:val="00960F4A"/>
    <w:rsid w:val="00960F5C"/>
    <w:rsid w:val="0096153A"/>
    <w:rsid w:val="00961AB7"/>
    <w:rsid w:val="009621D9"/>
    <w:rsid w:val="00962649"/>
    <w:rsid w:val="00962C03"/>
    <w:rsid w:val="00962FF1"/>
    <w:rsid w:val="00963234"/>
    <w:rsid w:val="009633EF"/>
    <w:rsid w:val="00963428"/>
    <w:rsid w:val="00963456"/>
    <w:rsid w:val="009636B5"/>
    <w:rsid w:val="009637BC"/>
    <w:rsid w:val="00963BFD"/>
    <w:rsid w:val="00963D27"/>
    <w:rsid w:val="00963EE1"/>
    <w:rsid w:val="00964B7C"/>
    <w:rsid w:val="00965764"/>
    <w:rsid w:val="00966824"/>
    <w:rsid w:val="00967052"/>
    <w:rsid w:val="00970041"/>
    <w:rsid w:val="0097029F"/>
    <w:rsid w:val="009707D9"/>
    <w:rsid w:val="009708B5"/>
    <w:rsid w:val="00971148"/>
    <w:rsid w:val="009712E5"/>
    <w:rsid w:val="00971581"/>
    <w:rsid w:val="00971815"/>
    <w:rsid w:val="0097183F"/>
    <w:rsid w:val="00972413"/>
    <w:rsid w:val="00972940"/>
    <w:rsid w:val="00972B99"/>
    <w:rsid w:val="00972D81"/>
    <w:rsid w:val="00972DF7"/>
    <w:rsid w:val="00972E4C"/>
    <w:rsid w:val="00973372"/>
    <w:rsid w:val="009739A1"/>
    <w:rsid w:val="00973CFF"/>
    <w:rsid w:val="00974B81"/>
    <w:rsid w:val="00974C56"/>
    <w:rsid w:val="009757FB"/>
    <w:rsid w:val="00975981"/>
    <w:rsid w:val="00975AB2"/>
    <w:rsid w:val="00976526"/>
    <w:rsid w:val="009768B2"/>
    <w:rsid w:val="00976C8F"/>
    <w:rsid w:val="00976E83"/>
    <w:rsid w:val="00976F71"/>
    <w:rsid w:val="009770A3"/>
    <w:rsid w:val="00977A54"/>
    <w:rsid w:val="00980251"/>
    <w:rsid w:val="00980DB0"/>
    <w:rsid w:val="00980E3A"/>
    <w:rsid w:val="00980E8B"/>
    <w:rsid w:val="009814A9"/>
    <w:rsid w:val="009817EE"/>
    <w:rsid w:val="00981B56"/>
    <w:rsid w:val="00981F6A"/>
    <w:rsid w:val="00982D0F"/>
    <w:rsid w:val="00983472"/>
    <w:rsid w:val="00983BDD"/>
    <w:rsid w:val="00983CF7"/>
    <w:rsid w:val="0098474A"/>
    <w:rsid w:val="00984EF2"/>
    <w:rsid w:val="00984FBB"/>
    <w:rsid w:val="0098532F"/>
    <w:rsid w:val="009854B5"/>
    <w:rsid w:val="009856CE"/>
    <w:rsid w:val="009856CF"/>
    <w:rsid w:val="00985A5C"/>
    <w:rsid w:val="00985CE7"/>
    <w:rsid w:val="00985F7A"/>
    <w:rsid w:val="00986044"/>
    <w:rsid w:val="00986612"/>
    <w:rsid w:val="00986F0D"/>
    <w:rsid w:val="00987657"/>
    <w:rsid w:val="00987B67"/>
    <w:rsid w:val="00987DD3"/>
    <w:rsid w:val="009909BB"/>
    <w:rsid w:val="00990CEB"/>
    <w:rsid w:val="00990E69"/>
    <w:rsid w:val="00991361"/>
    <w:rsid w:val="009913FC"/>
    <w:rsid w:val="009916E9"/>
    <w:rsid w:val="00991B6F"/>
    <w:rsid w:val="00992012"/>
    <w:rsid w:val="00992809"/>
    <w:rsid w:val="00992AA3"/>
    <w:rsid w:val="00992C75"/>
    <w:rsid w:val="009931CC"/>
    <w:rsid w:val="009936CD"/>
    <w:rsid w:val="00993732"/>
    <w:rsid w:val="00993754"/>
    <w:rsid w:val="0099398E"/>
    <w:rsid w:val="00993C5A"/>
    <w:rsid w:val="00993D7A"/>
    <w:rsid w:val="00994467"/>
    <w:rsid w:val="0099526D"/>
    <w:rsid w:val="00995354"/>
    <w:rsid w:val="009954AA"/>
    <w:rsid w:val="009959E3"/>
    <w:rsid w:val="00995D7F"/>
    <w:rsid w:val="00995DC1"/>
    <w:rsid w:val="0099632D"/>
    <w:rsid w:val="0099699E"/>
    <w:rsid w:val="0099702F"/>
    <w:rsid w:val="00997CAB"/>
    <w:rsid w:val="009A0166"/>
    <w:rsid w:val="009A082B"/>
    <w:rsid w:val="009A0F6E"/>
    <w:rsid w:val="009A16E5"/>
    <w:rsid w:val="009A1FD2"/>
    <w:rsid w:val="009A24D8"/>
    <w:rsid w:val="009A274A"/>
    <w:rsid w:val="009A27A3"/>
    <w:rsid w:val="009A27DB"/>
    <w:rsid w:val="009A27DE"/>
    <w:rsid w:val="009A2D10"/>
    <w:rsid w:val="009A30FC"/>
    <w:rsid w:val="009A3551"/>
    <w:rsid w:val="009A376C"/>
    <w:rsid w:val="009A3B8D"/>
    <w:rsid w:val="009A3DA7"/>
    <w:rsid w:val="009A4022"/>
    <w:rsid w:val="009A4225"/>
    <w:rsid w:val="009A43F2"/>
    <w:rsid w:val="009A4591"/>
    <w:rsid w:val="009A45AB"/>
    <w:rsid w:val="009A49C3"/>
    <w:rsid w:val="009A4A04"/>
    <w:rsid w:val="009A5134"/>
    <w:rsid w:val="009A5347"/>
    <w:rsid w:val="009A5671"/>
    <w:rsid w:val="009A64E8"/>
    <w:rsid w:val="009A6889"/>
    <w:rsid w:val="009A69DB"/>
    <w:rsid w:val="009A718C"/>
    <w:rsid w:val="009A7309"/>
    <w:rsid w:val="009A7807"/>
    <w:rsid w:val="009A79FD"/>
    <w:rsid w:val="009A7EE4"/>
    <w:rsid w:val="009A7F6B"/>
    <w:rsid w:val="009A7FFD"/>
    <w:rsid w:val="009B0333"/>
    <w:rsid w:val="009B0906"/>
    <w:rsid w:val="009B0B0F"/>
    <w:rsid w:val="009B0D53"/>
    <w:rsid w:val="009B1082"/>
    <w:rsid w:val="009B1617"/>
    <w:rsid w:val="009B1705"/>
    <w:rsid w:val="009B19E3"/>
    <w:rsid w:val="009B1BFE"/>
    <w:rsid w:val="009B23F5"/>
    <w:rsid w:val="009B240B"/>
    <w:rsid w:val="009B2BFF"/>
    <w:rsid w:val="009B2FD0"/>
    <w:rsid w:val="009B352E"/>
    <w:rsid w:val="009B353E"/>
    <w:rsid w:val="009B35F6"/>
    <w:rsid w:val="009B3F90"/>
    <w:rsid w:val="009B3FE6"/>
    <w:rsid w:val="009B4014"/>
    <w:rsid w:val="009B4398"/>
    <w:rsid w:val="009B47E3"/>
    <w:rsid w:val="009B4B7C"/>
    <w:rsid w:val="009B4CF5"/>
    <w:rsid w:val="009B549E"/>
    <w:rsid w:val="009B5553"/>
    <w:rsid w:val="009B5AB2"/>
    <w:rsid w:val="009B60DC"/>
    <w:rsid w:val="009B6352"/>
    <w:rsid w:val="009B67A6"/>
    <w:rsid w:val="009B69DE"/>
    <w:rsid w:val="009B6CC6"/>
    <w:rsid w:val="009B6EDC"/>
    <w:rsid w:val="009B7563"/>
    <w:rsid w:val="009B7753"/>
    <w:rsid w:val="009B7EEA"/>
    <w:rsid w:val="009C0D0A"/>
    <w:rsid w:val="009C0EB5"/>
    <w:rsid w:val="009C0F5C"/>
    <w:rsid w:val="009C1132"/>
    <w:rsid w:val="009C1A3D"/>
    <w:rsid w:val="009C1AFC"/>
    <w:rsid w:val="009C2046"/>
    <w:rsid w:val="009C2AA0"/>
    <w:rsid w:val="009C2AEA"/>
    <w:rsid w:val="009C42C5"/>
    <w:rsid w:val="009C4305"/>
    <w:rsid w:val="009C44EB"/>
    <w:rsid w:val="009C4A3F"/>
    <w:rsid w:val="009C4AB2"/>
    <w:rsid w:val="009C58D4"/>
    <w:rsid w:val="009C62B8"/>
    <w:rsid w:val="009C66AD"/>
    <w:rsid w:val="009C66E0"/>
    <w:rsid w:val="009C6EBB"/>
    <w:rsid w:val="009C70A1"/>
    <w:rsid w:val="009C7693"/>
    <w:rsid w:val="009C7694"/>
    <w:rsid w:val="009C7E2D"/>
    <w:rsid w:val="009C7F08"/>
    <w:rsid w:val="009D010F"/>
    <w:rsid w:val="009D026F"/>
    <w:rsid w:val="009D05E2"/>
    <w:rsid w:val="009D0622"/>
    <w:rsid w:val="009D0652"/>
    <w:rsid w:val="009D0DC3"/>
    <w:rsid w:val="009D0E05"/>
    <w:rsid w:val="009D10D9"/>
    <w:rsid w:val="009D154C"/>
    <w:rsid w:val="009D19E7"/>
    <w:rsid w:val="009D1D84"/>
    <w:rsid w:val="009D2034"/>
    <w:rsid w:val="009D23AB"/>
    <w:rsid w:val="009D2B6B"/>
    <w:rsid w:val="009D2D2F"/>
    <w:rsid w:val="009D2E02"/>
    <w:rsid w:val="009D33D2"/>
    <w:rsid w:val="009D39B8"/>
    <w:rsid w:val="009D3B70"/>
    <w:rsid w:val="009D3D73"/>
    <w:rsid w:val="009D46CC"/>
    <w:rsid w:val="009D5A46"/>
    <w:rsid w:val="009D5A8C"/>
    <w:rsid w:val="009D5AFF"/>
    <w:rsid w:val="009D6A2B"/>
    <w:rsid w:val="009D6C62"/>
    <w:rsid w:val="009D7294"/>
    <w:rsid w:val="009D7820"/>
    <w:rsid w:val="009D791D"/>
    <w:rsid w:val="009D7AE5"/>
    <w:rsid w:val="009D7FA4"/>
    <w:rsid w:val="009E020B"/>
    <w:rsid w:val="009E03BA"/>
    <w:rsid w:val="009E03E3"/>
    <w:rsid w:val="009E0A1A"/>
    <w:rsid w:val="009E0F47"/>
    <w:rsid w:val="009E129F"/>
    <w:rsid w:val="009E1425"/>
    <w:rsid w:val="009E15F3"/>
    <w:rsid w:val="009E176E"/>
    <w:rsid w:val="009E1DBD"/>
    <w:rsid w:val="009E1FDF"/>
    <w:rsid w:val="009E2BDE"/>
    <w:rsid w:val="009E3CFE"/>
    <w:rsid w:val="009E3E86"/>
    <w:rsid w:val="009E4454"/>
    <w:rsid w:val="009E4F1A"/>
    <w:rsid w:val="009E56ED"/>
    <w:rsid w:val="009E59B1"/>
    <w:rsid w:val="009E60F4"/>
    <w:rsid w:val="009E6998"/>
    <w:rsid w:val="009E6D01"/>
    <w:rsid w:val="009E717F"/>
    <w:rsid w:val="009E7402"/>
    <w:rsid w:val="009E7A7B"/>
    <w:rsid w:val="009E7AD6"/>
    <w:rsid w:val="009E7AD8"/>
    <w:rsid w:val="009E7AF1"/>
    <w:rsid w:val="009E7C8F"/>
    <w:rsid w:val="009E7FA9"/>
    <w:rsid w:val="009F0B9D"/>
    <w:rsid w:val="009F1997"/>
    <w:rsid w:val="009F2098"/>
    <w:rsid w:val="009F26C1"/>
    <w:rsid w:val="009F2B45"/>
    <w:rsid w:val="009F34D6"/>
    <w:rsid w:val="009F3A1F"/>
    <w:rsid w:val="009F3C54"/>
    <w:rsid w:val="009F4246"/>
    <w:rsid w:val="009F43DB"/>
    <w:rsid w:val="009F43EE"/>
    <w:rsid w:val="009F4730"/>
    <w:rsid w:val="009F4ACC"/>
    <w:rsid w:val="009F4F0A"/>
    <w:rsid w:val="009F4FA0"/>
    <w:rsid w:val="009F5D1E"/>
    <w:rsid w:val="009F68D8"/>
    <w:rsid w:val="009F698E"/>
    <w:rsid w:val="009F6BF4"/>
    <w:rsid w:val="009F749F"/>
    <w:rsid w:val="009F756F"/>
    <w:rsid w:val="00A0047E"/>
    <w:rsid w:val="00A0054E"/>
    <w:rsid w:val="00A00B41"/>
    <w:rsid w:val="00A00B9D"/>
    <w:rsid w:val="00A00CED"/>
    <w:rsid w:val="00A01651"/>
    <w:rsid w:val="00A01BC4"/>
    <w:rsid w:val="00A01BEB"/>
    <w:rsid w:val="00A02060"/>
    <w:rsid w:val="00A020F8"/>
    <w:rsid w:val="00A026A4"/>
    <w:rsid w:val="00A0307C"/>
    <w:rsid w:val="00A03236"/>
    <w:rsid w:val="00A03835"/>
    <w:rsid w:val="00A03F4B"/>
    <w:rsid w:val="00A04085"/>
    <w:rsid w:val="00A044EC"/>
    <w:rsid w:val="00A047E7"/>
    <w:rsid w:val="00A04B6B"/>
    <w:rsid w:val="00A04D01"/>
    <w:rsid w:val="00A052FF"/>
    <w:rsid w:val="00A06211"/>
    <w:rsid w:val="00A06C5E"/>
    <w:rsid w:val="00A06F50"/>
    <w:rsid w:val="00A06FEA"/>
    <w:rsid w:val="00A07028"/>
    <w:rsid w:val="00A1031C"/>
    <w:rsid w:val="00A1061B"/>
    <w:rsid w:val="00A1083F"/>
    <w:rsid w:val="00A1091A"/>
    <w:rsid w:val="00A10968"/>
    <w:rsid w:val="00A10C11"/>
    <w:rsid w:val="00A11B2F"/>
    <w:rsid w:val="00A11B97"/>
    <w:rsid w:val="00A124C7"/>
    <w:rsid w:val="00A1325F"/>
    <w:rsid w:val="00A134A1"/>
    <w:rsid w:val="00A134CA"/>
    <w:rsid w:val="00A135D6"/>
    <w:rsid w:val="00A13E05"/>
    <w:rsid w:val="00A14402"/>
    <w:rsid w:val="00A15175"/>
    <w:rsid w:val="00A151C5"/>
    <w:rsid w:val="00A15821"/>
    <w:rsid w:val="00A16558"/>
    <w:rsid w:val="00A16772"/>
    <w:rsid w:val="00A1685B"/>
    <w:rsid w:val="00A16F9C"/>
    <w:rsid w:val="00A1734C"/>
    <w:rsid w:val="00A17580"/>
    <w:rsid w:val="00A176FF"/>
    <w:rsid w:val="00A17B73"/>
    <w:rsid w:val="00A17C3B"/>
    <w:rsid w:val="00A20182"/>
    <w:rsid w:val="00A2026C"/>
    <w:rsid w:val="00A20667"/>
    <w:rsid w:val="00A21B9F"/>
    <w:rsid w:val="00A221A4"/>
    <w:rsid w:val="00A232D6"/>
    <w:rsid w:val="00A234E3"/>
    <w:rsid w:val="00A238C8"/>
    <w:rsid w:val="00A24F1F"/>
    <w:rsid w:val="00A250B4"/>
    <w:rsid w:val="00A2537E"/>
    <w:rsid w:val="00A255CC"/>
    <w:rsid w:val="00A25625"/>
    <w:rsid w:val="00A2573D"/>
    <w:rsid w:val="00A25F3F"/>
    <w:rsid w:val="00A267C2"/>
    <w:rsid w:val="00A269F7"/>
    <w:rsid w:val="00A27AD9"/>
    <w:rsid w:val="00A27B86"/>
    <w:rsid w:val="00A27D22"/>
    <w:rsid w:val="00A27D7A"/>
    <w:rsid w:val="00A308E0"/>
    <w:rsid w:val="00A30B49"/>
    <w:rsid w:val="00A30BE4"/>
    <w:rsid w:val="00A30E0C"/>
    <w:rsid w:val="00A30F11"/>
    <w:rsid w:val="00A31618"/>
    <w:rsid w:val="00A316B4"/>
    <w:rsid w:val="00A317D6"/>
    <w:rsid w:val="00A33092"/>
    <w:rsid w:val="00A33263"/>
    <w:rsid w:val="00A3340B"/>
    <w:rsid w:val="00A33D53"/>
    <w:rsid w:val="00A351FC"/>
    <w:rsid w:val="00A352F0"/>
    <w:rsid w:val="00A35AA9"/>
    <w:rsid w:val="00A35F13"/>
    <w:rsid w:val="00A36114"/>
    <w:rsid w:val="00A36247"/>
    <w:rsid w:val="00A36324"/>
    <w:rsid w:val="00A36497"/>
    <w:rsid w:val="00A365BA"/>
    <w:rsid w:val="00A36CD9"/>
    <w:rsid w:val="00A370C3"/>
    <w:rsid w:val="00A379B0"/>
    <w:rsid w:val="00A37E93"/>
    <w:rsid w:val="00A40419"/>
    <w:rsid w:val="00A404E2"/>
    <w:rsid w:val="00A405BB"/>
    <w:rsid w:val="00A410CC"/>
    <w:rsid w:val="00A4135F"/>
    <w:rsid w:val="00A413C0"/>
    <w:rsid w:val="00A41C79"/>
    <w:rsid w:val="00A42C6D"/>
    <w:rsid w:val="00A42D9D"/>
    <w:rsid w:val="00A43A35"/>
    <w:rsid w:val="00A43BD4"/>
    <w:rsid w:val="00A4401A"/>
    <w:rsid w:val="00A445C6"/>
    <w:rsid w:val="00A44D8D"/>
    <w:rsid w:val="00A45032"/>
    <w:rsid w:val="00A450A2"/>
    <w:rsid w:val="00A4652D"/>
    <w:rsid w:val="00A465A6"/>
    <w:rsid w:val="00A46B7A"/>
    <w:rsid w:val="00A475EB"/>
    <w:rsid w:val="00A47E81"/>
    <w:rsid w:val="00A506FE"/>
    <w:rsid w:val="00A50836"/>
    <w:rsid w:val="00A5091B"/>
    <w:rsid w:val="00A510C0"/>
    <w:rsid w:val="00A511BD"/>
    <w:rsid w:val="00A51210"/>
    <w:rsid w:val="00A5153A"/>
    <w:rsid w:val="00A51D32"/>
    <w:rsid w:val="00A520F5"/>
    <w:rsid w:val="00A52152"/>
    <w:rsid w:val="00A521EA"/>
    <w:rsid w:val="00A521ED"/>
    <w:rsid w:val="00A5279D"/>
    <w:rsid w:val="00A52832"/>
    <w:rsid w:val="00A5287A"/>
    <w:rsid w:val="00A528FC"/>
    <w:rsid w:val="00A5320D"/>
    <w:rsid w:val="00A53C71"/>
    <w:rsid w:val="00A53C72"/>
    <w:rsid w:val="00A544C9"/>
    <w:rsid w:val="00A54E76"/>
    <w:rsid w:val="00A551D1"/>
    <w:rsid w:val="00A551E3"/>
    <w:rsid w:val="00A55370"/>
    <w:rsid w:val="00A5545B"/>
    <w:rsid w:val="00A55483"/>
    <w:rsid w:val="00A55527"/>
    <w:rsid w:val="00A55F51"/>
    <w:rsid w:val="00A56A3A"/>
    <w:rsid w:val="00A570D8"/>
    <w:rsid w:val="00A5734F"/>
    <w:rsid w:val="00A5756A"/>
    <w:rsid w:val="00A575FC"/>
    <w:rsid w:val="00A577A7"/>
    <w:rsid w:val="00A57DE2"/>
    <w:rsid w:val="00A600B0"/>
    <w:rsid w:val="00A615B0"/>
    <w:rsid w:val="00A61821"/>
    <w:rsid w:val="00A61EBD"/>
    <w:rsid w:val="00A6218A"/>
    <w:rsid w:val="00A627F2"/>
    <w:rsid w:val="00A6295C"/>
    <w:rsid w:val="00A62DD6"/>
    <w:rsid w:val="00A631B5"/>
    <w:rsid w:val="00A63E7C"/>
    <w:rsid w:val="00A64026"/>
    <w:rsid w:val="00A64334"/>
    <w:rsid w:val="00A64F79"/>
    <w:rsid w:val="00A6558F"/>
    <w:rsid w:val="00A65E36"/>
    <w:rsid w:val="00A65E92"/>
    <w:rsid w:val="00A665EA"/>
    <w:rsid w:val="00A66677"/>
    <w:rsid w:val="00A66C5A"/>
    <w:rsid w:val="00A66D2C"/>
    <w:rsid w:val="00A66DBF"/>
    <w:rsid w:val="00A66EE1"/>
    <w:rsid w:val="00A67451"/>
    <w:rsid w:val="00A674E9"/>
    <w:rsid w:val="00A6785E"/>
    <w:rsid w:val="00A67F30"/>
    <w:rsid w:val="00A67F82"/>
    <w:rsid w:val="00A70BA6"/>
    <w:rsid w:val="00A71171"/>
    <w:rsid w:val="00A712FC"/>
    <w:rsid w:val="00A71306"/>
    <w:rsid w:val="00A73D62"/>
    <w:rsid w:val="00A7505B"/>
    <w:rsid w:val="00A75A15"/>
    <w:rsid w:val="00A75C4C"/>
    <w:rsid w:val="00A76245"/>
    <w:rsid w:val="00A7664A"/>
    <w:rsid w:val="00A767FC"/>
    <w:rsid w:val="00A76A15"/>
    <w:rsid w:val="00A76A1B"/>
    <w:rsid w:val="00A76AD8"/>
    <w:rsid w:val="00A76EDB"/>
    <w:rsid w:val="00A772D0"/>
    <w:rsid w:val="00A773DC"/>
    <w:rsid w:val="00A778BC"/>
    <w:rsid w:val="00A80505"/>
    <w:rsid w:val="00A80BC1"/>
    <w:rsid w:val="00A80EA7"/>
    <w:rsid w:val="00A80FEE"/>
    <w:rsid w:val="00A81081"/>
    <w:rsid w:val="00A812E6"/>
    <w:rsid w:val="00A818EB"/>
    <w:rsid w:val="00A82B7A"/>
    <w:rsid w:val="00A82CCD"/>
    <w:rsid w:val="00A82D4D"/>
    <w:rsid w:val="00A82D82"/>
    <w:rsid w:val="00A82E3A"/>
    <w:rsid w:val="00A82F9E"/>
    <w:rsid w:val="00A830B2"/>
    <w:rsid w:val="00A831E2"/>
    <w:rsid w:val="00A8372A"/>
    <w:rsid w:val="00A83AB2"/>
    <w:rsid w:val="00A83BE1"/>
    <w:rsid w:val="00A851A6"/>
    <w:rsid w:val="00A85852"/>
    <w:rsid w:val="00A85D90"/>
    <w:rsid w:val="00A85F12"/>
    <w:rsid w:val="00A8625E"/>
    <w:rsid w:val="00A8667F"/>
    <w:rsid w:val="00A86844"/>
    <w:rsid w:val="00A870B0"/>
    <w:rsid w:val="00A871F6"/>
    <w:rsid w:val="00A87480"/>
    <w:rsid w:val="00A87747"/>
    <w:rsid w:val="00A87B74"/>
    <w:rsid w:val="00A9038C"/>
    <w:rsid w:val="00A9065C"/>
    <w:rsid w:val="00A90F6B"/>
    <w:rsid w:val="00A911BA"/>
    <w:rsid w:val="00A915F2"/>
    <w:rsid w:val="00A91AFE"/>
    <w:rsid w:val="00A91B21"/>
    <w:rsid w:val="00A91C63"/>
    <w:rsid w:val="00A91D91"/>
    <w:rsid w:val="00A91E47"/>
    <w:rsid w:val="00A927E2"/>
    <w:rsid w:val="00A92ADB"/>
    <w:rsid w:val="00A93232"/>
    <w:rsid w:val="00A9352B"/>
    <w:rsid w:val="00A936D4"/>
    <w:rsid w:val="00A93AAE"/>
    <w:rsid w:val="00A9464B"/>
    <w:rsid w:val="00A9465B"/>
    <w:rsid w:val="00A95087"/>
    <w:rsid w:val="00A95B73"/>
    <w:rsid w:val="00A95B8B"/>
    <w:rsid w:val="00A95C75"/>
    <w:rsid w:val="00A95D36"/>
    <w:rsid w:val="00A96349"/>
    <w:rsid w:val="00A97546"/>
    <w:rsid w:val="00A9795A"/>
    <w:rsid w:val="00AA054E"/>
    <w:rsid w:val="00AA0CBF"/>
    <w:rsid w:val="00AA0E48"/>
    <w:rsid w:val="00AA0FC2"/>
    <w:rsid w:val="00AA1100"/>
    <w:rsid w:val="00AA11CC"/>
    <w:rsid w:val="00AA194B"/>
    <w:rsid w:val="00AA1A0D"/>
    <w:rsid w:val="00AA1CF7"/>
    <w:rsid w:val="00AA237B"/>
    <w:rsid w:val="00AA2938"/>
    <w:rsid w:val="00AA3F8F"/>
    <w:rsid w:val="00AA410B"/>
    <w:rsid w:val="00AA489F"/>
    <w:rsid w:val="00AA57EE"/>
    <w:rsid w:val="00AA5D9A"/>
    <w:rsid w:val="00AA5F41"/>
    <w:rsid w:val="00AA6057"/>
    <w:rsid w:val="00AA67E0"/>
    <w:rsid w:val="00AA6B8D"/>
    <w:rsid w:val="00AA6F01"/>
    <w:rsid w:val="00AA7281"/>
    <w:rsid w:val="00AA7615"/>
    <w:rsid w:val="00AA7FA7"/>
    <w:rsid w:val="00AB014D"/>
    <w:rsid w:val="00AB01CF"/>
    <w:rsid w:val="00AB02C7"/>
    <w:rsid w:val="00AB0432"/>
    <w:rsid w:val="00AB04D8"/>
    <w:rsid w:val="00AB16D7"/>
    <w:rsid w:val="00AB2227"/>
    <w:rsid w:val="00AB225F"/>
    <w:rsid w:val="00AB29B4"/>
    <w:rsid w:val="00AB2AC8"/>
    <w:rsid w:val="00AB2B0B"/>
    <w:rsid w:val="00AB2C34"/>
    <w:rsid w:val="00AB3628"/>
    <w:rsid w:val="00AB385A"/>
    <w:rsid w:val="00AB3D7D"/>
    <w:rsid w:val="00AB3DBE"/>
    <w:rsid w:val="00AB3E54"/>
    <w:rsid w:val="00AB3E9E"/>
    <w:rsid w:val="00AB3F7F"/>
    <w:rsid w:val="00AB411F"/>
    <w:rsid w:val="00AB51C0"/>
    <w:rsid w:val="00AB534C"/>
    <w:rsid w:val="00AB5D79"/>
    <w:rsid w:val="00AB64B1"/>
    <w:rsid w:val="00AB64DA"/>
    <w:rsid w:val="00AB6F37"/>
    <w:rsid w:val="00AB6FFB"/>
    <w:rsid w:val="00AB7132"/>
    <w:rsid w:val="00AB7463"/>
    <w:rsid w:val="00AB7542"/>
    <w:rsid w:val="00AB769F"/>
    <w:rsid w:val="00AB76F8"/>
    <w:rsid w:val="00AB7785"/>
    <w:rsid w:val="00AB7897"/>
    <w:rsid w:val="00AB7AC8"/>
    <w:rsid w:val="00AC0B81"/>
    <w:rsid w:val="00AC0EFE"/>
    <w:rsid w:val="00AC12E0"/>
    <w:rsid w:val="00AC1A4A"/>
    <w:rsid w:val="00AC1BD9"/>
    <w:rsid w:val="00AC1F4F"/>
    <w:rsid w:val="00AC22EE"/>
    <w:rsid w:val="00AC26BB"/>
    <w:rsid w:val="00AC2758"/>
    <w:rsid w:val="00AC2D66"/>
    <w:rsid w:val="00AC2EC4"/>
    <w:rsid w:val="00AC3E22"/>
    <w:rsid w:val="00AC4A8E"/>
    <w:rsid w:val="00AC4B1C"/>
    <w:rsid w:val="00AC50E9"/>
    <w:rsid w:val="00AC50FD"/>
    <w:rsid w:val="00AC5949"/>
    <w:rsid w:val="00AC5AED"/>
    <w:rsid w:val="00AC5CCD"/>
    <w:rsid w:val="00AC5CED"/>
    <w:rsid w:val="00AC631D"/>
    <w:rsid w:val="00AC670D"/>
    <w:rsid w:val="00AC6BA0"/>
    <w:rsid w:val="00AC71B2"/>
    <w:rsid w:val="00AC7635"/>
    <w:rsid w:val="00AC774B"/>
    <w:rsid w:val="00AC7764"/>
    <w:rsid w:val="00AC77A8"/>
    <w:rsid w:val="00AC79E0"/>
    <w:rsid w:val="00AC7BCD"/>
    <w:rsid w:val="00AD0B10"/>
    <w:rsid w:val="00AD14F2"/>
    <w:rsid w:val="00AD150A"/>
    <w:rsid w:val="00AD17E2"/>
    <w:rsid w:val="00AD1AAC"/>
    <w:rsid w:val="00AD1E14"/>
    <w:rsid w:val="00AD202A"/>
    <w:rsid w:val="00AD2375"/>
    <w:rsid w:val="00AD239F"/>
    <w:rsid w:val="00AD28C9"/>
    <w:rsid w:val="00AD35AB"/>
    <w:rsid w:val="00AD3E97"/>
    <w:rsid w:val="00AD4153"/>
    <w:rsid w:val="00AD41CA"/>
    <w:rsid w:val="00AD4318"/>
    <w:rsid w:val="00AD4813"/>
    <w:rsid w:val="00AD4ADE"/>
    <w:rsid w:val="00AD4DD7"/>
    <w:rsid w:val="00AD4FE1"/>
    <w:rsid w:val="00AD5036"/>
    <w:rsid w:val="00AD54E6"/>
    <w:rsid w:val="00AD57F7"/>
    <w:rsid w:val="00AD5B71"/>
    <w:rsid w:val="00AD5F0D"/>
    <w:rsid w:val="00AD694C"/>
    <w:rsid w:val="00AD6CD5"/>
    <w:rsid w:val="00AE0E18"/>
    <w:rsid w:val="00AE0F32"/>
    <w:rsid w:val="00AE24F3"/>
    <w:rsid w:val="00AE2CC4"/>
    <w:rsid w:val="00AE2F10"/>
    <w:rsid w:val="00AE33F4"/>
    <w:rsid w:val="00AE3D96"/>
    <w:rsid w:val="00AE3FDC"/>
    <w:rsid w:val="00AE4FC7"/>
    <w:rsid w:val="00AE5271"/>
    <w:rsid w:val="00AE5433"/>
    <w:rsid w:val="00AE74C9"/>
    <w:rsid w:val="00AF0116"/>
    <w:rsid w:val="00AF0498"/>
    <w:rsid w:val="00AF0D15"/>
    <w:rsid w:val="00AF0ECE"/>
    <w:rsid w:val="00AF0F6F"/>
    <w:rsid w:val="00AF14D5"/>
    <w:rsid w:val="00AF172D"/>
    <w:rsid w:val="00AF18A1"/>
    <w:rsid w:val="00AF1E9D"/>
    <w:rsid w:val="00AF1FC7"/>
    <w:rsid w:val="00AF2260"/>
    <w:rsid w:val="00AF2994"/>
    <w:rsid w:val="00AF2B95"/>
    <w:rsid w:val="00AF2D5B"/>
    <w:rsid w:val="00AF4048"/>
    <w:rsid w:val="00AF43B1"/>
    <w:rsid w:val="00AF4529"/>
    <w:rsid w:val="00AF45D5"/>
    <w:rsid w:val="00AF465C"/>
    <w:rsid w:val="00AF4703"/>
    <w:rsid w:val="00AF4840"/>
    <w:rsid w:val="00AF4AAA"/>
    <w:rsid w:val="00AF4DD6"/>
    <w:rsid w:val="00AF4F1B"/>
    <w:rsid w:val="00AF4FD8"/>
    <w:rsid w:val="00AF4FDC"/>
    <w:rsid w:val="00AF592B"/>
    <w:rsid w:val="00AF6356"/>
    <w:rsid w:val="00AF639E"/>
    <w:rsid w:val="00AF6B1E"/>
    <w:rsid w:val="00AF6F08"/>
    <w:rsid w:val="00AF71CA"/>
    <w:rsid w:val="00AF761C"/>
    <w:rsid w:val="00AF781B"/>
    <w:rsid w:val="00AF7C11"/>
    <w:rsid w:val="00AF7E24"/>
    <w:rsid w:val="00AF7E46"/>
    <w:rsid w:val="00B00BEC"/>
    <w:rsid w:val="00B00DF5"/>
    <w:rsid w:val="00B016C1"/>
    <w:rsid w:val="00B01DB3"/>
    <w:rsid w:val="00B01DCC"/>
    <w:rsid w:val="00B028CB"/>
    <w:rsid w:val="00B036D5"/>
    <w:rsid w:val="00B03969"/>
    <w:rsid w:val="00B040F3"/>
    <w:rsid w:val="00B04283"/>
    <w:rsid w:val="00B05096"/>
    <w:rsid w:val="00B05427"/>
    <w:rsid w:val="00B05441"/>
    <w:rsid w:val="00B05B62"/>
    <w:rsid w:val="00B05C99"/>
    <w:rsid w:val="00B07101"/>
    <w:rsid w:val="00B07463"/>
    <w:rsid w:val="00B07994"/>
    <w:rsid w:val="00B103D7"/>
    <w:rsid w:val="00B10921"/>
    <w:rsid w:val="00B114F0"/>
    <w:rsid w:val="00B11AC2"/>
    <w:rsid w:val="00B11EFB"/>
    <w:rsid w:val="00B123ED"/>
    <w:rsid w:val="00B13011"/>
    <w:rsid w:val="00B13118"/>
    <w:rsid w:val="00B13428"/>
    <w:rsid w:val="00B141CE"/>
    <w:rsid w:val="00B14CC4"/>
    <w:rsid w:val="00B14D0D"/>
    <w:rsid w:val="00B14DFF"/>
    <w:rsid w:val="00B154E6"/>
    <w:rsid w:val="00B15C0B"/>
    <w:rsid w:val="00B16A01"/>
    <w:rsid w:val="00B16B3C"/>
    <w:rsid w:val="00B1790D"/>
    <w:rsid w:val="00B17AF3"/>
    <w:rsid w:val="00B17D87"/>
    <w:rsid w:val="00B2035F"/>
    <w:rsid w:val="00B203DC"/>
    <w:rsid w:val="00B208FE"/>
    <w:rsid w:val="00B21274"/>
    <w:rsid w:val="00B21548"/>
    <w:rsid w:val="00B22030"/>
    <w:rsid w:val="00B222F2"/>
    <w:rsid w:val="00B2286F"/>
    <w:rsid w:val="00B23047"/>
    <w:rsid w:val="00B23DDF"/>
    <w:rsid w:val="00B243CB"/>
    <w:rsid w:val="00B25327"/>
    <w:rsid w:val="00B25399"/>
    <w:rsid w:val="00B25C8A"/>
    <w:rsid w:val="00B26198"/>
    <w:rsid w:val="00B27499"/>
    <w:rsid w:val="00B275D7"/>
    <w:rsid w:val="00B2764F"/>
    <w:rsid w:val="00B27EDD"/>
    <w:rsid w:val="00B303A1"/>
    <w:rsid w:val="00B30933"/>
    <w:rsid w:val="00B30BCC"/>
    <w:rsid w:val="00B31386"/>
    <w:rsid w:val="00B314F3"/>
    <w:rsid w:val="00B31666"/>
    <w:rsid w:val="00B31A88"/>
    <w:rsid w:val="00B31B09"/>
    <w:rsid w:val="00B3222D"/>
    <w:rsid w:val="00B32A46"/>
    <w:rsid w:val="00B33214"/>
    <w:rsid w:val="00B33761"/>
    <w:rsid w:val="00B3384F"/>
    <w:rsid w:val="00B33C3F"/>
    <w:rsid w:val="00B33D10"/>
    <w:rsid w:val="00B33EB5"/>
    <w:rsid w:val="00B34BFB"/>
    <w:rsid w:val="00B353DD"/>
    <w:rsid w:val="00B35640"/>
    <w:rsid w:val="00B35F06"/>
    <w:rsid w:val="00B36F57"/>
    <w:rsid w:val="00B3711F"/>
    <w:rsid w:val="00B3712E"/>
    <w:rsid w:val="00B37185"/>
    <w:rsid w:val="00B37295"/>
    <w:rsid w:val="00B37830"/>
    <w:rsid w:val="00B3786F"/>
    <w:rsid w:val="00B40B74"/>
    <w:rsid w:val="00B40D81"/>
    <w:rsid w:val="00B4130E"/>
    <w:rsid w:val="00B417D4"/>
    <w:rsid w:val="00B425CC"/>
    <w:rsid w:val="00B42BD1"/>
    <w:rsid w:val="00B42FB6"/>
    <w:rsid w:val="00B4325C"/>
    <w:rsid w:val="00B43388"/>
    <w:rsid w:val="00B44AFC"/>
    <w:rsid w:val="00B44F2A"/>
    <w:rsid w:val="00B450E6"/>
    <w:rsid w:val="00B46251"/>
    <w:rsid w:val="00B462B8"/>
    <w:rsid w:val="00B46422"/>
    <w:rsid w:val="00B46EF0"/>
    <w:rsid w:val="00B47807"/>
    <w:rsid w:val="00B47C39"/>
    <w:rsid w:val="00B50534"/>
    <w:rsid w:val="00B507E1"/>
    <w:rsid w:val="00B50CC8"/>
    <w:rsid w:val="00B510B3"/>
    <w:rsid w:val="00B51722"/>
    <w:rsid w:val="00B51C6C"/>
    <w:rsid w:val="00B51D00"/>
    <w:rsid w:val="00B52E10"/>
    <w:rsid w:val="00B55282"/>
    <w:rsid w:val="00B5534F"/>
    <w:rsid w:val="00B55ABB"/>
    <w:rsid w:val="00B55F41"/>
    <w:rsid w:val="00B561F9"/>
    <w:rsid w:val="00B56B6C"/>
    <w:rsid w:val="00B56C44"/>
    <w:rsid w:val="00B60E6D"/>
    <w:rsid w:val="00B60F50"/>
    <w:rsid w:val="00B61765"/>
    <w:rsid w:val="00B61CF8"/>
    <w:rsid w:val="00B62298"/>
    <w:rsid w:val="00B624DC"/>
    <w:rsid w:val="00B6266F"/>
    <w:rsid w:val="00B62AD5"/>
    <w:rsid w:val="00B62B82"/>
    <w:rsid w:val="00B62BD8"/>
    <w:rsid w:val="00B63785"/>
    <w:rsid w:val="00B63F4B"/>
    <w:rsid w:val="00B63FEA"/>
    <w:rsid w:val="00B6441A"/>
    <w:rsid w:val="00B644A5"/>
    <w:rsid w:val="00B64A07"/>
    <w:rsid w:val="00B64EE5"/>
    <w:rsid w:val="00B65259"/>
    <w:rsid w:val="00B653F0"/>
    <w:rsid w:val="00B655D1"/>
    <w:rsid w:val="00B667DB"/>
    <w:rsid w:val="00B66BAC"/>
    <w:rsid w:val="00B67AC1"/>
    <w:rsid w:val="00B705C4"/>
    <w:rsid w:val="00B70C7F"/>
    <w:rsid w:val="00B70F28"/>
    <w:rsid w:val="00B7125A"/>
    <w:rsid w:val="00B714BD"/>
    <w:rsid w:val="00B714FC"/>
    <w:rsid w:val="00B71EF3"/>
    <w:rsid w:val="00B72041"/>
    <w:rsid w:val="00B720FB"/>
    <w:rsid w:val="00B72138"/>
    <w:rsid w:val="00B722C7"/>
    <w:rsid w:val="00B7247A"/>
    <w:rsid w:val="00B72643"/>
    <w:rsid w:val="00B73281"/>
    <w:rsid w:val="00B735C5"/>
    <w:rsid w:val="00B73BD4"/>
    <w:rsid w:val="00B73D82"/>
    <w:rsid w:val="00B741C6"/>
    <w:rsid w:val="00B741E3"/>
    <w:rsid w:val="00B74FA7"/>
    <w:rsid w:val="00B750FE"/>
    <w:rsid w:val="00B7550D"/>
    <w:rsid w:val="00B75D5C"/>
    <w:rsid w:val="00B767E0"/>
    <w:rsid w:val="00B773A7"/>
    <w:rsid w:val="00B7765E"/>
    <w:rsid w:val="00B77662"/>
    <w:rsid w:val="00B777E2"/>
    <w:rsid w:val="00B80369"/>
    <w:rsid w:val="00B8053F"/>
    <w:rsid w:val="00B80879"/>
    <w:rsid w:val="00B8171F"/>
    <w:rsid w:val="00B824C7"/>
    <w:rsid w:val="00B82724"/>
    <w:rsid w:val="00B833DB"/>
    <w:rsid w:val="00B8356A"/>
    <w:rsid w:val="00B83B6C"/>
    <w:rsid w:val="00B83B90"/>
    <w:rsid w:val="00B83BE8"/>
    <w:rsid w:val="00B846DF"/>
    <w:rsid w:val="00B848A3"/>
    <w:rsid w:val="00B85001"/>
    <w:rsid w:val="00B85345"/>
    <w:rsid w:val="00B85764"/>
    <w:rsid w:val="00B857B7"/>
    <w:rsid w:val="00B85BAE"/>
    <w:rsid w:val="00B85C15"/>
    <w:rsid w:val="00B85C5B"/>
    <w:rsid w:val="00B85D0A"/>
    <w:rsid w:val="00B85DC6"/>
    <w:rsid w:val="00B85DDA"/>
    <w:rsid w:val="00B86274"/>
    <w:rsid w:val="00B86FD7"/>
    <w:rsid w:val="00B8709F"/>
    <w:rsid w:val="00B87124"/>
    <w:rsid w:val="00B8784E"/>
    <w:rsid w:val="00B90DAF"/>
    <w:rsid w:val="00B919AB"/>
    <w:rsid w:val="00B91A63"/>
    <w:rsid w:val="00B91B6E"/>
    <w:rsid w:val="00B91D44"/>
    <w:rsid w:val="00B925DE"/>
    <w:rsid w:val="00B92A6C"/>
    <w:rsid w:val="00B92B26"/>
    <w:rsid w:val="00B92B32"/>
    <w:rsid w:val="00B93F96"/>
    <w:rsid w:val="00B94380"/>
    <w:rsid w:val="00B947F8"/>
    <w:rsid w:val="00B94E13"/>
    <w:rsid w:val="00B94ED2"/>
    <w:rsid w:val="00B94F5C"/>
    <w:rsid w:val="00B95298"/>
    <w:rsid w:val="00B9534D"/>
    <w:rsid w:val="00B95418"/>
    <w:rsid w:val="00B9580D"/>
    <w:rsid w:val="00B960C3"/>
    <w:rsid w:val="00B966FC"/>
    <w:rsid w:val="00B966FE"/>
    <w:rsid w:val="00B96738"/>
    <w:rsid w:val="00B96AE1"/>
    <w:rsid w:val="00B96D24"/>
    <w:rsid w:val="00B970E3"/>
    <w:rsid w:val="00B97689"/>
    <w:rsid w:val="00BA166B"/>
    <w:rsid w:val="00BA1A26"/>
    <w:rsid w:val="00BA1BC7"/>
    <w:rsid w:val="00BA204B"/>
    <w:rsid w:val="00BA2576"/>
    <w:rsid w:val="00BA2CFD"/>
    <w:rsid w:val="00BA3748"/>
    <w:rsid w:val="00BA3840"/>
    <w:rsid w:val="00BA3BD6"/>
    <w:rsid w:val="00BA427D"/>
    <w:rsid w:val="00BA46CA"/>
    <w:rsid w:val="00BA474C"/>
    <w:rsid w:val="00BA480F"/>
    <w:rsid w:val="00BA4CDD"/>
    <w:rsid w:val="00BA4D38"/>
    <w:rsid w:val="00BA538D"/>
    <w:rsid w:val="00BA54E9"/>
    <w:rsid w:val="00BA5E68"/>
    <w:rsid w:val="00BA62BD"/>
    <w:rsid w:val="00BA6689"/>
    <w:rsid w:val="00BA66F2"/>
    <w:rsid w:val="00BA6AFD"/>
    <w:rsid w:val="00BA6B57"/>
    <w:rsid w:val="00BA6EA2"/>
    <w:rsid w:val="00BA70FA"/>
    <w:rsid w:val="00BA71FA"/>
    <w:rsid w:val="00BB02DB"/>
    <w:rsid w:val="00BB0B6E"/>
    <w:rsid w:val="00BB14D4"/>
    <w:rsid w:val="00BB153A"/>
    <w:rsid w:val="00BB187D"/>
    <w:rsid w:val="00BB2004"/>
    <w:rsid w:val="00BB21F2"/>
    <w:rsid w:val="00BB2F6D"/>
    <w:rsid w:val="00BB351D"/>
    <w:rsid w:val="00BB3D70"/>
    <w:rsid w:val="00BB41F5"/>
    <w:rsid w:val="00BB449C"/>
    <w:rsid w:val="00BB4635"/>
    <w:rsid w:val="00BB4AE3"/>
    <w:rsid w:val="00BB4F3E"/>
    <w:rsid w:val="00BB4FA4"/>
    <w:rsid w:val="00BB5603"/>
    <w:rsid w:val="00BB56A6"/>
    <w:rsid w:val="00BB591C"/>
    <w:rsid w:val="00BB5E8C"/>
    <w:rsid w:val="00BB6CD7"/>
    <w:rsid w:val="00BB705C"/>
    <w:rsid w:val="00BB77BA"/>
    <w:rsid w:val="00BC0B46"/>
    <w:rsid w:val="00BC1085"/>
    <w:rsid w:val="00BC1340"/>
    <w:rsid w:val="00BC151A"/>
    <w:rsid w:val="00BC1625"/>
    <w:rsid w:val="00BC1798"/>
    <w:rsid w:val="00BC1E22"/>
    <w:rsid w:val="00BC2561"/>
    <w:rsid w:val="00BC2647"/>
    <w:rsid w:val="00BC27AA"/>
    <w:rsid w:val="00BC2B58"/>
    <w:rsid w:val="00BC313A"/>
    <w:rsid w:val="00BC323F"/>
    <w:rsid w:val="00BC33D0"/>
    <w:rsid w:val="00BC3ADB"/>
    <w:rsid w:val="00BC3B72"/>
    <w:rsid w:val="00BC3CC2"/>
    <w:rsid w:val="00BC3EED"/>
    <w:rsid w:val="00BC422A"/>
    <w:rsid w:val="00BC4AAB"/>
    <w:rsid w:val="00BC4B80"/>
    <w:rsid w:val="00BC4D20"/>
    <w:rsid w:val="00BC517F"/>
    <w:rsid w:val="00BC5213"/>
    <w:rsid w:val="00BC5384"/>
    <w:rsid w:val="00BC588F"/>
    <w:rsid w:val="00BC5C8E"/>
    <w:rsid w:val="00BC6004"/>
    <w:rsid w:val="00BC62B2"/>
    <w:rsid w:val="00BC7002"/>
    <w:rsid w:val="00BC70D2"/>
    <w:rsid w:val="00BC77DF"/>
    <w:rsid w:val="00BC79D3"/>
    <w:rsid w:val="00BD03AA"/>
    <w:rsid w:val="00BD0A04"/>
    <w:rsid w:val="00BD0F8C"/>
    <w:rsid w:val="00BD115D"/>
    <w:rsid w:val="00BD11D5"/>
    <w:rsid w:val="00BD11F4"/>
    <w:rsid w:val="00BD164D"/>
    <w:rsid w:val="00BD2013"/>
    <w:rsid w:val="00BD25D2"/>
    <w:rsid w:val="00BD2E2E"/>
    <w:rsid w:val="00BD31B3"/>
    <w:rsid w:val="00BD332D"/>
    <w:rsid w:val="00BD3B0E"/>
    <w:rsid w:val="00BD41C7"/>
    <w:rsid w:val="00BD4302"/>
    <w:rsid w:val="00BD469B"/>
    <w:rsid w:val="00BD4C05"/>
    <w:rsid w:val="00BD52B6"/>
    <w:rsid w:val="00BD5300"/>
    <w:rsid w:val="00BD5310"/>
    <w:rsid w:val="00BD5A62"/>
    <w:rsid w:val="00BD6123"/>
    <w:rsid w:val="00BD65A6"/>
    <w:rsid w:val="00BD6B42"/>
    <w:rsid w:val="00BD6B45"/>
    <w:rsid w:val="00BD6F53"/>
    <w:rsid w:val="00BD7CB3"/>
    <w:rsid w:val="00BE0853"/>
    <w:rsid w:val="00BE1AE6"/>
    <w:rsid w:val="00BE225E"/>
    <w:rsid w:val="00BE240C"/>
    <w:rsid w:val="00BE24DA"/>
    <w:rsid w:val="00BE2B4F"/>
    <w:rsid w:val="00BE2B9C"/>
    <w:rsid w:val="00BE2DB7"/>
    <w:rsid w:val="00BE3092"/>
    <w:rsid w:val="00BE3258"/>
    <w:rsid w:val="00BE32FB"/>
    <w:rsid w:val="00BE330A"/>
    <w:rsid w:val="00BE35F4"/>
    <w:rsid w:val="00BE37E4"/>
    <w:rsid w:val="00BE3BC5"/>
    <w:rsid w:val="00BE3C46"/>
    <w:rsid w:val="00BE452A"/>
    <w:rsid w:val="00BE4CBC"/>
    <w:rsid w:val="00BE5C0C"/>
    <w:rsid w:val="00BE5C1D"/>
    <w:rsid w:val="00BE5EFB"/>
    <w:rsid w:val="00BE5FAD"/>
    <w:rsid w:val="00BE7272"/>
    <w:rsid w:val="00BE74CB"/>
    <w:rsid w:val="00BE7531"/>
    <w:rsid w:val="00BE77F5"/>
    <w:rsid w:val="00BF03DD"/>
    <w:rsid w:val="00BF0971"/>
    <w:rsid w:val="00BF0B0A"/>
    <w:rsid w:val="00BF0B18"/>
    <w:rsid w:val="00BF106B"/>
    <w:rsid w:val="00BF13FE"/>
    <w:rsid w:val="00BF15EB"/>
    <w:rsid w:val="00BF179E"/>
    <w:rsid w:val="00BF1F1A"/>
    <w:rsid w:val="00BF2581"/>
    <w:rsid w:val="00BF25A5"/>
    <w:rsid w:val="00BF25CD"/>
    <w:rsid w:val="00BF2619"/>
    <w:rsid w:val="00BF39CB"/>
    <w:rsid w:val="00BF4010"/>
    <w:rsid w:val="00BF40BE"/>
    <w:rsid w:val="00BF413E"/>
    <w:rsid w:val="00BF4871"/>
    <w:rsid w:val="00BF497A"/>
    <w:rsid w:val="00BF4D96"/>
    <w:rsid w:val="00BF4FF9"/>
    <w:rsid w:val="00BF5503"/>
    <w:rsid w:val="00BF583A"/>
    <w:rsid w:val="00BF5EA9"/>
    <w:rsid w:val="00BF63CE"/>
    <w:rsid w:val="00BF6547"/>
    <w:rsid w:val="00BF6D7F"/>
    <w:rsid w:val="00BF759B"/>
    <w:rsid w:val="00C0019B"/>
    <w:rsid w:val="00C016FD"/>
    <w:rsid w:val="00C018E0"/>
    <w:rsid w:val="00C01EFF"/>
    <w:rsid w:val="00C024F5"/>
    <w:rsid w:val="00C02BE1"/>
    <w:rsid w:val="00C02D5D"/>
    <w:rsid w:val="00C0370A"/>
    <w:rsid w:val="00C03872"/>
    <w:rsid w:val="00C038E5"/>
    <w:rsid w:val="00C054D9"/>
    <w:rsid w:val="00C05671"/>
    <w:rsid w:val="00C058DC"/>
    <w:rsid w:val="00C068E0"/>
    <w:rsid w:val="00C0696A"/>
    <w:rsid w:val="00C06A65"/>
    <w:rsid w:val="00C06B7B"/>
    <w:rsid w:val="00C06D56"/>
    <w:rsid w:val="00C07601"/>
    <w:rsid w:val="00C07624"/>
    <w:rsid w:val="00C07C80"/>
    <w:rsid w:val="00C07C86"/>
    <w:rsid w:val="00C100C9"/>
    <w:rsid w:val="00C1064A"/>
    <w:rsid w:val="00C10F2E"/>
    <w:rsid w:val="00C116FD"/>
    <w:rsid w:val="00C118E0"/>
    <w:rsid w:val="00C11A46"/>
    <w:rsid w:val="00C11BC0"/>
    <w:rsid w:val="00C11FF5"/>
    <w:rsid w:val="00C12097"/>
    <w:rsid w:val="00C123AA"/>
    <w:rsid w:val="00C12D47"/>
    <w:rsid w:val="00C12E29"/>
    <w:rsid w:val="00C1316E"/>
    <w:rsid w:val="00C138DD"/>
    <w:rsid w:val="00C13A27"/>
    <w:rsid w:val="00C151E5"/>
    <w:rsid w:val="00C1524F"/>
    <w:rsid w:val="00C15373"/>
    <w:rsid w:val="00C15756"/>
    <w:rsid w:val="00C15817"/>
    <w:rsid w:val="00C158ED"/>
    <w:rsid w:val="00C15D1B"/>
    <w:rsid w:val="00C15DFD"/>
    <w:rsid w:val="00C167BE"/>
    <w:rsid w:val="00C167E5"/>
    <w:rsid w:val="00C16DBE"/>
    <w:rsid w:val="00C16F0B"/>
    <w:rsid w:val="00C16FB2"/>
    <w:rsid w:val="00C17606"/>
    <w:rsid w:val="00C17A40"/>
    <w:rsid w:val="00C17C83"/>
    <w:rsid w:val="00C206BD"/>
    <w:rsid w:val="00C209CC"/>
    <w:rsid w:val="00C21578"/>
    <w:rsid w:val="00C217C3"/>
    <w:rsid w:val="00C21AD3"/>
    <w:rsid w:val="00C21C03"/>
    <w:rsid w:val="00C2257E"/>
    <w:rsid w:val="00C22A7B"/>
    <w:rsid w:val="00C23C1D"/>
    <w:rsid w:val="00C23D9E"/>
    <w:rsid w:val="00C247FE"/>
    <w:rsid w:val="00C24801"/>
    <w:rsid w:val="00C261F8"/>
    <w:rsid w:val="00C27242"/>
    <w:rsid w:val="00C27B8F"/>
    <w:rsid w:val="00C3067F"/>
    <w:rsid w:val="00C30898"/>
    <w:rsid w:val="00C309FC"/>
    <w:rsid w:val="00C312CF"/>
    <w:rsid w:val="00C31635"/>
    <w:rsid w:val="00C31674"/>
    <w:rsid w:val="00C31839"/>
    <w:rsid w:val="00C320FB"/>
    <w:rsid w:val="00C321CD"/>
    <w:rsid w:val="00C321F7"/>
    <w:rsid w:val="00C32664"/>
    <w:rsid w:val="00C3276F"/>
    <w:rsid w:val="00C32A4B"/>
    <w:rsid w:val="00C32A8B"/>
    <w:rsid w:val="00C32BE6"/>
    <w:rsid w:val="00C332B6"/>
    <w:rsid w:val="00C33319"/>
    <w:rsid w:val="00C33885"/>
    <w:rsid w:val="00C33C05"/>
    <w:rsid w:val="00C340DD"/>
    <w:rsid w:val="00C345D7"/>
    <w:rsid w:val="00C34E41"/>
    <w:rsid w:val="00C34F99"/>
    <w:rsid w:val="00C350DE"/>
    <w:rsid w:val="00C3630B"/>
    <w:rsid w:val="00C367BD"/>
    <w:rsid w:val="00C36B53"/>
    <w:rsid w:val="00C37966"/>
    <w:rsid w:val="00C37AE9"/>
    <w:rsid w:val="00C37AF2"/>
    <w:rsid w:val="00C37C70"/>
    <w:rsid w:val="00C37CC0"/>
    <w:rsid w:val="00C40219"/>
    <w:rsid w:val="00C40992"/>
    <w:rsid w:val="00C40A9C"/>
    <w:rsid w:val="00C40CD9"/>
    <w:rsid w:val="00C41921"/>
    <w:rsid w:val="00C41EC9"/>
    <w:rsid w:val="00C41F8A"/>
    <w:rsid w:val="00C43C9E"/>
    <w:rsid w:val="00C43D49"/>
    <w:rsid w:val="00C449A5"/>
    <w:rsid w:val="00C4503A"/>
    <w:rsid w:val="00C465B5"/>
    <w:rsid w:val="00C465C5"/>
    <w:rsid w:val="00C469CF"/>
    <w:rsid w:val="00C46AA2"/>
    <w:rsid w:val="00C47D18"/>
    <w:rsid w:val="00C47D21"/>
    <w:rsid w:val="00C50EFB"/>
    <w:rsid w:val="00C520B9"/>
    <w:rsid w:val="00C52C64"/>
    <w:rsid w:val="00C52D0E"/>
    <w:rsid w:val="00C52E26"/>
    <w:rsid w:val="00C52FFC"/>
    <w:rsid w:val="00C53656"/>
    <w:rsid w:val="00C537F4"/>
    <w:rsid w:val="00C53E27"/>
    <w:rsid w:val="00C54278"/>
    <w:rsid w:val="00C5469A"/>
    <w:rsid w:val="00C554B4"/>
    <w:rsid w:val="00C5552D"/>
    <w:rsid w:val="00C55B06"/>
    <w:rsid w:val="00C56158"/>
    <w:rsid w:val="00C56311"/>
    <w:rsid w:val="00C56525"/>
    <w:rsid w:val="00C56CA8"/>
    <w:rsid w:val="00C570F9"/>
    <w:rsid w:val="00C571B0"/>
    <w:rsid w:val="00C600A2"/>
    <w:rsid w:val="00C603E4"/>
    <w:rsid w:val="00C60425"/>
    <w:rsid w:val="00C60620"/>
    <w:rsid w:val="00C6063C"/>
    <w:rsid w:val="00C60778"/>
    <w:rsid w:val="00C60B79"/>
    <w:rsid w:val="00C61B3B"/>
    <w:rsid w:val="00C62014"/>
    <w:rsid w:val="00C62999"/>
    <w:rsid w:val="00C638E3"/>
    <w:rsid w:val="00C63E3B"/>
    <w:rsid w:val="00C64929"/>
    <w:rsid w:val="00C64E25"/>
    <w:rsid w:val="00C65438"/>
    <w:rsid w:val="00C6639C"/>
    <w:rsid w:val="00C6665B"/>
    <w:rsid w:val="00C668F5"/>
    <w:rsid w:val="00C67A23"/>
    <w:rsid w:val="00C7017B"/>
    <w:rsid w:val="00C702A3"/>
    <w:rsid w:val="00C71855"/>
    <w:rsid w:val="00C71B41"/>
    <w:rsid w:val="00C71F8B"/>
    <w:rsid w:val="00C72837"/>
    <w:rsid w:val="00C72ACF"/>
    <w:rsid w:val="00C730E2"/>
    <w:rsid w:val="00C7334B"/>
    <w:rsid w:val="00C7367B"/>
    <w:rsid w:val="00C73789"/>
    <w:rsid w:val="00C73DBB"/>
    <w:rsid w:val="00C73EAC"/>
    <w:rsid w:val="00C74093"/>
    <w:rsid w:val="00C744A9"/>
    <w:rsid w:val="00C7477F"/>
    <w:rsid w:val="00C748E1"/>
    <w:rsid w:val="00C762CA"/>
    <w:rsid w:val="00C76449"/>
    <w:rsid w:val="00C76D62"/>
    <w:rsid w:val="00C76DAC"/>
    <w:rsid w:val="00C77394"/>
    <w:rsid w:val="00C775F7"/>
    <w:rsid w:val="00C77E5F"/>
    <w:rsid w:val="00C77F8C"/>
    <w:rsid w:val="00C80DDB"/>
    <w:rsid w:val="00C81029"/>
    <w:rsid w:val="00C81169"/>
    <w:rsid w:val="00C8126F"/>
    <w:rsid w:val="00C8292C"/>
    <w:rsid w:val="00C83F8E"/>
    <w:rsid w:val="00C84820"/>
    <w:rsid w:val="00C84A0F"/>
    <w:rsid w:val="00C84FA0"/>
    <w:rsid w:val="00C85513"/>
    <w:rsid w:val="00C859F9"/>
    <w:rsid w:val="00C85E79"/>
    <w:rsid w:val="00C85F26"/>
    <w:rsid w:val="00C860B7"/>
    <w:rsid w:val="00C87077"/>
    <w:rsid w:val="00C8748F"/>
    <w:rsid w:val="00C8761A"/>
    <w:rsid w:val="00C8789F"/>
    <w:rsid w:val="00C90566"/>
    <w:rsid w:val="00C9061F"/>
    <w:rsid w:val="00C90638"/>
    <w:rsid w:val="00C90882"/>
    <w:rsid w:val="00C90E77"/>
    <w:rsid w:val="00C912C0"/>
    <w:rsid w:val="00C91472"/>
    <w:rsid w:val="00C91859"/>
    <w:rsid w:val="00C918AF"/>
    <w:rsid w:val="00C919C8"/>
    <w:rsid w:val="00C91AC0"/>
    <w:rsid w:val="00C91C11"/>
    <w:rsid w:val="00C920FE"/>
    <w:rsid w:val="00C921DC"/>
    <w:rsid w:val="00C92A72"/>
    <w:rsid w:val="00C92FB0"/>
    <w:rsid w:val="00C93525"/>
    <w:rsid w:val="00C949B5"/>
    <w:rsid w:val="00C94EA9"/>
    <w:rsid w:val="00C9560A"/>
    <w:rsid w:val="00C95806"/>
    <w:rsid w:val="00C96385"/>
    <w:rsid w:val="00C96468"/>
    <w:rsid w:val="00C9693D"/>
    <w:rsid w:val="00C96B99"/>
    <w:rsid w:val="00C96D26"/>
    <w:rsid w:val="00C96EBD"/>
    <w:rsid w:val="00C97198"/>
    <w:rsid w:val="00C97F26"/>
    <w:rsid w:val="00C97F55"/>
    <w:rsid w:val="00CA003E"/>
    <w:rsid w:val="00CA048D"/>
    <w:rsid w:val="00CA04B9"/>
    <w:rsid w:val="00CA06B3"/>
    <w:rsid w:val="00CA0A1F"/>
    <w:rsid w:val="00CA162D"/>
    <w:rsid w:val="00CA322F"/>
    <w:rsid w:val="00CA3536"/>
    <w:rsid w:val="00CA3737"/>
    <w:rsid w:val="00CA391E"/>
    <w:rsid w:val="00CA42B1"/>
    <w:rsid w:val="00CA49C0"/>
    <w:rsid w:val="00CA49CA"/>
    <w:rsid w:val="00CA49D4"/>
    <w:rsid w:val="00CA4B60"/>
    <w:rsid w:val="00CA4E75"/>
    <w:rsid w:val="00CA5589"/>
    <w:rsid w:val="00CA565A"/>
    <w:rsid w:val="00CA679E"/>
    <w:rsid w:val="00CA719F"/>
    <w:rsid w:val="00CA75B1"/>
    <w:rsid w:val="00CA7F1A"/>
    <w:rsid w:val="00CB0120"/>
    <w:rsid w:val="00CB058B"/>
    <w:rsid w:val="00CB0ADE"/>
    <w:rsid w:val="00CB2255"/>
    <w:rsid w:val="00CB2288"/>
    <w:rsid w:val="00CB23A7"/>
    <w:rsid w:val="00CB254A"/>
    <w:rsid w:val="00CB2D7F"/>
    <w:rsid w:val="00CB3571"/>
    <w:rsid w:val="00CB41F2"/>
    <w:rsid w:val="00CB436E"/>
    <w:rsid w:val="00CB463B"/>
    <w:rsid w:val="00CB4927"/>
    <w:rsid w:val="00CB498B"/>
    <w:rsid w:val="00CB50EF"/>
    <w:rsid w:val="00CB52B8"/>
    <w:rsid w:val="00CB532C"/>
    <w:rsid w:val="00CB54C6"/>
    <w:rsid w:val="00CB6248"/>
    <w:rsid w:val="00CB63D9"/>
    <w:rsid w:val="00CB64EB"/>
    <w:rsid w:val="00CB6518"/>
    <w:rsid w:val="00CB65B1"/>
    <w:rsid w:val="00CB6EBE"/>
    <w:rsid w:val="00CB7450"/>
    <w:rsid w:val="00CB75C7"/>
    <w:rsid w:val="00CB7611"/>
    <w:rsid w:val="00CB791A"/>
    <w:rsid w:val="00CB7A24"/>
    <w:rsid w:val="00CC0CD1"/>
    <w:rsid w:val="00CC1FA4"/>
    <w:rsid w:val="00CC2547"/>
    <w:rsid w:val="00CC2E6D"/>
    <w:rsid w:val="00CC2FE7"/>
    <w:rsid w:val="00CC309D"/>
    <w:rsid w:val="00CC3711"/>
    <w:rsid w:val="00CC412F"/>
    <w:rsid w:val="00CC4D20"/>
    <w:rsid w:val="00CC5174"/>
    <w:rsid w:val="00CC563E"/>
    <w:rsid w:val="00CC5C5E"/>
    <w:rsid w:val="00CC60C3"/>
    <w:rsid w:val="00CC6BD6"/>
    <w:rsid w:val="00CC6D74"/>
    <w:rsid w:val="00CC71F2"/>
    <w:rsid w:val="00CC7C5C"/>
    <w:rsid w:val="00CD04DC"/>
    <w:rsid w:val="00CD0789"/>
    <w:rsid w:val="00CD0D42"/>
    <w:rsid w:val="00CD1538"/>
    <w:rsid w:val="00CD2066"/>
    <w:rsid w:val="00CD4080"/>
    <w:rsid w:val="00CD47B2"/>
    <w:rsid w:val="00CD522E"/>
    <w:rsid w:val="00CD55CD"/>
    <w:rsid w:val="00CD5BC5"/>
    <w:rsid w:val="00CD5D7E"/>
    <w:rsid w:val="00CD5ED8"/>
    <w:rsid w:val="00CD627A"/>
    <w:rsid w:val="00CD6631"/>
    <w:rsid w:val="00CD676B"/>
    <w:rsid w:val="00CD6975"/>
    <w:rsid w:val="00CD7404"/>
    <w:rsid w:val="00CD7659"/>
    <w:rsid w:val="00CE0085"/>
    <w:rsid w:val="00CE01B6"/>
    <w:rsid w:val="00CE0AEB"/>
    <w:rsid w:val="00CE0F54"/>
    <w:rsid w:val="00CE12F5"/>
    <w:rsid w:val="00CE134B"/>
    <w:rsid w:val="00CE13A9"/>
    <w:rsid w:val="00CE1B4C"/>
    <w:rsid w:val="00CE1BA0"/>
    <w:rsid w:val="00CE2435"/>
    <w:rsid w:val="00CE2A08"/>
    <w:rsid w:val="00CE2F1E"/>
    <w:rsid w:val="00CE301B"/>
    <w:rsid w:val="00CE31C5"/>
    <w:rsid w:val="00CE36C1"/>
    <w:rsid w:val="00CE49F8"/>
    <w:rsid w:val="00CE50F2"/>
    <w:rsid w:val="00CE53AD"/>
    <w:rsid w:val="00CE55C4"/>
    <w:rsid w:val="00CE5B06"/>
    <w:rsid w:val="00CE5DA9"/>
    <w:rsid w:val="00CE605F"/>
    <w:rsid w:val="00CE6274"/>
    <w:rsid w:val="00CE6ED6"/>
    <w:rsid w:val="00CE749A"/>
    <w:rsid w:val="00CF01DC"/>
    <w:rsid w:val="00CF0480"/>
    <w:rsid w:val="00CF0BAC"/>
    <w:rsid w:val="00CF14B6"/>
    <w:rsid w:val="00CF1B8C"/>
    <w:rsid w:val="00CF23A4"/>
    <w:rsid w:val="00CF253E"/>
    <w:rsid w:val="00CF36F9"/>
    <w:rsid w:val="00CF374D"/>
    <w:rsid w:val="00CF3F92"/>
    <w:rsid w:val="00CF423C"/>
    <w:rsid w:val="00CF44C5"/>
    <w:rsid w:val="00CF523D"/>
    <w:rsid w:val="00CF5295"/>
    <w:rsid w:val="00CF5348"/>
    <w:rsid w:val="00CF55E8"/>
    <w:rsid w:val="00CF5DEC"/>
    <w:rsid w:val="00CF6490"/>
    <w:rsid w:val="00CF6C91"/>
    <w:rsid w:val="00CF7178"/>
    <w:rsid w:val="00CF731F"/>
    <w:rsid w:val="00CF73A2"/>
    <w:rsid w:val="00CF7838"/>
    <w:rsid w:val="00CF7851"/>
    <w:rsid w:val="00CF7A06"/>
    <w:rsid w:val="00CF7BE0"/>
    <w:rsid w:val="00D000D8"/>
    <w:rsid w:val="00D0022C"/>
    <w:rsid w:val="00D01A3E"/>
    <w:rsid w:val="00D029E1"/>
    <w:rsid w:val="00D02D3F"/>
    <w:rsid w:val="00D03281"/>
    <w:rsid w:val="00D0373D"/>
    <w:rsid w:val="00D0375D"/>
    <w:rsid w:val="00D03770"/>
    <w:rsid w:val="00D03F84"/>
    <w:rsid w:val="00D04052"/>
    <w:rsid w:val="00D0426F"/>
    <w:rsid w:val="00D04358"/>
    <w:rsid w:val="00D04412"/>
    <w:rsid w:val="00D05051"/>
    <w:rsid w:val="00D0539D"/>
    <w:rsid w:val="00D060F3"/>
    <w:rsid w:val="00D06825"/>
    <w:rsid w:val="00D06CFF"/>
    <w:rsid w:val="00D07458"/>
    <w:rsid w:val="00D07790"/>
    <w:rsid w:val="00D07A2B"/>
    <w:rsid w:val="00D07D08"/>
    <w:rsid w:val="00D10323"/>
    <w:rsid w:val="00D10665"/>
    <w:rsid w:val="00D1077E"/>
    <w:rsid w:val="00D10939"/>
    <w:rsid w:val="00D1106C"/>
    <w:rsid w:val="00D11367"/>
    <w:rsid w:val="00D11E3A"/>
    <w:rsid w:val="00D1225E"/>
    <w:rsid w:val="00D127FF"/>
    <w:rsid w:val="00D128F5"/>
    <w:rsid w:val="00D12EB4"/>
    <w:rsid w:val="00D1314A"/>
    <w:rsid w:val="00D13354"/>
    <w:rsid w:val="00D13BEA"/>
    <w:rsid w:val="00D1409C"/>
    <w:rsid w:val="00D14115"/>
    <w:rsid w:val="00D14211"/>
    <w:rsid w:val="00D14235"/>
    <w:rsid w:val="00D14AFF"/>
    <w:rsid w:val="00D14D77"/>
    <w:rsid w:val="00D15374"/>
    <w:rsid w:val="00D162F7"/>
    <w:rsid w:val="00D1679C"/>
    <w:rsid w:val="00D16D25"/>
    <w:rsid w:val="00D17302"/>
    <w:rsid w:val="00D177EC"/>
    <w:rsid w:val="00D203BF"/>
    <w:rsid w:val="00D206B3"/>
    <w:rsid w:val="00D209FF"/>
    <w:rsid w:val="00D21195"/>
    <w:rsid w:val="00D211D0"/>
    <w:rsid w:val="00D21C35"/>
    <w:rsid w:val="00D21C75"/>
    <w:rsid w:val="00D220E2"/>
    <w:rsid w:val="00D2297E"/>
    <w:rsid w:val="00D22F2F"/>
    <w:rsid w:val="00D231DE"/>
    <w:rsid w:val="00D23606"/>
    <w:rsid w:val="00D237FC"/>
    <w:rsid w:val="00D23820"/>
    <w:rsid w:val="00D23A01"/>
    <w:rsid w:val="00D24983"/>
    <w:rsid w:val="00D252D6"/>
    <w:rsid w:val="00D2564A"/>
    <w:rsid w:val="00D25A5A"/>
    <w:rsid w:val="00D26156"/>
    <w:rsid w:val="00D26821"/>
    <w:rsid w:val="00D26CA1"/>
    <w:rsid w:val="00D27723"/>
    <w:rsid w:val="00D27F24"/>
    <w:rsid w:val="00D309B2"/>
    <w:rsid w:val="00D30B8A"/>
    <w:rsid w:val="00D31030"/>
    <w:rsid w:val="00D31DC7"/>
    <w:rsid w:val="00D32AF3"/>
    <w:rsid w:val="00D32F2F"/>
    <w:rsid w:val="00D32F68"/>
    <w:rsid w:val="00D330D5"/>
    <w:rsid w:val="00D335C2"/>
    <w:rsid w:val="00D339B2"/>
    <w:rsid w:val="00D33C31"/>
    <w:rsid w:val="00D34457"/>
    <w:rsid w:val="00D348FF"/>
    <w:rsid w:val="00D34DC5"/>
    <w:rsid w:val="00D35257"/>
    <w:rsid w:val="00D354CE"/>
    <w:rsid w:val="00D35A2C"/>
    <w:rsid w:val="00D36254"/>
    <w:rsid w:val="00D367CF"/>
    <w:rsid w:val="00D36D6C"/>
    <w:rsid w:val="00D3727B"/>
    <w:rsid w:val="00D37312"/>
    <w:rsid w:val="00D37508"/>
    <w:rsid w:val="00D3767D"/>
    <w:rsid w:val="00D37D3A"/>
    <w:rsid w:val="00D401DF"/>
    <w:rsid w:val="00D409EC"/>
    <w:rsid w:val="00D40C5D"/>
    <w:rsid w:val="00D414B9"/>
    <w:rsid w:val="00D4188A"/>
    <w:rsid w:val="00D41B1B"/>
    <w:rsid w:val="00D4220C"/>
    <w:rsid w:val="00D42806"/>
    <w:rsid w:val="00D42884"/>
    <w:rsid w:val="00D4298E"/>
    <w:rsid w:val="00D42B56"/>
    <w:rsid w:val="00D43276"/>
    <w:rsid w:val="00D43368"/>
    <w:rsid w:val="00D43391"/>
    <w:rsid w:val="00D43BCB"/>
    <w:rsid w:val="00D441E8"/>
    <w:rsid w:val="00D44BA0"/>
    <w:rsid w:val="00D452DE"/>
    <w:rsid w:val="00D455BC"/>
    <w:rsid w:val="00D4581A"/>
    <w:rsid w:val="00D459C5"/>
    <w:rsid w:val="00D45E51"/>
    <w:rsid w:val="00D461ED"/>
    <w:rsid w:val="00D46275"/>
    <w:rsid w:val="00D46972"/>
    <w:rsid w:val="00D46BCA"/>
    <w:rsid w:val="00D46D76"/>
    <w:rsid w:val="00D4758C"/>
    <w:rsid w:val="00D477AC"/>
    <w:rsid w:val="00D47CCF"/>
    <w:rsid w:val="00D47E56"/>
    <w:rsid w:val="00D47FBF"/>
    <w:rsid w:val="00D50C23"/>
    <w:rsid w:val="00D50D0C"/>
    <w:rsid w:val="00D52095"/>
    <w:rsid w:val="00D52334"/>
    <w:rsid w:val="00D5278C"/>
    <w:rsid w:val="00D528E5"/>
    <w:rsid w:val="00D52A1C"/>
    <w:rsid w:val="00D52A55"/>
    <w:rsid w:val="00D53558"/>
    <w:rsid w:val="00D539C6"/>
    <w:rsid w:val="00D53B15"/>
    <w:rsid w:val="00D546C1"/>
    <w:rsid w:val="00D547A1"/>
    <w:rsid w:val="00D55AD4"/>
    <w:rsid w:val="00D55B3D"/>
    <w:rsid w:val="00D55E35"/>
    <w:rsid w:val="00D562F5"/>
    <w:rsid w:val="00D56688"/>
    <w:rsid w:val="00D56895"/>
    <w:rsid w:val="00D569CD"/>
    <w:rsid w:val="00D569D2"/>
    <w:rsid w:val="00D56F0F"/>
    <w:rsid w:val="00D57841"/>
    <w:rsid w:val="00D57E90"/>
    <w:rsid w:val="00D60201"/>
    <w:rsid w:val="00D604F0"/>
    <w:rsid w:val="00D604F9"/>
    <w:rsid w:val="00D60551"/>
    <w:rsid w:val="00D60A0F"/>
    <w:rsid w:val="00D60B8A"/>
    <w:rsid w:val="00D60C99"/>
    <w:rsid w:val="00D60D42"/>
    <w:rsid w:val="00D60E06"/>
    <w:rsid w:val="00D60F43"/>
    <w:rsid w:val="00D615D1"/>
    <w:rsid w:val="00D6211B"/>
    <w:rsid w:val="00D62547"/>
    <w:rsid w:val="00D62641"/>
    <w:rsid w:val="00D633E7"/>
    <w:rsid w:val="00D646B4"/>
    <w:rsid w:val="00D64D06"/>
    <w:rsid w:val="00D65020"/>
    <w:rsid w:val="00D657B7"/>
    <w:rsid w:val="00D66499"/>
    <w:rsid w:val="00D66561"/>
    <w:rsid w:val="00D668E2"/>
    <w:rsid w:val="00D67136"/>
    <w:rsid w:val="00D67BB2"/>
    <w:rsid w:val="00D67D72"/>
    <w:rsid w:val="00D70685"/>
    <w:rsid w:val="00D70800"/>
    <w:rsid w:val="00D71CAA"/>
    <w:rsid w:val="00D72940"/>
    <w:rsid w:val="00D72A37"/>
    <w:rsid w:val="00D72D48"/>
    <w:rsid w:val="00D73338"/>
    <w:rsid w:val="00D73444"/>
    <w:rsid w:val="00D73604"/>
    <w:rsid w:val="00D73F37"/>
    <w:rsid w:val="00D740B5"/>
    <w:rsid w:val="00D7452C"/>
    <w:rsid w:val="00D74ADB"/>
    <w:rsid w:val="00D75650"/>
    <w:rsid w:val="00D75788"/>
    <w:rsid w:val="00D75852"/>
    <w:rsid w:val="00D75B84"/>
    <w:rsid w:val="00D75EC7"/>
    <w:rsid w:val="00D7649C"/>
    <w:rsid w:val="00D7676B"/>
    <w:rsid w:val="00D768A3"/>
    <w:rsid w:val="00D76F7F"/>
    <w:rsid w:val="00D76F90"/>
    <w:rsid w:val="00D77369"/>
    <w:rsid w:val="00D80318"/>
    <w:rsid w:val="00D8075D"/>
    <w:rsid w:val="00D80A8A"/>
    <w:rsid w:val="00D80B68"/>
    <w:rsid w:val="00D812CB"/>
    <w:rsid w:val="00D8173A"/>
    <w:rsid w:val="00D81D03"/>
    <w:rsid w:val="00D82141"/>
    <w:rsid w:val="00D822EB"/>
    <w:rsid w:val="00D82863"/>
    <w:rsid w:val="00D836E2"/>
    <w:rsid w:val="00D8452F"/>
    <w:rsid w:val="00D84531"/>
    <w:rsid w:val="00D846AC"/>
    <w:rsid w:val="00D84C40"/>
    <w:rsid w:val="00D84EA2"/>
    <w:rsid w:val="00D86389"/>
    <w:rsid w:val="00D8734F"/>
    <w:rsid w:val="00D874FE"/>
    <w:rsid w:val="00D879BF"/>
    <w:rsid w:val="00D904E4"/>
    <w:rsid w:val="00D90B33"/>
    <w:rsid w:val="00D90C51"/>
    <w:rsid w:val="00D91799"/>
    <w:rsid w:val="00D918C4"/>
    <w:rsid w:val="00D91DC2"/>
    <w:rsid w:val="00D9216C"/>
    <w:rsid w:val="00D92701"/>
    <w:rsid w:val="00D931D3"/>
    <w:rsid w:val="00D93972"/>
    <w:rsid w:val="00D93DCC"/>
    <w:rsid w:val="00D94180"/>
    <w:rsid w:val="00D9448F"/>
    <w:rsid w:val="00D9492C"/>
    <w:rsid w:val="00D94B1C"/>
    <w:rsid w:val="00D94C95"/>
    <w:rsid w:val="00D94E85"/>
    <w:rsid w:val="00D95897"/>
    <w:rsid w:val="00D959D6"/>
    <w:rsid w:val="00D95C5B"/>
    <w:rsid w:val="00D96154"/>
    <w:rsid w:val="00D96243"/>
    <w:rsid w:val="00D964FE"/>
    <w:rsid w:val="00D968BA"/>
    <w:rsid w:val="00DA08C6"/>
    <w:rsid w:val="00DA095A"/>
    <w:rsid w:val="00DA09C2"/>
    <w:rsid w:val="00DA0A84"/>
    <w:rsid w:val="00DA0AE5"/>
    <w:rsid w:val="00DA14AE"/>
    <w:rsid w:val="00DA259E"/>
    <w:rsid w:val="00DA2BFB"/>
    <w:rsid w:val="00DA3587"/>
    <w:rsid w:val="00DA3B83"/>
    <w:rsid w:val="00DA3CCD"/>
    <w:rsid w:val="00DA3CF5"/>
    <w:rsid w:val="00DA46E2"/>
    <w:rsid w:val="00DA4919"/>
    <w:rsid w:val="00DA4963"/>
    <w:rsid w:val="00DA4DBE"/>
    <w:rsid w:val="00DA522C"/>
    <w:rsid w:val="00DA59AF"/>
    <w:rsid w:val="00DA5CA1"/>
    <w:rsid w:val="00DA6248"/>
    <w:rsid w:val="00DA6711"/>
    <w:rsid w:val="00DA74C1"/>
    <w:rsid w:val="00DA76EF"/>
    <w:rsid w:val="00DA79FF"/>
    <w:rsid w:val="00DB060B"/>
    <w:rsid w:val="00DB0FD9"/>
    <w:rsid w:val="00DB1C6C"/>
    <w:rsid w:val="00DB1F5D"/>
    <w:rsid w:val="00DB209B"/>
    <w:rsid w:val="00DB2D68"/>
    <w:rsid w:val="00DB3FA3"/>
    <w:rsid w:val="00DB40AB"/>
    <w:rsid w:val="00DB481F"/>
    <w:rsid w:val="00DB4AFA"/>
    <w:rsid w:val="00DB4BDA"/>
    <w:rsid w:val="00DB4DCA"/>
    <w:rsid w:val="00DB52C3"/>
    <w:rsid w:val="00DB55E6"/>
    <w:rsid w:val="00DB568E"/>
    <w:rsid w:val="00DB56AF"/>
    <w:rsid w:val="00DB5851"/>
    <w:rsid w:val="00DB766B"/>
    <w:rsid w:val="00DB77CE"/>
    <w:rsid w:val="00DB7A97"/>
    <w:rsid w:val="00DC02C4"/>
    <w:rsid w:val="00DC0F3B"/>
    <w:rsid w:val="00DC1034"/>
    <w:rsid w:val="00DC1A66"/>
    <w:rsid w:val="00DC2B9C"/>
    <w:rsid w:val="00DC3338"/>
    <w:rsid w:val="00DC3667"/>
    <w:rsid w:val="00DC40F8"/>
    <w:rsid w:val="00DC46D5"/>
    <w:rsid w:val="00DC46FD"/>
    <w:rsid w:val="00DC481D"/>
    <w:rsid w:val="00DC5733"/>
    <w:rsid w:val="00DC5B2E"/>
    <w:rsid w:val="00DC5FFA"/>
    <w:rsid w:val="00DC64C4"/>
    <w:rsid w:val="00DC6BEF"/>
    <w:rsid w:val="00DC789D"/>
    <w:rsid w:val="00DD08E9"/>
    <w:rsid w:val="00DD0D7B"/>
    <w:rsid w:val="00DD0F79"/>
    <w:rsid w:val="00DD1485"/>
    <w:rsid w:val="00DD2181"/>
    <w:rsid w:val="00DD21C3"/>
    <w:rsid w:val="00DD24BF"/>
    <w:rsid w:val="00DD2AB4"/>
    <w:rsid w:val="00DD2E65"/>
    <w:rsid w:val="00DD2EEE"/>
    <w:rsid w:val="00DD2FCE"/>
    <w:rsid w:val="00DD3013"/>
    <w:rsid w:val="00DD30BE"/>
    <w:rsid w:val="00DD3302"/>
    <w:rsid w:val="00DD3CF8"/>
    <w:rsid w:val="00DD5466"/>
    <w:rsid w:val="00DD57BA"/>
    <w:rsid w:val="00DD586F"/>
    <w:rsid w:val="00DD5AA5"/>
    <w:rsid w:val="00DD5C35"/>
    <w:rsid w:val="00DD5CD3"/>
    <w:rsid w:val="00DD682A"/>
    <w:rsid w:val="00DD6999"/>
    <w:rsid w:val="00DD704F"/>
    <w:rsid w:val="00DD7A15"/>
    <w:rsid w:val="00DE05CF"/>
    <w:rsid w:val="00DE0952"/>
    <w:rsid w:val="00DE192A"/>
    <w:rsid w:val="00DE1D07"/>
    <w:rsid w:val="00DE28E0"/>
    <w:rsid w:val="00DE330F"/>
    <w:rsid w:val="00DE3318"/>
    <w:rsid w:val="00DE338A"/>
    <w:rsid w:val="00DE3473"/>
    <w:rsid w:val="00DE3474"/>
    <w:rsid w:val="00DE3498"/>
    <w:rsid w:val="00DE3930"/>
    <w:rsid w:val="00DE393F"/>
    <w:rsid w:val="00DE50C8"/>
    <w:rsid w:val="00DE5434"/>
    <w:rsid w:val="00DE59A8"/>
    <w:rsid w:val="00DE6478"/>
    <w:rsid w:val="00DE66AB"/>
    <w:rsid w:val="00DE7069"/>
    <w:rsid w:val="00DE7A0D"/>
    <w:rsid w:val="00DF0197"/>
    <w:rsid w:val="00DF0667"/>
    <w:rsid w:val="00DF0A66"/>
    <w:rsid w:val="00DF0B9A"/>
    <w:rsid w:val="00DF0DF7"/>
    <w:rsid w:val="00DF1706"/>
    <w:rsid w:val="00DF1982"/>
    <w:rsid w:val="00DF1A5D"/>
    <w:rsid w:val="00DF230E"/>
    <w:rsid w:val="00DF2F4A"/>
    <w:rsid w:val="00DF315D"/>
    <w:rsid w:val="00DF32CE"/>
    <w:rsid w:val="00DF3362"/>
    <w:rsid w:val="00DF3785"/>
    <w:rsid w:val="00DF3A52"/>
    <w:rsid w:val="00DF4119"/>
    <w:rsid w:val="00DF45D3"/>
    <w:rsid w:val="00DF4AD3"/>
    <w:rsid w:val="00DF4DDD"/>
    <w:rsid w:val="00DF52AB"/>
    <w:rsid w:val="00DF53CC"/>
    <w:rsid w:val="00DF5A4C"/>
    <w:rsid w:val="00DF5D2D"/>
    <w:rsid w:val="00DF68FB"/>
    <w:rsid w:val="00DF694E"/>
    <w:rsid w:val="00DF6C2E"/>
    <w:rsid w:val="00E00AEA"/>
    <w:rsid w:val="00E00F7A"/>
    <w:rsid w:val="00E01025"/>
    <w:rsid w:val="00E011C5"/>
    <w:rsid w:val="00E013D6"/>
    <w:rsid w:val="00E01A3D"/>
    <w:rsid w:val="00E02098"/>
    <w:rsid w:val="00E0221B"/>
    <w:rsid w:val="00E02534"/>
    <w:rsid w:val="00E02FC9"/>
    <w:rsid w:val="00E034A3"/>
    <w:rsid w:val="00E03793"/>
    <w:rsid w:val="00E04282"/>
    <w:rsid w:val="00E04C42"/>
    <w:rsid w:val="00E04CD1"/>
    <w:rsid w:val="00E04F36"/>
    <w:rsid w:val="00E05459"/>
    <w:rsid w:val="00E0559A"/>
    <w:rsid w:val="00E0696E"/>
    <w:rsid w:val="00E06C4B"/>
    <w:rsid w:val="00E06E20"/>
    <w:rsid w:val="00E0777E"/>
    <w:rsid w:val="00E0798B"/>
    <w:rsid w:val="00E07C32"/>
    <w:rsid w:val="00E100D7"/>
    <w:rsid w:val="00E11057"/>
    <w:rsid w:val="00E1105F"/>
    <w:rsid w:val="00E1169A"/>
    <w:rsid w:val="00E116E6"/>
    <w:rsid w:val="00E12822"/>
    <w:rsid w:val="00E13074"/>
    <w:rsid w:val="00E13809"/>
    <w:rsid w:val="00E13D25"/>
    <w:rsid w:val="00E14613"/>
    <w:rsid w:val="00E14A7D"/>
    <w:rsid w:val="00E14B9F"/>
    <w:rsid w:val="00E15153"/>
    <w:rsid w:val="00E15AC4"/>
    <w:rsid w:val="00E15F4B"/>
    <w:rsid w:val="00E15FFD"/>
    <w:rsid w:val="00E1673E"/>
    <w:rsid w:val="00E16C91"/>
    <w:rsid w:val="00E203AD"/>
    <w:rsid w:val="00E2046D"/>
    <w:rsid w:val="00E205E7"/>
    <w:rsid w:val="00E211F0"/>
    <w:rsid w:val="00E21617"/>
    <w:rsid w:val="00E21E5A"/>
    <w:rsid w:val="00E22561"/>
    <w:rsid w:val="00E2298F"/>
    <w:rsid w:val="00E22AD2"/>
    <w:rsid w:val="00E2321A"/>
    <w:rsid w:val="00E23712"/>
    <w:rsid w:val="00E2423D"/>
    <w:rsid w:val="00E24500"/>
    <w:rsid w:val="00E24894"/>
    <w:rsid w:val="00E24A24"/>
    <w:rsid w:val="00E24A46"/>
    <w:rsid w:val="00E24F18"/>
    <w:rsid w:val="00E2575F"/>
    <w:rsid w:val="00E2586C"/>
    <w:rsid w:val="00E267FA"/>
    <w:rsid w:val="00E27036"/>
    <w:rsid w:val="00E270A9"/>
    <w:rsid w:val="00E2796D"/>
    <w:rsid w:val="00E2796F"/>
    <w:rsid w:val="00E27B64"/>
    <w:rsid w:val="00E27FB7"/>
    <w:rsid w:val="00E303FA"/>
    <w:rsid w:val="00E30663"/>
    <w:rsid w:val="00E30C17"/>
    <w:rsid w:val="00E30F6A"/>
    <w:rsid w:val="00E31122"/>
    <w:rsid w:val="00E31329"/>
    <w:rsid w:val="00E313A8"/>
    <w:rsid w:val="00E31C78"/>
    <w:rsid w:val="00E31C8D"/>
    <w:rsid w:val="00E32777"/>
    <w:rsid w:val="00E32EB2"/>
    <w:rsid w:val="00E33A79"/>
    <w:rsid w:val="00E33B6C"/>
    <w:rsid w:val="00E33B86"/>
    <w:rsid w:val="00E33C03"/>
    <w:rsid w:val="00E33D2D"/>
    <w:rsid w:val="00E341E9"/>
    <w:rsid w:val="00E3456B"/>
    <w:rsid w:val="00E34731"/>
    <w:rsid w:val="00E34F5E"/>
    <w:rsid w:val="00E3532C"/>
    <w:rsid w:val="00E35DB3"/>
    <w:rsid w:val="00E366E2"/>
    <w:rsid w:val="00E36EE9"/>
    <w:rsid w:val="00E37244"/>
    <w:rsid w:val="00E3778F"/>
    <w:rsid w:val="00E37F6A"/>
    <w:rsid w:val="00E40274"/>
    <w:rsid w:val="00E40300"/>
    <w:rsid w:val="00E4047A"/>
    <w:rsid w:val="00E40497"/>
    <w:rsid w:val="00E4058E"/>
    <w:rsid w:val="00E40D9D"/>
    <w:rsid w:val="00E4101D"/>
    <w:rsid w:val="00E41188"/>
    <w:rsid w:val="00E41462"/>
    <w:rsid w:val="00E425DC"/>
    <w:rsid w:val="00E42696"/>
    <w:rsid w:val="00E4287B"/>
    <w:rsid w:val="00E43112"/>
    <w:rsid w:val="00E43749"/>
    <w:rsid w:val="00E43B0B"/>
    <w:rsid w:val="00E43B7E"/>
    <w:rsid w:val="00E44068"/>
    <w:rsid w:val="00E44284"/>
    <w:rsid w:val="00E442B0"/>
    <w:rsid w:val="00E44355"/>
    <w:rsid w:val="00E4449E"/>
    <w:rsid w:val="00E457E8"/>
    <w:rsid w:val="00E45938"/>
    <w:rsid w:val="00E45A41"/>
    <w:rsid w:val="00E45B17"/>
    <w:rsid w:val="00E45FFD"/>
    <w:rsid w:val="00E4629C"/>
    <w:rsid w:val="00E463AC"/>
    <w:rsid w:val="00E470E3"/>
    <w:rsid w:val="00E4789C"/>
    <w:rsid w:val="00E50044"/>
    <w:rsid w:val="00E50057"/>
    <w:rsid w:val="00E500AC"/>
    <w:rsid w:val="00E5029C"/>
    <w:rsid w:val="00E50A3F"/>
    <w:rsid w:val="00E50B88"/>
    <w:rsid w:val="00E50E24"/>
    <w:rsid w:val="00E51EE2"/>
    <w:rsid w:val="00E52995"/>
    <w:rsid w:val="00E52BA5"/>
    <w:rsid w:val="00E52EEA"/>
    <w:rsid w:val="00E530A5"/>
    <w:rsid w:val="00E534E3"/>
    <w:rsid w:val="00E536A8"/>
    <w:rsid w:val="00E53EFF"/>
    <w:rsid w:val="00E54A3A"/>
    <w:rsid w:val="00E54B51"/>
    <w:rsid w:val="00E55700"/>
    <w:rsid w:val="00E558E9"/>
    <w:rsid w:val="00E55BB9"/>
    <w:rsid w:val="00E55E8A"/>
    <w:rsid w:val="00E56968"/>
    <w:rsid w:val="00E56E36"/>
    <w:rsid w:val="00E571C5"/>
    <w:rsid w:val="00E57810"/>
    <w:rsid w:val="00E578D4"/>
    <w:rsid w:val="00E57E2D"/>
    <w:rsid w:val="00E60185"/>
    <w:rsid w:val="00E60BA2"/>
    <w:rsid w:val="00E61047"/>
    <w:rsid w:val="00E618E2"/>
    <w:rsid w:val="00E61CF5"/>
    <w:rsid w:val="00E62329"/>
    <w:rsid w:val="00E62BAD"/>
    <w:rsid w:val="00E62EFB"/>
    <w:rsid w:val="00E630D8"/>
    <w:rsid w:val="00E6315A"/>
    <w:rsid w:val="00E63917"/>
    <w:rsid w:val="00E63A18"/>
    <w:rsid w:val="00E63A25"/>
    <w:rsid w:val="00E64BCC"/>
    <w:rsid w:val="00E6508D"/>
    <w:rsid w:val="00E65975"/>
    <w:rsid w:val="00E65F35"/>
    <w:rsid w:val="00E65F61"/>
    <w:rsid w:val="00E6714E"/>
    <w:rsid w:val="00E67610"/>
    <w:rsid w:val="00E67E44"/>
    <w:rsid w:val="00E7090A"/>
    <w:rsid w:val="00E712F7"/>
    <w:rsid w:val="00E71BBF"/>
    <w:rsid w:val="00E71BD4"/>
    <w:rsid w:val="00E71EF8"/>
    <w:rsid w:val="00E7218A"/>
    <w:rsid w:val="00E72E2F"/>
    <w:rsid w:val="00E72F6E"/>
    <w:rsid w:val="00E733A6"/>
    <w:rsid w:val="00E73A09"/>
    <w:rsid w:val="00E73A0E"/>
    <w:rsid w:val="00E73B9F"/>
    <w:rsid w:val="00E741D2"/>
    <w:rsid w:val="00E743CF"/>
    <w:rsid w:val="00E74804"/>
    <w:rsid w:val="00E74D2A"/>
    <w:rsid w:val="00E74E7D"/>
    <w:rsid w:val="00E74E8C"/>
    <w:rsid w:val="00E759C3"/>
    <w:rsid w:val="00E75AE4"/>
    <w:rsid w:val="00E75EAE"/>
    <w:rsid w:val="00E76053"/>
    <w:rsid w:val="00E76298"/>
    <w:rsid w:val="00E76986"/>
    <w:rsid w:val="00E775AE"/>
    <w:rsid w:val="00E77E04"/>
    <w:rsid w:val="00E810C3"/>
    <w:rsid w:val="00E810CB"/>
    <w:rsid w:val="00E814EB"/>
    <w:rsid w:val="00E81C78"/>
    <w:rsid w:val="00E827D6"/>
    <w:rsid w:val="00E82872"/>
    <w:rsid w:val="00E82CFF"/>
    <w:rsid w:val="00E82DFF"/>
    <w:rsid w:val="00E82FDB"/>
    <w:rsid w:val="00E83394"/>
    <w:rsid w:val="00E83910"/>
    <w:rsid w:val="00E83D73"/>
    <w:rsid w:val="00E84950"/>
    <w:rsid w:val="00E85519"/>
    <w:rsid w:val="00E855A3"/>
    <w:rsid w:val="00E855B7"/>
    <w:rsid w:val="00E85705"/>
    <w:rsid w:val="00E857A7"/>
    <w:rsid w:val="00E85F3B"/>
    <w:rsid w:val="00E862DF"/>
    <w:rsid w:val="00E863D5"/>
    <w:rsid w:val="00E86A20"/>
    <w:rsid w:val="00E86B8B"/>
    <w:rsid w:val="00E86F32"/>
    <w:rsid w:val="00E9004E"/>
    <w:rsid w:val="00E90252"/>
    <w:rsid w:val="00E90685"/>
    <w:rsid w:val="00E90E61"/>
    <w:rsid w:val="00E91632"/>
    <w:rsid w:val="00E93392"/>
    <w:rsid w:val="00E93460"/>
    <w:rsid w:val="00E938F2"/>
    <w:rsid w:val="00E940E9"/>
    <w:rsid w:val="00E9432A"/>
    <w:rsid w:val="00E94E34"/>
    <w:rsid w:val="00E94F94"/>
    <w:rsid w:val="00E95A5A"/>
    <w:rsid w:val="00E95DA0"/>
    <w:rsid w:val="00E95F9D"/>
    <w:rsid w:val="00E966DB"/>
    <w:rsid w:val="00E96AC5"/>
    <w:rsid w:val="00E96BF5"/>
    <w:rsid w:val="00E979C6"/>
    <w:rsid w:val="00E97B72"/>
    <w:rsid w:val="00EA0306"/>
    <w:rsid w:val="00EA03D7"/>
    <w:rsid w:val="00EA0950"/>
    <w:rsid w:val="00EA0A63"/>
    <w:rsid w:val="00EA0B01"/>
    <w:rsid w:val="00EA15EF"/>
    <w:rsid w:val="00EA1769"/>
    <w:rsid w:val="00EA247C"/>
    <w:rsid w:val="00EA2743"/>
    <w:rsid w:val="00EA2833"/>
    <w:rsid w:val="00EA2865"/>
    <w:rsid w:val="00EA31CE"/>
    <w:rsid w:val="00EA3DDC"/>
    <w:rsid w:val="00EA423A"/>
    <w:rsid w:val="00EA44CB"/>
    <w:rsid w:val="00EA4B1E"/>
    <w:rsid w:val="00EA4F72"/>
    <w:rsid w:val="00EA520D"/>
    <w:rsid w:val="00EA5527"/>
    <w:rsid w:val="00EA5762"/>
    <w:rsid w:val="00EA5A37"/>
    <w:rsid w:val="00EA5B8D"/>
    <w:rsid w:val="00EA5CF2"/>
    <w:rsid w:val="00EA6FCF"/>
    <w:rsid w:val="00EA7023"/>
    <w:rsid w:val="00EA7104"/>
    <w:rsid w:val="00EA71D8"/>
    <w:rsid w:val="00EA7304"/>
    <w:rsid w:val="00EA7355"/>
    <w:rsid w:val="00EA7406"/>
    <w:rsid w:val="00EA789D"/>
    <w:rsid w:val="00EA7974"/>
    <w:rsid w:val="00EA7A24"/>
    <w:rsid w:val="00EA7BF3"/>
    <w:rsid w:val="00EB017E"/>
    <w:rsid w:val="00EB04CA"/>
    <w:rsid w:val="00EB127D"/>
    <w:rsid w:val="00EB2264"/>
    <w:rsid w:val="00EB237F"/>
    <w:rsid w:val="00EB241C"/>
    <w:rsid w:val="00EB3260"/>
    <w:rsid w:val="00EB348A"/>
    <w:rsid w:val="00EB34B8"/>
    <w:rsid w:val="00EB382D"/>
    <w:rsid w:val="00EB3C63"/>
    <w:rsid w:val="00EB3C96"/>
    <w:rsid w:val="00EB3E52"/>
    <w:rsid w:val="00EB432C"/>
    <w:rsid w:val="00EB469B"/>
    <w:rsid w:val="00EB4A63"/>
    <w:rsid w:val="00EB504F"/>
    <w:rsid w:val="00EB5275"/>
    <w:rsid w:val="00EB5599"/>
    <w:rsid w:val="00EB55B7"/>
    <w:rsid w:val="00EB6182"/>
    <w:rsid w:val="00EB6225"/>
    <w:rsid w:val="00EB6539"/>
    <w:rsid w:val="00EB6937"/>
    <w:rsid w:val="00EB70BA"/>
    <w:rsid w:val="00EB7151"/>
    <w:rsid w:val="00EB74F4"/>
    <w:rsid w:val="00EB75BF"/>
    <w:rsid w:val="00EB75F3"/>
    <w:rsid w:val="00EC075C"/>
    <w:rsid w:val="00EC0F10"/>
    <w:rsid w:val="00EC13FE"/>
    <w:rsid w:val="00EC16EF"/>
    <w:rsid w:val="00EC1E30"/>
    <w:rsid w:val="00EC1F31"/>
    <w:rsid w:val="00EC2402"/>
    <w:rsid w:val="00EC2BE8"/>
    <w:rsid w:val="00EC3223"/>
    <w:rsid w:val="00EC3B9E"/>
    <w:rsid w:val="00EC4137"/>
    <w:rsid w:val="00EC4362"/>
    <w:rsid w:val="00EC4AC9"/>
    <w:rsid w:val="00EC4D3E"/>
    <w:rsid w:val="00EC51E6"/>
    <w:rsid w:val="00EC54E2"/>
    <w:rsid w:val="00EC5D39"/>
    <w:rsid w:val="00EC5EEE"/>
    <w:rsid w:val="00EC6066"/>
    <w:rsid w:val="00EC6BAD"/>
    <w:rsid w:val="00EC6BD8"/>
    <w:rsid w:val="00EC6C23"/>
    <w:rsid w:val="00EC705F"/>
    <w:rsid w:val="00EC7106"/>
    <w:rsid w:val="00EC73B0"/>
    <w:rsid w:val="00EC78ED"/>
    <w:rsid w:val="00EC7DCA"/>
    <w:rsid w:val="00ED05E5"/>
    <w:rsid w:val="00ED1271"/>
    <w:rsid w:val="00ED14E7"/>
    <w:rsid w:val="00ED1A7B"/>
    <w:rsid w:val="00ED1C96"/>
    <w:rsid w:val="00ED1F42"/>
    <w:rsid w:val="00ED2A57"/>
    <w:rsid w:val="00ED2E20"/>
    <w:rsid w:val="00ED2E3B"/>
    <w:rsid w:val="00ED397D"/>
    <w:rsid w:val="00ED3D9B"/>
    <w:rsid w:val="00ED41E4"/>
    <w:rsid w:val="00ED4213"/>
    <w:rsid w:val="00ED4858"/>
    <w:rsid w:val="00ED65A6"/>
    <w:rsid w:val="00ED6B63"/>
    <w:rsid w:val="00ED6CB5"/>
    <w:rsid w:val="00ED6E0C"/>
    <w:rsid w:val="00ED6EBD"/>
    <w:rsid w:val="00ED7149"/>
    <w:rsid w:val="00ED7358"/>
    <w:rsid w:val="00ED7364"/>
    <w:rsid w:val="00ED74D7"/>
    <w:rsid w:val="00ED7E48"/>
    <w:rsid w:val="00EE0009"/>
    <w:rsid w:val="00EE0983"/>
    <w:rsid w:val="00EE1A96"/>
    <w:rsid w:val="00EE1B99"/>
    <w:rsid w:val="00EE1C5E"/>
    <w:rsid w:val="00EE1DEE"/>
    <w:rsid w:val="00EE219C"/>
    <w:rsid w:val="00EE232B"/>
    <w:rsid w:val="00EE236B"/>
    <w:rsid w:val="00EE29A9"/>
    <w:rsid w:val="00EE2CC4"/>
    <w:rsid w:val="00EE3254"/>
    <w:rsid w:val="00EE40A4"/>
    <w:rsid w:val="00EE41B4"/>
    <w:rsid w:val="00EE48DD"/>
    <w:rsid w:val="00EE4906"/>
    <w:rsid w:val="00EE4C62"/>
    <w:rsid w:val="00EE5DD9"/>
    <w:rsid w:val="00EE5ED8"/>
    <w:rsid w:val="00EE67D8"/>
    <w:rsid w:val="00EE6A77"/>
    <w:rsid w:val="00EE6DF1"/>
    <w:rsid w:val="00EE7646"/>
    <w:rsid w:val="00EE7779"/>
    <w:rsid w:val="00EE7DF9"/>
    <w:rsid w:val="00EE7F14"/>
    <w:rsid w:val="00EF0051"/>
    <w:rsid w:val="00EF0314"/>
    <w:rsid w:val="00EF089C"/>
    <w:rsid w:val="00EF0A37"/>
    <w:rsid w:val="00EF0CB4"/>
    <w:rsid w:val="00EF0F6E"/>
    <w:rsid w:val="00EF129C"/>
    <w:rsid w:val="00EF15DA"/>
    <w:rsid w:val="00EF1A8C"/>
    <w:rsid w:val="00EF1B10"/>
    <w:rsid w:val="00EF1C31"/>
    <w:rsid w:val="00EF1C42"/>
    <w:rsid w:val="00EF1DDA"/>
    <w:rsid w:val="00EF27FA"/>
    <w:rsid w:val="00EF34F9"/>
    <w:rsid w:val="00EF3A76"/>
    <w:rsid w:val="00EF3B2B"/>
    <w:rsid w:val="00EF3C58"/>
    <w:rsid w:val="00EF44BC"/>
    <w:rsid w:val="00EF4829"/>
    <w:rsid w:val="00EF4CD7"/>
    <w:rsid w:val="00EF510E"/>
    <w:rsid w:val="00EF534C"/>
    <w:rsid w:val="00EF5E8F"/>
    <w:rsid w:val="00EF5F94"/>
    <w:rsid w:val="00EF62A0"/>
    <w:rsid w:val="00EF6787"/>
    <w:rsid w:val="00EF6E2A"/>
    <w:rsid w:val="00EF75F0"/>
    <w:rsid w:val="00F002A0"/>
    <w:rsid w:val="00F006C5"/>
    <w:rsid w:val="00F00731"/>
    <w:rsid w:val="00F00A7D"/>
    <w:rsid w:val="00F01831"/>
    <w:rsid w:val="00F01A32"/>
    <w:rsid w:val="00F01F41"/>
    <w:rsid w:val="00F02325"/>
    <w:rsid w:val="00F02392"/>
    <w:rsid w:val="00F03481"/>
    <w:rsid w:val="00F035A2"/>
    <w:rsid w:val="00F03DE4"/>
    <w:rsid w:val="00F041E6"/>
    <w:rsid w:val="00F04665"/>
    <w:rsid w:val="00F04AAC"/>
    <w:rsid w:val="00F05228"/>
    <w:rsid w:val="00F05D8B"/>
    <w:rsid w:val="00F06455"/>
    <w:rsid w:val="00F06948"/>
    <w:rsid w:val="00F06B25"/>
    <w:rsid w:val="00F06B7D"/>
    <w:rsid w:val="00F0727B"/>
    <w:rsid w:val="00F079D4"/>
    <w:rsid w:val="00F07C34"/>
    <w:rsid w:val="00F1049F"/>
    <w:rsid w:val="00F108D4"/>
    <w:rsid w:val="00F11564"/>
    <w:rsid w:val="00F11B63"/>
    <w:rsid w:val="00F11FB1"/>
    <w:rsid w:val="00F12EC9"/>
    <w:rsid w:val="00F13439"/>
    <w:rsid w:val="00F141D6"/>
    <w:rsid w:val="00F14539"/>
    <w:rsid w:val="00F14E67"/>
    <w:rsid w:val="00F15217"/>
    <w:rsid w:val="00F1571D"/>
    <w:rsid w:val="00F15A34"/>
    <w:rsid w:val="00F1604B"/>
    <w:rsid w:val="00F1749D"/>
    <w:rsid w:val="00F205B9"/>
    <w:rsid w:val="00F2079A"/>
    <w:rsid w:val="00F20BF3"/>
    <w:rsid w:val="00F20C06"/>
    <w:rsid w:val="00F2136E"/>
    <w:rsid w:val="00F219DE"/>
    <w:rsid w:val="00F21E8B"/>
    <w:rsid w:val="00F226E0"/>
    <w:rsid w:val="00F22B59"/>
    <w:rsid w:val="00F2338B"/>
    <w:rsid w:val="00F2403C"/>
    <w:rsid w:val="00F24231"/>
    <w:rsid w:val="00F244EC"/>
    <w:rsid w:val="00F248FA"/>
    <w:rsid w:val="00F26539"/>
    <w:rsid w:val="00F269E9"/>
    <w:rsid w:val="00F26BDC"/>
    <w:rsid w:val="00F27063"/>
    <w:rsid w:val="00F27589"/>
    <w:rsid w:val="00F2769E"/>
    <w:rsid w:val="00F276BE"/>
    <w:rsid w:val="00F278AE"/>
    <w:rsid w:val="00F301C5"/>
    <w:rsid w:val="00F30C61"/>
    <w:rsid w:val="00F30D54"/>
    <w:rsid w:val="00F30E36"/>
    <w:rsid w:val="00F312C6"/>
    <w:rsid w:val="00F31BC4"/>
    <w:rsid w:val="00F3206F"/>
    <w:rsid w:val="00F32423"/>
    <w:rsid w:val="00F32631"/>
    <w:rsid w:val="00F32E77"/>
    <w:rsid w:val="00F331C3"/>
    <w:rsid w:val="00F33207"/>
    <w:rsid w:val="00F33255"/>
    <w:rsid w:val="00F33606"/>
    <w:rsid w:val="00F33681"/>
    <w:rsid w:val="00F346F9"/>
    <w:rsid w:val="00F34887"/>
    <w:rsid w:val="00F357F3"/>
    <w:rsid w:val="00F35831"/>
    <w:rsid w:val="00F35971"/>
    <w:rsid w:val="00F35C3F"/>
    <w:rsid w:val="00F36015"/>
    <w:rsid w:val="00F361D6"/>
    <w:rsid w:val="00F3621E"/>
    <w:rsid w:val="00F36730"/>
    <w:rsid w:val="00F36DAD"/>
    <w:rsid w:val="00F37135"/>
    <w:rsid w:val="00F37686"/>
    <w:rsid w:val="00F37D5E"/>
    <w:rsid w:val="00F401E8"/>
    <w:rsid w:val="00F4028F"/>
    <w:rsid w:val="00F40363"/>
    <w:rsid w:val="00F41049"/>
    <w:rsid w:val="00F4113A"/>
    <w:rsid w:val="00F41558"/>
    <w:rsid w:val="00F418AA"/>
    <w:rsid w:val="00F41964"/>
    <w:rsid w:val="00F41B5B"/>
    <w:rsid w:val="00F41E54"/>
    <w:rsid w:val="00F424FB"/>
    <w:rsid w:val="00F42D9B"/>
    <w:rsid w:val="00F431F6"/>
    <w:rsid w:val="00F432E6"/>
    <w:rsid w:val="00F43670"/>
    <w:rsid w:val="00F437BC"/>
    <w:rsid w:val="00F45314"/>
    <w:rsid w:val="00F453C1"/>
    <w:rsid w:val="00F466FA"/>
    <w:rsid w:val="00F46CD1"/>
    <w:rsid w:val="00F46E7B"/>
    <w:rsid w:val="00F472A3"/>
    <w:rsid w:val="00F47402"/>
    <w:rsid w:val="00F47697"/>
    <w:rsid w:val="00F479AB"/>
    <w:rsid w:val="00F503C2"/>
    <w:rsid w:val="00F50D66"/>
    <w:rsid w:val="00F51EFB"/>
    <w:rsid w:val="00F51F9A"/>
    <w:rsid w:val="00F52098"/>
    <w:rsid w:val="00F5225B"/>
    <w:rsid w:val="00F52CC0"/>
    <w:rsid w:val="00F52E42"/>
    <w:rsid w:val="00F52FDD"/>
    <w:rsid w:val="00F53304"/>
    <w:rsid w:val="00F53535"/>
    <w:rsid w:val="00F53576"/>
    <w:rsid w:val="00F537FA"/>
    <w:rsid w:val="00F53985"/>
    <w:rsid w:val="00F539D9"/>
    <w:rsid w:val="00F53AE9"/>
    <w:rsid w:val="00F53BCB"/>
    <w:rsid w:val="00F53CE4"/>
    <w:rsid w:val="00F53F33"/>
    <w:rsid w:val="00F53FE8"/>
    <w:rsid w:val="00F541D9"/>
    <w:rsid w:val="00F54647"/>
    <w:rsid w:val="00F54D98"/>
    <w:rsid w:val="00F55736"/>
    <w:rsid w:val="00F55D8C"/>
    <w:rsid w:val="00F57154"/>
    <w:rsid w:val="00F5742C"/>
    <w:rsid w:val="00F5745D"/>
    <w:rsid w:val="00F57730"/>
    <w:rsid w:val="00F5777C"/>
    <w:rsid w:val="00F57888"/>
    <w:rsid w:val="00F57D1C"/>
    <w:rsid w:val="00F57D30"/>
    <w:rsid w:val="00F57EC0"/>
    <w:rsid w:val="00F60620"/>
    <w:rsid w:val="00F609CF"/>
    <w:rsid w:val="00F615DC"/>
    <w:rsid w:val="00F617D8"/>
    <w:rsid w:val="00F61C39"/>
    <w:rsid w:val="00F61FB0"/>
    <w:rsid w:val="00F6217B"/>
    <w:rsid w:val="00F62923"/>
    <w:rsid w:val="00F62A02"/>
    <w:rsid w:val="00F633BC"/>
    <w:rsid w:val="00F6424A"/>
    <w:rsid w:val="00F64476"/>
    <w:rsid w:val="00F64991"/>
    <w:rsid w:val="00F64A65"/>
    <w:rsid w:val="00F65E43"/>
    <w:rsid w:val="00F65F08"/>
    <w:rsid w:val="00F66041"/>
    <w:rsid w:val="00F66C81"/>
    <w:rsid w:val="00F66CA3"/>
    <w:rsid w:val="00F66F90"/>
    <w:rsid w:val="00F67EBD"/>
    <w:rsid w:val="00F70478"/>
    <w:rsid w:val="00F705CF"/>
    <w:rsid w:val="00F70BA2"/>
    <w:rsid w:val="00F70CB3"/>
    <w:rsid w:val="00F7103B"/>
    <w:rsid w:val="00F71157"/>
    <w:rsid w:val="00F71A32"/>
    <w:rsid w:val="00F71B05"/>
    <w:rsid w:val="00F721EF"/>
    <w:rsid w:val="00F72548"/>
    <w:rsid w:val="00F72CFC"/>
    <w:rsid w:val="00F72D28"/>
    <w:rsid w:val="00F7313C"/>
    <w:rsid w:val="00F732C1"/>
    <w:rsid w:val="00F73382"/>
    <w:rsid w:val="00F738EE"/>
    <w:rsid w:val="00F73DEC"/>
    <w:rsid w:val="00F74C4E"/>
    <w:rsid w:val="00F75351"/>
    <w:rsid w:val="00F75407"/>
    <w:rsid w:val="00F76801"/>
    <w:rsid w:val="00F76B8E"/>
    <w:rsid w:val="00F76F09"/>
    <w:rsid w:val="00F76F93"/>
    <w:rsid w:val="00F76FA4"/>
    <w:rsid w:val="00F76FEF"/>
    <w:rsid w:val="00F76FFA"/>
    <w:rsid w:val="00F77392"/>
    <w:rsid w:val="00F775C7"/>
    <w:rsid w:val="00F77D99"/>
    <w:rsid w:val="00F80158"/>
    <w:rsid w:val="00F801A1"/>
    <w:rsid w:val="00F80815"/>
    <w:rsid w:val="00F80AC2"/>
    <w:rsid w:val="00F80CD8"/>
    <w:rsid w:val="00F80FAB"/>
    <w:rsid w:val="00F81076"/>
    <w:rsid w:val="00F8149E"/>
    <w:rsid w:val="00F819A0"/>
    <w:rsid w:val="00F81ABB"/>
    <w:rsid w:val="00F81C79"/>
    <w:rsid w:val="00F81D5B"/>
    <w:rsid w:val="00F81D9E"/>
    <w:rsid w:val="00F82262"/>
    <w:rsid w:val="00F82EE4"/>
    <w:rsid w:val="00F842B4"/>
    <w:rsid w:val="00F8472B"/>
    <w:rsid w:val="00F84AFA"/>
    <w:rsid w:val="00F84BC8"/>
    <w:rsid w:val="00F84CBC"/>
    <w:rsid w:val="00F84D46"/>
    <w:rsid w:val="00F85101"/>
    <w:rsid w:val="00F85326"/>
    <w:rsid w:val="00F85424"/>
    <w:rsid w:val="00F8555C"/>
    <w:rsid w:val="00F85660"/>
    <w:rsid w:val="00F85707"/>
    <w:rsid w:val="00F85C22"/>
    <w:rsid w:val="00F85EFD"/>
    <w:rsid w:val="00F85F30"/>
    <w:rsid w:val="00F864FC"/>
    <w:rsid w:val="00F87261"/>
    <w:rsid w:val="00F87C05"/>
    <w:rsid w:val="00F87C1E"/>
    <w:rsid w:val="00F87CE8"/>
    <w:rsid w:val="00F87EB9"/>
    <w:rsid w:val="00F900BF"/>
    <w:rsid w:val="00F908CB"/>
    <w:rsid w:val="00F90BD9"/>
    <w:rsid w:val="00F91669"/>
    <w:rsid w:val="00F9175E"/>
    <w:rsid w:val="00F9189F"/>
    <w:rsid w:val="00F91FAF"/>
    <w:rsid w:val="00F92FB8"/>
    <w:rsid w:val="00F9350F"/>
    <w:rsid w:val="00F935EF"/>
    <w:rsid w:val="00F93D06"/>
    <w:rsid w:val="00F93D1A"/>
    <w:rsid w:val="00F9413E"/>
    <w:rsid w:val="00F94351"/>
    <w:rsid w:val="00F945FF"/>
    <w:rsid w:val="00F9495A"/>
    <w:rsid w:val="00F94DCF"/>
    <w:rsid w:val="00F9565D"/>
    <w:rsid w:val="00F956E3"/>
    <w:rsid w:val="00F95A07"/>
    <w:rsid w:val="00F95C15"/>
    <w:rsid w:val="00F95DE9"/>
    <w:rsid w:val="00F95F1A"/>
    <w:rsid w:val="00F9611B"/>
    <w:rsid w:val="00F96139"/>
    <w:rsid w:val="00F9665F"/>
    <w:rsid w:val="00F96973"/>
    <w:rsid w:val="00F96A6B"/>
    <w:rsid w:val="00F96ACC"/>
    <w:rsid w:val="00F96D9D"/>
    <w:rsid w:val="00F97465"/>
    <w:rsid w:val="00F974E5"/>
    <w:rsid w:val="00F97A98"/>
    <w:rsid w:val="00FA00DB"/>
    <w:rsid w:val="00FA02FB"/>
    <w:rsid w:val="00FA0D39"/>
    <w:rsid w:val="00FA0D71"/>
    <w:rsid w:val="00FA1852"/>
    <w:rsid w:val="00FA2266"/>
    <w:rsid w:val="00FA229C"/>
    <w:rsid w:val="00FA22C9"/>
    <w:rsid w:val="00FA24DB"/>
    <w:rsid w:val="00FA2D03"/>
    <w:rsid w:val="00FA3570"/>
    <w:rsid w:val="00FA389D"/>
    <w:rsid w:val="00FA3A80"/>
    <w:rsid w:val="00FA4E66"/>
    <w:rsid w:val="00FA5067"/>
    <w:rsid w:val="00FA5192"/>
    <w:rsid w:val="00FA53B0"/>
    <w:rsid w:val="00FA5756"/>
    <w:rsid w:val="00FA57B3"/>
    <w:rsid w:val="00FA64C0"/>
    <w:rsid w:val="00FA6A88"/>
    <w:rsid w:val="00FB0A01"/>
    <w:rsid w:val="00FB0C7C"/>
    <w:rsid w:val="00FB0DD1"/>
    <w:rsid w:val="00FB2318"/>
    <w:rsid w:val="00FB293B"/>
    <w:rsid w:val="00FB2CFA"/>
    <w:rsid w:val="00FB2FEC"/>
    <w:rsid w:val="00FB3051"/>
    <w:rsid w:val="00FB326E"/>
    <w:rsid w:val="00FB3626"/>
    <w:rsid w:val="00FB3A04"/>
    <w:rsid w:val="00FB3B3B"/>
    <w:rsid w:val="00FB442C"/>
    <w:rsid w:val="00FB456A"/>
    <w:rsid w:val="00FB4A19"/>
    <w:rsid w:val="00FB4E50"/>
    <w:rsid w:val="00FB4EAE"/>
    <w:rsid w:val="00FB5035"/>
    <w:rsid w:val="00FB65CC"/>
    <w:rsid w:val="00FB6B7C"/>
    <w:rsid w:val="00FB6E09"/>
    <w:rsid w:val="00FB71BB"/>
    <w:rsid w:val="00FB76DD"/>
    <w:rsid w:val="00FB79F9"/>
    <w:rsid w:val="00FC0663"/>
    <w:rsid w:val="00FC0AD6"/>
    <w:rsid w:val="00FC0BDF"/>
    <w:rsid w:val="00FC141D"/>
    <w:rsid w:val="00FC14B6"/>
    <w:rsid w:val="00FC173A"/>
    <w:rsid w:val="00FC18B4"/>
    <w:rsid w:val="00FC18B5"/>
    <w:rsid w:val="00FC1CE0"/>
    <w:rsid w:val="00FC1FA2"/>
    <w:rsid w:val="00FC228C"/>
    <w:rsid w:val="00FC28D1"/>
    <w:rsid w:val="00FC298C"/>
    <w:rsid w:val="00FC2B97"/>
    <w:rsid w:val="00FC2CDF"/>
    <w:rsid w:val="00FC31FC"/>
    <w:rsid w:val="00FC3778"/>
    <w:rsid w:val="00FC3993"/>
    <w:rsid w:val="00FC4ACE"/>
    <w:rsid w:val="00FC505B"/>
    <w:rsid w:val="00FC52E5"/>
    <w:rsid w:val="00FC574B"/>
    <w:rsid w:val="00FC5986"/>
    <w:rsid w:val="00FC5A30"/>
    <w:rsid w:val="00FC5E51"/>
    <w:rsid w:val="00FC6043"/>
    <w:rsid w:val="00FC6872"/>
    <w:rsid w:val="00FC68F7"/>
    <w:rsid w:val="00FC6C45"/>
    <w:rsid w:val="00FC73F0"/>
    <w:rsid w:val="00FC763B"/>
    <w:rsid w:val="00FC76B3"/>
    <w:rsid w:val="00FC7851"/>
    <w:rsid w:val="00FD0060"/>
    <w:rsid w:val="00FD038D"/>
    <w:rsid w:val="00FD0F83"/>
    <w:rsid w:val="00FD1F52"/>
    <w:rsid w:val="00FD241D"/>
    <w:rsid w:val="00FD2720"/>
    <w:rsid w:val="00FD2F8E"/>
    <w:rsid w:val="00FD2FE9"/>
    <w:rsid w:val="00FD3547"/>
    <w:rsid w:val="00FD38D8"/>
    <w:rsid w:val="00FD414B"/>
    <w:rsid w:val="00FD4910"/>
    <w:rsid w:val="00FD4E39"/>
    <w:rsid w:val="00FD5262"/>
    <w:rsid w:val="00FD52E8"/>
    <w:rsid w:val="00FD5663"/>
    <w:rsid w:val="00FD567F"/>
    <w:rsid w:val="00FD6398"/>
    <w:rsid w:val="00FD66C4"/>
    <w:rsid w:val="00FD68EA"/>
    <w:rsid w:val="00FD7328"/>
    <w:rsid w:val="00FD772F"/>
    <w:rsid w:val="00FD77AF"/>
    <w:rsid w:val="00FE0364"/>
    <w:rsid w:val="00FE0EB1"/>
    <w:rsid w:val="00FE1327"/>
    <w:rsid w:val="00FE17F0"/>
    <w:rsid w:val="00FE1DDC"/>
    <w:rsid w:val="00FE2071"/>
    <w:rsid w:val="00FE2356"/>
    <w:rsid w:val="00FE3C32"/>
    <w:rsid w:val="00FE4207"/>
    <w:rsid w:val="00FE4306"/>
    <w:rsid w:val="00FE4A62"/>
    <w:rsid w:val="00FE4BCA"/>
    <w:rsid w:val="00FE526A"/>
    <w:rsid w:val="00FE5E65"/>
    <w:rsid w:val="00FE5EDF"/>
    <w:rsid w:val="00FE6973"/>
    <w:rsid w:val="00FE7651"/>
    <w:rsid w:val="00FE7728"/>
    <w:rsid w:val="00FE7B7B"/>
    <w:rsid w:val="00FE7D2C"/>
    <w:rsid w:val="00FF0074"/>
    <w:rsid w:val="00FF0186"/>
    <w:rsid w:val="00FF0573"/>
    <w:rsid w:val="00FF0B8B"/>
    <w:rsid w:val="00FF16F8"/>
    <w:rsid w:val="00FF2055"/>
    <w:rsid w:val="00FF28D1"/>
    <w:rsid w:val="00FF2B59"/>
    <w:rsid w:val="00FF2EEF"/>
    <w:rsid w:val="00FF351E"/>
    <w:rsid w:val="00FF37DD"/>
    <w:rsid w:val="00FF39C1"/>
    <w:rsid w:val="00FF48B1"/>
    <w:rsid w:val="00FF5283"/>
    <w:rsid w:val="00FF54D6"/>
    <w:rsid w:val="00FF54DF"/>
    <w:rsid w:val="00FF563F"/>
    <w:rsid w:val="00FF5EED"/>
    <w:rsid w:val="00FF5F60"/>
    <w:rsid w:val="00FF6169"/>
    <w:rsid w:val="00FF61E7"/>
    <w:rsid w:val="00FF647B"/>
    <w:rsid w:val="00FF66FF"/>
    <w:rsid w:val="00FF6827"/>
    <w:rsid w:val="00FF6C07"/>
    <w:rsid w:val="00FF75E5"/>
    <w:rsid w:val="09279C31"/>
    <w:rsid w:val="0D6D60D0"/>
    <w:rsid w:val="1009D8DD"/>
    <w:rsid w:val="12A05C79"/>
    <w:rsid w:val="15B41B58"/>
    <w:rsid w:val="173974A0"/>
    <w:rsid w:val="1A6C9CF2"/>
    <w:rsid w:val="1B10D94D"/>
    <w:rsid w:val="267D91F1"/>
    <w:rsid w:val="26D23CDC"/>
    <w:rsid w:val="2B1A5111"/>
    <w:rsid w:val="2E2D1427"/>
    <w:rsid w:val="2E320E92"/>
    <w:rsid w:val="31556F2A"/>
    <w:rsid w:val="32911453"/>
    <w:rsid w:val="38EE295F"/>
    <w:rsid w:val="3CF683E9"/>
    <w:rsid w:val="3FF7589E"/>
    <w:rsid w:val="463198DC"/>
    <w:rsid w:val="4A8D5317"/>
    <w:rsid w:val="4BB2E5D4"/>
    <w:rsid w:val="4CE26CB8"/>
    <w:rsid w:val="4E238264"/>
    <w:rsid w:val="4EE84FC7"/>
    <w:rsid w:val="50A9FD72"/>
    <w:rsid w:val="5222B786"/>
    <w:rsid w:val="5323BF33"/>
    <w:rsid w:val="53A6EE7B"/>
    <w:rsid w:val="5DBB31AB"/>
    <w:rsid w:val="5EE44466"/>
    <w:rsid w:val="671075B2"/>
    <w:rsid w:val="6993BDF7"/>
    <w:rsid w:val="6FDA5F82"/>
    <w:rsid w:val="750978C6"/>
    <w:rsid w:val="7662D4CF"/>
    <w:rsid w:val="7B29C50C"/>
    <w:rsid w:val="7E48978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7E00F"/>
  <w15:docId w15:val="{C91F6894-4AFA-465B-9950-CD181466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32FB"/>
    <w:pPr>
      <w:spacing w:after="250" w:line="276" w:lineRule="auto"/>
      <w:jc w:val="both"/>
    </w:pPr>
    <w:rPr>
      <w:color w:val="181818" w:themeColor="background1" w:themeShade="1A"/>
      <w:sz w:val="22"/>
      <w:lang w:val="en-GB"/>
    </w:rPr>
  </w:style>
  <w:style w:type="paragraph" w:styleId="Titolo1">
    <w:name w:val="heading 1"/>
    <w:basedOn w:val="Normale"/>
    <w:next w:val="Normale"/>
    <w:link w:val="Titolo1Carattere"/>
    <w:uiPriority w:val="9"/>
    <w:qFormat/>
    <w:rsid w:val="0082744A"/>
    <w:pPr>
      <w:keepNext/>
      <w:keepLines/>
      <w:numPr>
        <w:numId w:val="1"/>
      </w:numPr>
      <w:spacing w:before="320"/>
      <w:ind w:left="431" w:hanging="431"/>
      <w:outlineLvl w:val="0"/>
    </w:pPr>
    <w:rPr>
      <w:rFonts w:asciiTheme="majorHAnsi" w:eastAsiaTheme="majorEastAsia" w:hAnsiTheme="majorHAnsi" w:cstheme="majorBidi"/>
      <w:b/>
      <w:color w:val="00379F" w:themeColor="text1"/>
      <w:sz w:val="32"/>
      <w:szCs w:val="32"/>
    </w:rPr>
  </w:style>
  <w:style w:type="paragraph" w:styleId="Titolo2">
    <w:name w:val="heading 2"/>
    <w:basedOn w:val="Normale"/>
    <w:next w:val="Normale"/>
    <w:link w:val="Titolo2Carattere"/>
    <w:uiPriority w:val="9"/>
    <w:unhideWhenUsed/>
    <w:qFormat/>
    <w:rsid w:val="0082744A"/>
    <w:pPr>
      <w:keepNext/>
      <w:keepLines/>
      <w:numPr>
        <w:ilvl w:val="1"/>
        <w:numId w:val="1"/>
      </w:numPr>
      <w:spacing w:before="320"/>
      <w:outlineLvl w:val="1"/>
    </w:pPr>
    <w:rPr>
      <w:rFonts w:asciiTheme="majorHAnsi" w:eastAsiaTheme="majorEastAsia" w:hAnsiTheme="majorHAnsi" w:cstheme="majorBidi"/>
      <w:b/>
      <w:color w:val="00379F" w:themeColor="text1"/>
      <w:sz w:val="28"/>
      <w:szCs w:val="28"/>
    </w:rPr>
  </w:style>
  <w:style w:type="paragraph" w:styleId="Titolo3">
    <w:name w:val="heading 3"/>
    <w:basedOn w:val="Normale"/>
    <w:next w:val="Normale"/>
    <w:link w:val="Titolo3Carattere"/>
    <w:uiPriority w:val="9"/>
    <w:unhideWhenUsed/>
    <w:qFormat/>
    <w:rsid w:val="00020300"/>
    <w:pPr>
      <w:keepNext/>
      <w:keepLines/>
      <w:numPr>
        <w:ilvl w:val="2"/>
        <w:numId w:val="1"/>
      </w:numPr>
      <w:spacing w:before="320"/>
      <w:outlineLvl w:val="2"/>
    </w:pPr>
    <w:rPr>
      <w:rFonts w:asciiTheme="majorHAnsi" w:eastAsiaTheme="majorEastAsia" w:hAnsiTheme="majorHAnsi" w:cstheme="majorBidi"/>
      <w:sz w:val="24"/>
      <w:szCs w:val="24"/>
    </w:rPr>
  </w:style>
  <w:style w:type="paragraph" w:styleId="Titolo4">
    <w:name w:val="heading 4"/>
    <w:basedOn w:val="Normale"/>
    <w:next w:val="Normale"/>
    <w:link w:val="Titolo4Carattere"/>
    <w:uiPriority w:val="9"/>
    <w:unhideWhenUsed/>
    <w:qFormat/>
    <w:rsid w:val="00020300"/>
    <w:pPr>
      <w:keepNext/>
      <w:keepLines/>
      <w:numPr>
        <w:ilvl w:val="3"/>
        <w:numId w:val="1"/>
      </w:numPr>
      <w:spacing w:before="320"/>
      <w:ind w:left="862" w:hanging="862"/>
      <w:outlineLvl w:val="3"/>
    </w:pPr>
    <w:rPr>
      <w:rFonts w:asciiTheme="majorHAnsi" w:eastAsiaTheme="majorEastAsia" w:hAnsiTheme="majorHAnsi" w:cstheme="majorBidi"/>
      <w:szCs w:val="22"/>
    </w:rPr>
  </w:style>
  <w:style w:type="paragraph" w:styleId="Titolo5">
    <w:name w:val="heading 5"/>
    <w:basedOn w:val="Normale"/>
    <w:next w:val="Normale"/>
    <w:link w:val="Titolo5Carattere"/>
    <w:uiPriority w:val="9"/>
    <w:unhideWhenUsed/>
    <w:qFormat/>
    <w:rsid w:val="007E7997"/>
    <w:pPr>
      <w:keepNext/>
      <w:keepLines/>
      <w:numPr>
        <w:numId w:val="2"/>
      </w:numPr>
      <w:spacing w:before="40" w:after="0"/>
      <w:outlineLvl w:val="4"/>
    </w:pPr>
    <w:rPr>
      <w:rFonts w:asciiTheme="majorHAnsi" w:eastAsiaTheme="majorEastAsia" w:hAnsiTheme="majorHAnsi" w:cstheme="majorBidi"/>
      <w:szCs w:val="22"/>
    </w:rPr>
  </w:style>
  <w:style w:type="paragraph" w:styleId="Titolo6">
    <w:name w:val="heading 6"/>
    <w:basedOn w:val="Normale"/>
    <w:next w:val="Normale"/>
    <w:link w:val="Titolo6Carattere"/>
    <w:uiPriority w:val="9"/>
    <w:semiHidden/>
    <w:unhideWhenUsed/>
    <w:rsid w:val="00AA054E"/>
    <w:pPr>
      <w:keepNext/>
      <w:keepLines/>
      <w:numPr>
        <w:ilvl w:val="5"/>
        <w:numId w:val="1"/>
      </w:numPr>
      <w:spacing w:before="40" w:after="0"/>
      <w:outlineLvl w:val="5"/>
    </w:pPr>
    <w:rPr>
      <w:rFonts w:asciiTheme="majorHAnsi" w:eastAsiaTheme="majorEastAsia" w:hAnsiTheme="majorHAnsi" w:cstheme="majorBidi"/>
      <w:i/>
      <w:iCs/>
      <w:color w:val="007EFF" w:themeColor="text2"/>
      <w:sz w:val="21"/>
      <w:szCs w:val="21"/>
    </w:rPr>
  </w:style>
  <w:style w:type="paragraph" w:styleId="Titolo7">
    <w:name w:val="heading 7"/>
    <w:basedOn w:val="Normale"/>
    <w:next w:val="Normale"/>
    <w:link w:val="Titolo7Carattere"/>
    <w:uiPriority w:val="9"/>
    <w:semiHidden/>
    <w:unhideWhenUsed/>
    <w:qFormat/>
    <w:rsid w:val="00AA054E"/>
    <w:pPr>
      <w:keepNext/>
      <w:keepLines/>
      <w:numPr>
        <w:ilvl w:val="6"/>
        <w:numId w:val="1"/>
      </w:numPr>
      <w:spacing w:before="40" w:after="0"/>
      <w:outlineLvl w:val="6"/>
    </w:pPr>
    <w:rPr>
      <w:rFonts w:asciiTheme="majorHAnsi" w:eastAsiaTheme="majorEastAsia" w:hAnsiTheme="majorHAnsi" w:cstheme="majorBidi"/>
      <w:i/>
      <w:iCs/>
      <w:color w:val="19004F" w:themeColor="accent1" w:themeShade="80"/>
      <w:sz w:val="21"/>
      <w:szCs w:val="21"/>
    </w:rPr>
  </w:style>
  <w:style w:type="paragraph" w:styleId="Titolo8">
    <w:name w:val="heading 8"/>
    <w:basedOn w:val="Normale"/>
    <w:next w:val="Normale"/>
    <w:link w:val="Titolo8Carattere"/>
    <w:uiPriority w:val="9"/>
    <w:semiHidden/>
    <w:unhideWhenUsed/>
    <w:qFormat/>
    <w:rsid w:val="00AA054E"/>
    <w:pPr>
      <w:keepNext/>
      <w:keepLines/>
      <w:numPr>
        <w:ilvl w:val="7"/>
        <w:numId w:val="1"/>
      </w:numPr>
      <w:spacing w:before="40" w:after="0"/>
      <w:outlineLvl w:val="7"/>
    </w:pPr>
    <w:rPr>
      <w:rFonts w:asciiTheme="majorHAnsi" w:eastAsiaTheme="majorEastAsia" w:hAnsiTheme="majorHAnsi" w:cstheme="majorBidi"/>
      <w:b/>
      <w:bCs/>
      <w:color w:val="007EFF" w:themeColor="text2"/>
    </w:rPr>
  </w:style>
  <w:style w:type="paragraph" w:styleId="Titolo9">
    <w:name w:val="heading 9"/>
    <w:basedOn w:val="Normale"/>
    <w:next w:val="Normale"/>
    <w:link w:val="Titolo9Carattere"/>
    <w:uiPriority w:val="9"/>
    <w:semiHidden/>
    <w:unhideWhenUsed/>
    <w:qFormat/>
    <w:rsid w:val="00AA054E"/>
    <w:pPr>
      <w:keepNext/>
      <w:keepLines/>
      <w:numPr>
        <w:ilvl w:val="8"/>
        <w:numId w:val="1"/>
      </w:numPr>
      <w:spacing w:before="40" w:after="0"/>
      <w:outlineLvl w:val="8"/>
    </w:pPr>
    <w:rPr>
      <w:rFonts w:asciiTheme="majorHAnsi" w:eastAsiaTheme="majorEastAsia" w:hAnsiTheme="majorHAnsi" w:cstheme="majorBidi"/>
      <w:b/>
      <w:bCs/>
      <w:i/>
      <w:iCs/>
      <w:color w:val="007EFF"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5B6B12"/>
    <w:pPr>
      <w:spacing w:after="0" w:line="240" w:lineRule="auto"/>
    </w:pPr>
    <w:rPr>
      <w:lang w:val="en-GB"/>
    </w:rPr>
  </w:style>
  <w:style w:type="character" w:customStyle="1" w:styleId="Titolo4Carattere">
    <w:name w:val="Titolo 4 Carattere"/>
    <w:basedOn w:val="Carpredefinitoparagrafo"/>
    <w:link w:val="Titolo4"/>
    <w:uiPriority w:val="9"/>
    <w:rsid w:val="00020300"/>
    <w:rPr>
      <w:rFonts w:asciiTheme="majorHAnsi" w:eastAsiaTheme="majorEastAsia" w:hAnsiTheme="majorHAnsi" w:cstheme="majorBidi"/>
      <w:color w:val="181818" w:themeColor="background1" w:themeShade="1A"/>
      <w:sz w:val="22"/>
      <w:szCs w:val="22"/>
      <w:lang w:val="en-GB"/>
    </w:rPr>
  </w:style>
  <w:style w:type="character" w:customStyle="1" w:styleId="Titolo3Carattere">
    <w:name w:val="Titolo 3 Carattere"/>
    <w:basedOn w:val="Carpredefinitoparagrafo"/>
    <w:link w:val="Titolo3"/>
    <w:uiPriority w:val="9"/>
    <w:rsid w:val="00020300"/>
    <w:rPr>
      <w:rFonts w:asciiTheme="majorHAnsi" w:eastAsiaTheme="majorEastAsia" w:hAnsiTheme="majorHAnsi" w:cstheme="majorBidi"/>
      <w:color w:val="181818" w:themeColor="background1" w:themeShade="1A"/>
      <w:sz w:val="24"/>
      <w:szCs w:val="24"/>
      <w:lang w:val="en-GB"/>
    </w:rPr>
  </w:style>
  <w:style w:type="character" w:customStyle="1" w:styleId="Titolo1Carattere">
    <w:name w:val="Titolo 1 Carattere"/>
    <w:basedOn w:val="Carpredefinitoparagrafo"/>
    <w:link w:val="Titolo1"/>
    <w:uiPriority w:val="9"/>
    <w:rsid w:val="0082744A"/>
    <w:rPr>
      <w:rFonts w:asciiTheme="majorHAnsi" w:eastAsiaTheme="majorEastAsia" w:hAnsiTheme="majorHAnsi" w:cstheme="majorBidi"/>
      <w:b/>
      <w:color w:val="00379F" w:themeColor="text1"/>
      <w:sz w:val="32"/>
      <w:szCs w:val="32"/>
      <w:lang w:val="en-GB"/>
    </w:rPr>
  </w:style>
  <w:style w:type="character" w:customStyle="1" w:styleId="Titolo2Carattere">
    <w:name w:val="Titolo 2 Carattere"/>
    <w:basedOn w:val="Carpredefinitoparagrafo"/>
    <w:link w:val="Titolo2"/>
    <w:uiPriority w:val="9"/>
    <w:rsid w:val="0082744A"/>
    <w:rPr>
      <w:rFonts w:asciiTheme="majorHAnsi" w:eastAsiaTheme="majorEastAsia" w:hAnsiTheme="majorHAnsi" w:cstheme="majorBidi"/>
      <w:b/>
      <w:color w:val="00379F" w:themeColor="text1"/>
      <w:sz w:val="28"/>
      <w:szCs w:val="28"/>
      <w:lang w:val="en-GB"/>
    </w:rPr>
  </w:style>
  <w:style w:type="paragraph" w:customStyle="1" w:styleId="Subtitle1">
    <w:name w:val="Subtitle1"/>
    <w:basedOn w:val="Normale"/>
    <w:link w:val="Subtitle1Char"/>
    <w:autoRedefine/>
    <w:rsid w:val="003C4EB5"/>
    <w:pPr>
      <w:tabs>
        <w:tab w:val="left" w:pos="414"/>
      </w:tabs>
    </w:pPr>
    <w:rPr>
      <w:b/>
    </w:rPr>
  </w:style>
  <w:style w:type="character" w:customStyle="1" w:styleId="Subtitle1Char">
    <w:name w:val="Subtitle1 Char"/>
    <w:basedOn w:val="Carpredefinitoparagrafo"/>
    <w:link w:val="Subtitle1"/>
    <w:rsid w:val="003C4EB5"/>
    <w:rPr>
      <w:rFonts w:cs="Times New Roman"/>
      <w:b/>
      <w:sz w:val="20"/>
      <w:szCs w:val="24"/>
      <w:lang w:val="en-GB" w:eastAsia="de-DE"/>
    </w:rPr>
  </w:style>
  <w:style w:type="paragraph" w:customStyle="1" w:styleId="Title1">
    <w:name w:val="Title 1"/>
    <w:basedOn w:val="Paragrafoelenco"/>
    <w:link w:val="Title1Char"/>
    <w:qFormat/>
    <w:rsid w:val="00F205B9"/>
    <w:pPr>
      <w:numPr>
        <w:numId w:val="0"/>
      </w:numPr>
      <w:ind w:left="792" w:hanging="432"/>
    </w:pPr>
    <w:rPr>
      <w:b/>
      <w:color w:val="00379F" w:themeColor="text1"/>
      <w:sz w:val="28"/>
    </w:rPr>
  </w:style>
  <w:style w:type="character" w:customStyle="1" w:styleId="Title1Char">
    <w:name w:val="Title 1 Char"/>
    <w:basedOn w:val="Carpredefinitoparagrafo"/>
    <w:link w:val="Title1"/>
    <w:rsid w:val="00F205B9"/>
    <w:rPr>
      <w:rFonts w:asciiTheme="majorHAnsi" w:hAnsiTheme="majorHAnsi" w:cstheme="majorHAnsi"/>
      <w:b/>
      <w:color w:val="00379F" w:themeColor="text1"/>
      <w:sz w:val="28"/>
      <w:szCs w:val="22"/>
      <w:lang w:val="pt-PT"/>
    </w:rPr>
  </w:style>
  <w:style w:type="paragraph" w:styleId="Paragrafoelenco">
    <w:name w:val="List Paragraph"/>
    <w:aliases w:val="Paragraphe EI,Paragraphe de liste1,EC"/>
    <w:basedOn w:val="Normale"/>
    <w:link w:val="ParagrafoelencoCarattere"/>
    <w:autoRedefine/>
    <w:uiPriority w:val="34"/>
    <w:qFormat/>
    <w:rsid w:val="00532FF0"/>
    <w:pPr>
      <w:numPr>
        <w:numId w:val="23"/>
      </w:numPr>
      <w:spacing w:after="0"/>
    </w:pPr>
    <w:rPr>
      <w:rFonts w:asciiTheme="majorHAnsi" w:hAnsiTheme="majorHAnsi" w:cstheme="majorHAnsi"/>
      <w:szCs w:val="22"/>
      <w:lang w:val="pt-PT"/>
    </w:rPr>
  </w:style>
  <w:style w:type="paragraph" w:customStyle="1" w:styleId="Title3">
    <w:name w:val="Title 3"/>
    <w:basedOn w:val="Paragrafoelenco"/>
    <w:link w:val="Title3Char"/>
    <w:autoRedefine/>
    <w:rsid w:val="00F205B9"/>
    <w:pPr>
      <w:numPr>
        <w:ilvl w:val="3"/>
        <w:numId w:val="4"/>
      </w:numPr>
    </w:pPr>
  </w:style>
  <w:style w:type="character" w:customStyle="1" w:styleId="Title3Char">
    <w:name w:val="Title 3 Char"/>
    <w:basedOn w:val="Carpredefinitoparagrafo"/>
    <w:link w:val="Title3"/>
    <w:rsid w:val="003C4EB5"/>
    <w:rPr>
      <w:rFonts w:asciiTheme="majorHAnsi" w:hAnsiTheme="majorHAnsi" w:cstheme="majorHAnsi"/>
      <w:color w:val="181818" w:themeColor="background1" w:themeShade="1A"/>
      <w:sz w:val="22"/>
      <w:szCs w:val="22"/>
      <w:lang w:val="pt-PT"/>
    </w:rPr>
  </w:style>
  <w:style w:type="paragraph" w:customStyle="1" w:styleId="Title2">
    <w:name w:val="Title 2"/>
    <w:basedOn w:val="Title1"/>
    <w:link w:val="Title2Char"/>
    <w:autoRedefine/>
    <w:rsid w:val="00F205B9"/>
  </w:style>
  <w:style w:type="character" w:customStyle="1" w:styleId="Title2Char">
    <w:name w:val="Title 2 Char"/>
    <w:basedOn w:val="Title1Char"/>
    <w:link w:val="Title2"/>
    <w:rsid w:val="002574D1"/>
    <w:rPr>
      <w:rFonts w:asciiTheme="majorHAnsi" w:hAnsiTheme="majorHAnsi" w:cstheme="majorHAnsi"/>
      <w:b/>
      <w:color w:val="00379F" w:themeColor="text1"/>
      <w:sz w:val="28"/>
      <w:szCs w:val="22"/>
      <w:lang w:val="pt-PT"/>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hAnsiTheme="majorHAnsi" w:cstheme="majorHAnsi"/>
      <w:color w:val="181818" w:themeColor="background1" w:themeShade="1A"/>
      <w:sz w:val="22"/>
      <w:szCs w:val="22"/>
      <w:lang w:val="fr-BE"/>
    </w:rPr>
  </w:style>
  <w:style w:type="paragraph" w:customStyle="1" w:styleId="DocumentTitle">
    <w:name w:val="Document Title"/>
    <w:basedOn w:val="Normale"/>
    <w:link w:val="DocumentTitleChar"/>
    <w:qFormat/>
    <w:rsid w:val="00563C1F"/>
    <w:pPr>
      <w:framePr w:hSpace="8505" w:wrap="around" w:vAnchor="page" w:hAnchor="page" w:x="1248" w:y="4401"/>
      <w:spacing w:line="240" w:lineRule="auto"/>
    </w:pPr>
    <w:rPr>
      <w:rFonts w:asciiTheme="majorHAnsi" w:hAnsiTheme="majorHAnsi"/>
      <w:b/>
      <w:color w:val="2D4190"/>
      <w:sz w:val="48"/>
    </w:rPr>
  </w:style>
  <w:style w:type="character" w:customStyle="1" w:styleId="DocumentTitleChar">
    <w:name w:val="Document Title Char"/>
    <w:basedOn w:val="Carpredefinitoparagrafo"/>
    <w:link w:val="DocumentTitle"/>
    <w:rsid w:val="00563C1F"/>
    <w:rPr>
      <w:rFonts w:asciiTheme="majorHAnsi" w:hAnsiTheme="majorHAnsi"/>
      <w:b/>
      <w:color w:val="2D4190"/>
      <w:sz w:val="48"/>
      <w:lang w:val="en-GB"/>
    </w:rPr>
  </w:style>
  <w:style w:type="paragraph" w:customStyle="1" w:styleId="DocumentSubtitle">
    <w:name w:val="Document Subtitle"/>
    <w:basedOn w:val="Normale"/>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Carpredefinitoparagrafo"/>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e"/>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Carpredefinitoparagrafo"/>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e"/>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Carpredefinitoparagrafo"/>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e"/>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Carpredefinitoparagrafo"/>
    <w:link w:val="Introductionheading"/>
    <w:rsid w:val="00044C5A"/>
    <w:rPr>
      <w:rFonts w:ascii="Arial" w:eastAsia="Times New Roman" w:hAnsi="Arial" w:cs="Times New Roman"/>
      <w:b/>
      <w:sz w:val="28"/>
      <w:szCs w:val="24"/>
      <w:lang w:val="en-GB" w:eastAsia="de-DE"/>
    </w:rPr>
  </w:style>
  <w:style w:type="character" w:customStyle="1" w:styleId="Titolo5Carattere">
    <w:name w:val="Titolo 5 Carattere"/>
    <w:basedOn w:val="Carpredefinitoparagrafo"/>
    <w:link w:val="Titolo5"/>
    <w:uiPriority w:val="9"/>
    <w:rsid w:val="007E7997"/>
    <w:rPr>
      <w:rFonts w:asciiTheme="majorHAnsi" w:eastAsiaTheme="majorEastAsia" w:hAnsiTheme="majorHAnsi" w:cstheme="majorBidi"/>
      <w:color w:val="181818" w:themeColor="background1" w:themeShade="1A"/>
      <w:sz w:val="22"/>
      <w:szCs w:val="22"/>
      <w:lang w:val="en-GB"/>
    </w:rPr>
  </w:style>
  <w:style w:type="paragraph" w:styleId="Corpotesto">
    <w:name w:val="Body Text"/>
    <w:basedOn w:val="Normale"/>
    <w:link w:val="CorpotestoCarattere"/>
    <w:uiPriority w:val="99"/>
    <w:semiHidden/>
    <w:unhideWhenUsed/>
    <w:rsid w:val="00044C5A"/>
  </w:style>
  <w:style w:type="character" w:customStyle="1" w:styleId="CorpotestoCarattere">
    <w:name w:val="Corpo testo Carattere"/>
    <w:basedOn w:val="Carpredefinitoparagrafo"/>
    <w:link w:val="Corpotesto"/>
    <w:uiPriority w:val="99"/>
    <w:semiHidden/>
    <w:rsid w:val="00044C5A"/>
    <w:rPr>
      <w:rFonts w:ascii="Arial" w:eastAsiaTheme="minorEastAsia" w:hAnsi="Arial"/>
    </w:rPr>
  </w:style>
  <w:style w:type="paragraph" w:styleId="Primorientrocorpodeltesto">
    <w:name w:val="Body Text First Indent"/>
    <w:basedOn w:val="Corpotesto"/>
    <w:link w:val="PrimorientrocorpodeltestoCarattere"/>
    <w:uiPriority w:val="99"/>
    <w:semiHidden/>
    <w:unhideWhenUsed/>
    <w:rsid w:val="00044C5A"/>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044C5A"/>
    <w:rPr>
      <w:rFonts w:ascii="Arial" w:eastAsiaTheme="minorEastAsia" w:hAnsi="Arial"/>
    </w:rPr>
  </w:style>
  <w:style w:type="character" w:customStyle="1" w:styleId="Titolo6Carattere">
    <w:name w:val="Titolo 6 Carattere"/>
    <w:basedOn w:val="Carpredefinitoparagrafo"/>
    <w:link w:val="Titolo6"/>
    <w:uiPriority w:val="9"/>
    <w:semiHidden/>
    <w:rsid w:val="00AA054E"/>
    <w:rPr>
      <w:rFonts w:asciiTheme="majorHAnsi" w:eastAsiaTheme="majorEastAsia" w:hAnsiTheme="majorHAnsi" w:cstheme="majorBidi"/>
      <w:i/>
      <w:iCs/>
      <w:color w:val="007EFF" w:themeColor="text2"/>
      <w:sz w:val="21"/>
      <w:szCs w:val="21"/>
      <w:lang w:val="en-GB"/>
    </w:rPr>
  </w:style>
  <w:style w:type="paragraph" w:styleId="Titolo">
    <w:name w:val="Title"/>
    <w:basedOn w:val="Normale"/>
    <w:next w:val="Normale"/>
    <w:link w:val="TitoloCarattere"/>
    <w:uiPriority w:val="10"/>
    <w:qFormat/>
    <w:rsid w:val="00516CBA"/>
    <w:pPr>
      <w:spacing w:after="240" w:line="240" w:lineRule="auto"/>
      <w:contextualSpacing/>
    </w:pPr>
    <w:rPr>
      <w:rFonts w:asciiTheme="majorHAnsi" w:eastAsiaTheme="majorEastAsia" w:hAnsiTheme="majorHAnsi" w:cstheme="majorBidi"/>
      <w:b/>
      <w:color w:val="00379F" w:themeColor="text1"/>
      <w:spacing w:val="-10"/>
      <w:sz w:val="56"/>
      <w:szCs w:val="56"/>
    </w:rPr>
  </w:style>
  <w:style w:type="character" w:customStyle="1" w:styleId="TitoloCarattere">
    <w:name w:val="Titolo Carattere"/>
    <w:basedOn w:val="Carpredefinitoparagrafo"/>
    <w:link w:val="Titolo"/>
    <w:uiPriority w:val="10"/>
    <w:rsid w:val="00516CBA"/>
    <w:rPr>
      <w:rFonts w:asciiTheme="majorHAnsi" w:eastAsiaTheme="majorEastAsia" w:hAnsiTheme="majorHAnsi" w:cstheme="majorBidi"/>
      <w:b/>
      <w:color w:val="00379F" w:themeColor="text1"/>
      <w:spacing w:val="-10"/>
      <w:sz w:val="56"/>
      <w:szCs w:val="56"/>
      <w:lang w:val="en-GB"/>
    </w:rPr>
  </w:style>
  <w:style w:type="paragraph" w:styleId="Sottotitolo">
    <w:name w:val="Subtitle"/>
    <w:basedOn w:val="Normale"/>
    <w:next w:val="Normale"/>
    <w:link w:val="SottotitoloCarattere"/>
    <w:uiPriority w:val="11"/>
    <w:qFormat/>
    <w:rsid w:val="0082744A"/>
    <w:pPr>
      <w:numPr>
        <w:ilvl w:val="1"/>
      </w:numPr>
      <w:spacing w:line="240" w:lineRule="auto"/>
    </w:pPr>
    <w:rPr>
      <w:rFonts w:asciiTheme="majorHAnsi" w:eastAsiaTheme="majorEastAsia" w:hAnsiTheme="majorHAnsi" w:cstheme="majorBidi"/>
      <w:sz w:val="28"/>
      <w:szCs w:val="24"/>
    </w:rPr>
  </w:style>
  <w:style w:type="character" w:customStyle="1" w:styleId="SottotitoloCarattere">
    <w:name w:val="Sottotitolo Carattere"/>
    <w:basedOn w:val="Carpredefinitoparagrafo"/>
    <w:link w:val="Sottotitolo"/>
    <w:uiPriority w:val="11"/>
    <w:rsid w:val="0082744A"/>
    <w:rPr>
      <w:rFonts w:asciiTheme="majorHAnsi" w:eastAsiaTheme="majorEastAsia" w:hAnsiTheme="majorHAnsi" w:cstheme="majorBidi"/>
      <w:sz w:val="28"/>
      <w:szCs w:val="24"/>
      <w:lang w:val="en-GB"/>
    </w:rPr>
  </w:style>
  <w:style w:type="character" w:customStyle="1" w:styleId="Titolo7Carattere">
    <w:name w:val="Titolo 7 Carattere"/>
    <w:basedOn w:val="Carpredefinitoparagrafo"/>
    <w:link w:val="Titolo7"/>
    <w:uiPriority w:val="9"/>
    <w:semiHidden/>
    <w:rsid w:val="00AA054E"/>
    <w:rPr>
      <w:rFonts w:asciiTheme="majorHAnsi" w:eastAsiaTheme="majorEastAsia" w:hAnsiTheme="majorHAnsi" w:cstheme="majorBidi"/>
      <w:i/>
      <w:iCs/>
      <w:color w:val="19004F" w:themeColor="accent1" w:themeShade="80"/>
      <w:sz w:val="21"/>
      <w:szCs w:val="21"/>
      <w:lang w:val="en-GB"/>
    </w:rPr>
  </w:style>
  <w:style w:type="character" w:customStyle="1" w:styleId="Titolo8Carattere">
    <w:name w:val="Titolo 8 Carattere"/>
    <w:basedOn w:val="Carpredefinitoparagrafo"/>
    <w:link w:val="Titolo8"/>
    <w:uiPriority w:val="9"/>
    <w:semiHidden/>
    <w:rsid w:val="00AA054E"/>
    <w:rPr>
      <w:rFonts w:asciiTheme="majorHAnsi" w:eastAsiaTheme="majorEastAsia" w:hAnsiTheme="majorHAnsi" w:cstheme="majorBidi"/>
      <w:b/>
      <w:bCs/>
      <w:color w:val="007EFF" w:themeColor="text2"/>
      <w:sz w:val="22"/>
      <w:lang w:val="en-GB"/>
    </w:rPr>
  </w:style>
  <w:style w:type="character" w:customStyle="1" w:styleId="Titolo9Carattere">
    <w:name w:val="Titolo 9 Carattere"/>
    <w:basedOn w:val="Carpredefinitoparagrafo"/>
    <w:link w:val="Titolo9"/>
    <w:uiPriority w:val="9"/>
    <w:semiHidden/>
    <w:rsid w:val="00AA054E"/>
    <w:rPr>
      <w:rFonts w:asciiTheme="majorHAnsi" w:eastAsiaTheme="majorEastAsia" w:hAnsiTheme="majorHAnsi" w:cstheme="majorBidi"/>
      <w:b/>
      <w:bCs/>
      <w:i/>
      <w:iCs/>
      <w:color w:val="007EFF" w:themeColor="text2"/>
      <w:sz w:val="22"/>
      <w:lang w:val="en-GB"/>
    </w:rPr>
  </w:style>
  <w:style w:type="paragraph" w:styleId="Didascalia">
    <w:name w:val="caption"/>
    <w:basedOn w:val="Normale"/>
    <w:next w:val="Normale"/>
    <w:uiPriority w:val="35"/>
    <w:semiHidden/>
    <w:unhideWhenUsed/>
    <w:qFormat/>
    <w:rsid w:val="00AA054E"/>
    <w:pPr>
      <w:spacing w:line="240" w:lineRule="auto"/>
    </w:pPr>
    <w:rPr>
      <w:b/>
      <w:bCs/>
      <w:smallCaps/>
      <w:color w:val="1A69FF" w:themeColor="text1" w:themeTint="A6"/>
      <w:spacing w:val="6"/>
    </w:rPr>
  </w:style>
  <w:style w:type="character" w:styleId="Enfasigrassetto">
    <w:name w:val="Strong"/>
    <w:basedOn w:val="Carpredefinitoparagrafo"/>
    <w:uiPriority w:val="22"/>
    <w:qFormat/>
    <w:rsid w:val="00AA054E"/>
    <w:rPr>
      <w:b/>
      <w:bCs/>
    </w:rPr>
  </w:style>
  <w:style w:type="character" w:styleId="Enfasicorsivo">
    <w:name w:val="Emphasis"/>
    <w:basedOn w:val="Carpredefinitoparagrafo"/>
    <w:uiPriority w:val="20"/>
    <w:qFormat/>
    <w:rsid w:val="00AA054E"/>
    <w:rPr>
      <w:i/>
      <w:iCs/>
    </w:rPr>
  </w:style>
  <w:style w:type="paragraph" w:styleId="Citazione">
    <w:name w:val="Quote"/>
    <w:basedOn w:val="Normale"/>
    <w:next w:val="Normale"/>
    <w:link w:val="CitazioneCarattere"/>
    <w:uiPriority w:val="29"/>
    <w:qFormat/>
    <w:rsid w:val="00AA054E"/>
    <w:pPr>
      <w:spacing w:before="160"/>
      <w:ind w:left="720" w:right="720"/>
    </w:pPr>
    <w:rPr>
      <w:i/>
      <w:iCs/>
      <w:color w:val="0055F7" w:themeColor="text1" w:themeTint="BF"/>
    </w:rPr>
  </w:style>
  <w:style w:type="character" w:customStyle="1" w:styleId="CitazioneCarattere">
    <w:name w:val="Citazione Carattere"/>
    <w:basedOn w:val="Carpredefinitoparagrafo"/>
    <w:link w:val="Citazione"/>
    <w:uiPriority w:val="29"/>
    <w:rsid w:val="00AA054E"/>
    <w:rPr>
      <w:i/>
      <w:iCs/>
      <w:color w:val="0055F7" w:themeColor="text1" w:themeTint="BF"/>
    </w:rPr>
  </w:style>
  <w:style w:type="paragraph" w:styleId="Citazioneintensa">
    <w:name w:val="Intense Quote"/>
    <w:basedOn w:val="Normale"/>
    <w:next w:val="Normale"/>
    <w:link w:val="CitazioneintensaCarattere"/>
    <w:uiPriority w:val="30"/>
    <w:qFormat/>
    <w:rsid w:val="00AA054E"/>
    <w:pPr>
      <w:pBdr>
        <w:left w:val="single" w:sz="18" w:space="12" w:color="34009F" w:themeColor="accent1"/>
      </w:pBdr>
      <w:spacing w:before="100" w:beforeAutospacing="1" w:line="300" w:lineRule="auto"/>
      <w:ind w:left="1224" w:right="1224"/>
    </w:pPr>
    <w:rPr>
      <w:rFonts w:asciiTheme="majorHAnsi" w:eastAsiaTheme="majorEastAsia" w:hAnsiTheme="majorHAnsi" w:cstheme="majorBidi"/>
      <w:color w:val="34009F" w:themeColor="accent1"/>
      <w:sz w:val="28"/>
      <w:szCs w:val="28"/>
    </w:rPr>
  </w:style>
  <w:style w:type="character" w:customStyle="1" w:styleId="CitazioneintensaCarattere">
    <w:name w:val="Citazione intensa Carattere"/>
    <w:basedOn w:val="Carpredefinitoparagrafo"/>
    <w:link w:val="Citazioneintensa"/>
    <w:uiPriority w:val="30"/>
    <w:rsid w:val="00AA054E"/>
    <w:rPr>
      <w:rFonts w:asciiTheme="majorHAnsi" w:eastAsiaTheme="majorEastAsia" w:hAnsiTheme="majorHAnsi" w:cstheme="majorBidi"/>
      <w:color w:val="34009F" w:themeColor="accent1"/>
      <w:sz w:val="28"/>
      <w:szCs w:val="28"/>
    </w:rPr>
  </w:style>
  <w:style w:type="character" w:styleId="Enfasidelicata">
    <w:name w:val="Subtle Emphasis"/>
    <w:basedOn w:val="Carpredefinitoparagrafo"/>
    <w:uiPriority w:val="19"/>
    <w:qFormat/>
    <w:rsid w:val="00AA054E"/>
    <w:rPr>
      <w:i/>
      <w:iCs/>
      <w:color w:val="0055F7" w:themeColor="text1" w:themeTint="BF"/>
    </w:rPr>
  </w:style>
  <w:style w:type="character" w:styleId="Enfasiintensa">
    <w:name w:val="Intense Emphasis"/>
    <w:basedOn w:val="Carpredefinitoparagrafo"/>
    <w:uiPriority w:val="21"/>
    <w:qFormat/>
    <w:rsid w:val="00AA054E"/>
    <w:rPr>
      <w:b/>
      <w:bCs/>
      <w:i/>
      <w:iCs/>
    </w:rPr>
  </w:style>
  <w:style w:type="character" w:styleId="Riferimentodelicato">
    <w:name w:val="Subtle Reference"/>
    <w:basedOn w:val="Carpredefinitoparagrafo"/>
    <w:uiPriority w:val="31"/>
    <w:qFormat/>
    <w:rsid w:val="00AA054E"/>
    <w:rPr>
      <w:smallCaps/>
      <w:color w:val="0055F7" w:themeColor="text1" w:themeTint="BF"/>
      <w:u w:val="single" w:color="4E8BFF" w:themeColor="text1" w:themeTint="80"/>
    </w:rPr>
  </w:style>
  <w:style w:type="character" w:styleId="Riferimentointenso">
    <w:name w:val="Intense Reference"/>
    <w:basedOn w:val="Carpredefinitoparagrafo"/>
    <w:uiPriority w:val="32"/>
    <w:qFormat/>
    <w:rsid w:val="00AA054E"/>
    <w:rPr>
      <w:b/>
      <w:bCs/>
      <w:smallCaps/>
      <w:spacing w:val="5"/>
      <w:u w:val="single"/>
    </w:rPr>
  </w:style>
  <w:style w:type="character" w:styleId="Titolodellibro">
    <w:name w:val="Book Title"/>
    <w:basedOn w:val="Carpredefinitoparagrafo"/>
    <w:uiPriority w:val="33"/>
    <w:qFormat/>
    <w:rsid w:val="00AA054E"/>
    <w:rPr>
      <w:b/>
      <w:bCs/>
      <w:smallCaps/>
    </w:rPr>
  </w:style>
  <w:style w:type="paragraph" w:styleId="Titolosommario">
    <w:name w:val="TOC Heading"/>
    <w:basedOn w:val="Titolo1"/>
    <w:next w:val="Normale"/>
    <w:uiPriority w:val="39"/>
    <w:unhideWhenUsed/>
    <w:qFormat/>
    <w:rsid w:val="00F205B9"/>
    <w:pPr>
      <w:numPr>
        <w:numId w:val="0"/>
      </w:numPr>
      <w:outlineLvl w:val="9"/>
    </w:pPr>
  </w:style>
  <w:style w:type="character" w:customStyle="1" w:styleId="NessunaspaziaturaCarattere">
    <w:name w:val="Nessuna spaziatura Carattere"/>
    <w:basedOn w:val="Carpredefinitoparagrafo"/>
    <w:link w:val="Nessunaspaziatura"/>
    <w:uiPriority w:val="1"/>
    <w:rsid w:val="005B6B12"/>
    <w:rPr>
      <w:lang w:val="en-GB"/>
    </w:rPr>
  </w:style>
  <w:style w:type="paragraph" w:styleId="Intestazione">
    <w:name w:val="header"/>
    <w:basedOn w:val="Normale"/>
    <w:link w:val="IntestazioneCarattere"/>
    <w:unhideWhenUsed/>
    <w:qFormat/>
    <w:rsid w:val="00AF6B1E"/>
    <w:pPr>
      <w:tabs>
        <w:tab w:val="center" w:pos="4513"/>
        <w:tab w:val="right" w:pos="9026"/>
      </w:tabs>
      <w:spacing w:after="0" w:line="240" w:lineRule="auto"/>
      <w:jc w:val="right"/>
    </w:pPr>
    <w:rPr>
      <w:color w:val="001B4F" w:themeColor="text1" w:themeShade="80"/>
      <w:sz w:val="16"/>
    </w:rPr>
  </w:style>
  <w:style w:type="character" w:customStyle="1" w:styleId="IntestazioneCarattere">
    <w:name w:val="Intestazione Carattere"/>
    <w:basedOn w:val="Carpredefinitoparagrafo"/>
    <w:link w:val="Intestazione"/>
    <w:rsid w:val="00AF6B1E"/>
    <w:rPr>
      <w:color w:val="001B4F" w:themeColor="text1" w:themeShade="80"/>
      <w:sz w:val="16"/>
      <w:lang w:val="en-GB"/>
    </w:rPr>
  </w:style>
  <w:style w:type="paragraph" w:styleId="Pidipagina">
    <w:name w:val="footer"/>
    <w:basedOn w:val="Normale"/>
    <w:link w:val="PidipaginaCarattere"/>
    <w:uiPriority w:val="99"/>
    <w:unhideWhenUsed/>
    <w:qFormat/>
    <w:rsid w:val="004E5FF8"/>
    <w:pPr>
      <w:tabs>
        <w:tab w:val="center" w:pos="4536"/>
        <w:tab w:val="right" w:pos="9072"/>
      </w:tabs>
      <w:spacing w:line="240" w:lineRule="auto"/>
      <w:jc w:val="left"/>
    </w:pPr>
    <w:rPr>
      <w:color w:val="001B4F" w:themeColor="text1" w:themeShade="80"/>
      <w:sz w:val="16"/>
    </w:rPr>
  </w:style>
  <w:style w:type="character" w:customStyle="1" w:styleId="PidipaginaCarattere">
    <w:name w:val="Piè di pagina Carattere"/>
    <w:basedOn w:val="Carpredefinitoparagrafo"/>
    <w:link w:val="Pidipagina"/>
    <w:uiPriority w:val="99"/>
    <w:rsid w:val="004E5FF8"/>
    <w:rPr>
      <w:color w:val="001B4F" w:themeColor="text1" w:themeShade="80"/>
      <w:sz w:val="16"/>
      <w:lang w:val="en-GB"/>
    </w:rPr>
  </w:style>
  <w:style w:type="paragraph" w:customStyle="1" w:styleId="00aPagenumber">
    <w:name w:val="00a_Page number"/>
    <w:basedOn w:val="Normale"/>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e"/>
    <w:qFormat/>
    <w:rsid w:val="00D77369"/>
    <w:pPr>
      <w:spacing w:after="0" w:line="220" w:lineRule="exact"/>
      <w:jc w:val="right"/>
    </w:pPr>
    <w:rPr>
      <w:rFonts w:eastAsia="Times New Roman" w:cs="Times New Roman"/>
      <w:color w:val="001B4F" w:themeColor="text1" w:themeShade="80"/>
      <w:sz w:val="17"/>
      <w:szCs w:val="24"/>
      <w:lang w:eastAsia="de-DE"/>
    </w:rPr>
  </w:style>
  <w:style w:type="paragraph" w:styleId="Sommario1">
    <w:name w:val="toc 1"/>
    <w:basedOn w:val="Normale"/>
    <w:next w:val="Normale"/>
    <w:uiPriority w:val="39"/>
    <w:unhideWhenUsed/>
    <w:qFormat/>
    <w:rsid w:val="00F205B9"/>
    <w:pPr>
      <w:framePr w:hSpace="180" w:wrap="around" w:vAnchor="text" w:hAnchor="margin" w:y="115"/>
      <w:tabs>
        <w:tab w:val="left" w:pos="440"/>
        <w:tab w:val="right" w:leader="dot" w:pos="9062"/>
      </w:tabs>
      <w:spacing w:after="100"/>
    </w:pPr>
  </w:style>
  <w:style w:type="paragraph" w:styleId="Sommario2">
    <w:name w:val="toc 2"/>
    <w:basedOn w:val="Sommario1"/>
    <w:next w:val="Normale"/>
    <w:uiPriority w:val="39"/>
    <w:unhideWhenUsed/>
    <w:qFormat/>
    <w:rsid w:val="00F205B9"/>
    <w:pPr>
      <w:framePr w:wrap="around"/>
      <w:tabs>
        <w:tab w:val="right" w:leader="dot" w:pos="440"/>
      </w:tabs>
      <w:ind w:left="220"/>
    </w:pPr>
  </w:style>
  <w:style w:type="paragraph" w:styleId="Sommario3">
    <w:name w:val="toc 3"/>
    <w:basedOn w:val="Sommario1"/>
    <w:next w:val="Normale"/>
    <w:uiPriority w:val="39"/>
    <w:unhideWhenUsed/>
    <w:qFormat/>
    <w:rsid w:val="00AD0B10"/>
    <w:pPr>
      <w:framePr w:wrap="around"/>
      <w:ind w:left="442"/>
    </w:pPr>
  </w:style>
  <w:style w:type="character" w:styleId="Collegamentoipertestuale">
    <w:name w:val="Hyperlink"/>
    <w:basedOn w:val="Carpredefinitoparagrafo"/>
    <w:uiPriority w:val="99"/>
    <w:unhideWhenUsed/>
    <w:qFormat/>
    <w:rsid w:val="000C1E78"/>
    <w:rPr>
      <w:color w:val="005EBF" w:themeColor="text2" w:themeShade="BF"/>
      <w:u w:val="single"/>
    </w:rPr>
  </w:style>
  <w:style w:type="paragraph" w:customStyle="1" w:styleId="Questionstyle">
    <w:name w:val="Question style"/>
    <w:basedOn w:val="Normale"/>
    <w:next w:val="Normale"/>
    <w:link w:val="QuestionstyleChar"/>
    <w:autoRedefine/>
    <w:qFormat/>
    <w:rsid w:val="00C5469A"/>
    <w:pPr>
      <w:tabs>
        <w:tab w:val="left" w:pos="567"/>
      </w:tabs>
      <w:ind w:hanging="360"/>
      <w:contextualSpacing/>
    </w:pPr>
    <w:rPr>
      <w:b/>
    </w:rPr>
  </w:style>
  <w:style w:type="character" w:customStyle="1" w:styleId="QuestionstyleChar">
    <w:name w:val="Question style Char"/>
    <w:basedOn w:val="Carpredefinitoparagrafo"/>
    <w:link w:val="Questionstyle"/>
    <w:rsid w:val="00C5469A"/>
    <w:rPr>
      <w:b/>
      <w:color w:val="181818" w:themeColor="background1" w:themeShade="1A"/>
      <w:sz w:val="22"/>
      <w:lang w:val="en-GB"/>
    </w:rPr>
  </w:style>
  <w:style w:type="paragraph" w:customStyle="1" w:styleId="Listing2">
    <w:name w:val="Listing2"/>
    <w:basedOn w:val="Normale"/>
    <w:link w:val="Listing2Char"/>
    <w:autoRedefine/>
    <w:rsid w:val="00DF3785"/>
  </w:style>
  <w:style w:type="character" w:customStyle="1" w:styleId="Listing2Char">
    <w:name w:val="Listing2 Char"/>
    <w:basedOn w:val="Carpredefinitoparagrafo"/>
    <w:link w:val="Listing2"/>
    <w:rsid w:val="00DF3785"/>
    <w:rPr>
      <w:lang w:val="en-GB"/>
    </w:rPr>
  </w:style>
  <w:style w:type="table" w:styleId="Grigliatabella">
    <w:name w:val="Table Grid"/>
    <w:basedOn w:val="Tabellanormale"/>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B50534"/>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B50534"/>
    <w:rPr>
      <w:lang w:val="en-GB"/>
    </w:rPr>
  </w:style>
  <w:style w:type="character" w:styleId="Rimandonotadichiusura">
    <w:name w:val="endnote reference"/>
    <w:basedOn w:val="Carpredefinitoparagrafo"/>
    <w:uiPriority w:val="99"/>
    <w:semiHidden/>
    <w:unhideWhenUsed/>
    <w:rsid w:val="00B50534"/>
    <w:rPr>
      <w:vertAlign w:val="superscript"/>
    </w:rPr>
  </w:style>
  <w:style w:type="paragraph" w:styleId="Testonotaapidipagina">
    <w:name w:val="footnote text"/>
    <w:basedOn w:val="Normale"/>
    <w:link w:val="TestonotaapidipaginaCarattere"/>
    <w:autoRedefine/>
    <w:uiPriority w:val="99"/>
    <w:unhideWhenUsed/>
    <w:qFormat/>
    <w:rsid w:val="007A1A9D"/>
    <w:pPr>
      <w:spacing w:after="0" w:line="240" w:lineRule="auto"/>
    </w:pPr>
    <w:rPr>
      <w:sz w:val="16"/>
    </w:rPr>
  </w:style>
  <w:style w:type="character" w:customStyle="1" w:styleId="TestonotaapidipaginaCarattere">
    <w:name w:val="Testo nota a piè di pagina Carattere"/>
    <w:basedOn w:val="Carpredefinitoparagrafo"/>
    <w:link w:val="Testonotaapidipagina"/>
    <w:uiPriority w:val="99"/>
    <w:rsid w:val="007A1A9D"/>
    <w:rPr>
      <w:color w:val="181818" w:themeColor="background1" w:themeShade="1A"/>
      <w:sz w:val="16"/>
      <w:lang w:val="en-GB"/>
    </w:rPr>
  </w:style>
  <w:style w:type="character" w:styleId="Rimandonotaapidipagina">
    <w:name w:val="footnote reference"/>
    <w:basedOn w:val="Carpredefinitoparagrafo"/>
    <w:uiPriority w:val="99"/>
    <w:semiHidden/>
    <w:unhideWhenUsed/>
    <w:qFormat/>
    <w:rsid w:val="00A91D91"/>
    <w:rPr>
      <w:rFonts w:asciiTheme="majorHAnsi" w:hAnsiTheme="majorHAnsi"/>
      <w:sz w:val="16"/>
      <w:vertAlign w:val="superscript"/>
    </w:rPr>
  </w:style>
  <w:style w:type="paragraph" w:customStyle="1" w:styleId="Footnote">
    <w:name w:val="Footnote"/>
    <w:basedOn w:val="Testonotaapidipagina"/>
    <w:link w:val="FootnoteChar"/>
    <w:qFormat/>
    <w:rsid w:val="00672C04"/>
    <w:pPr>
      <w:ind w:left="454" w:hanging="454"/>
    </w:pPr>
    <w:rPr>
      <w:lang w:val="nl-BE"/>
    </w:rPr>
  </w:style>
  <w:style w:type="character" w:customStyle="1" w:styleId="FootnoteChar">
    <w:name w:val="Footnote Char"/>
    <w:basedOn w:val="TestonotaapidipaginaCarattere"/>
    <w:link w:val="Footnote"/>
    <w:rsid w:val="00672C04"/>
    <w:rPr>
      <w:color w:val="181818" w:themeColor="background1" w:themeShade="1A"/>
      <w:sz w:val="16"/>
      <w:lang w:val="en-GB"/>
    </w:rPr>
  </w:style>
  <w:style w:type="table" w:customStyle="1" w:styleId="GridTable4-Accent11">
    <w:name w:val="Grid Table 4 - Accent 11"/>
    <w:basedOn w:val="Tabellanormale"/>
    <w:uiPriority w:val="49"/>
    <w:rsid w:val="00B15C0B"/>
    <w:pPr>
      <w:spacing w:after="0" w:line="240" w:lineRule="auto"/>
    </w:pPr>
    <w:tblPr>
      <w:tblStyleRowBandSize w:val="1"/>
      <w:tblStyleColBandSize w:val="1"/>
      <w:tblBorders>
        <w:top w:val="single" w:sz="4" w:space="0" w:color="702CFF" w:themeColor="accent1" w:themeTint="99"/>
        <w:left w:val="single" w:sz="4" w:space="0" w:color="702CFF" w:themeColor="accent1" w:themeTint="99"/>
        <w:bottom w:val="single" w:sz="4" w:space="0" w:color="702CFF" w:themeColor="accent1" w:themeTint="99"/>
        <w:right w:val="single" w:sz="4" w:space="0" w:color="702CFF" w:themeColor="accent1" w:themeTint="99"/>
        <w:insideH w:val="single" w:sz="4" w:space="0" w:color="702CFF" w:themeColor="accent1" w:themeTint="99"/>
        <w:insideV w:val="single" w:sz="4" w:space="0" w:color="702CFF" w:themeColor="accent1" w:themeTint="99"/>
      </w:tblBorders>
    </w:tblPr>
    <w:tblStylePr w:type="firstRow">
      <w:rPr>
        <w:b/>
        <w:bCs/>
        <w:color w:val="F0F0F0" w:themeColor="background1"/>
      </w:rPr>
      <w:tblPr/>
      <w:tcPr>
        <w:tcBorders>
          <w:top w:val="single" w:sz="4" w:space="0" w:color="34009F" w:themeColor="accent1"/>
          <w:left w:val="single" w:sz="4" w:space="0" w:color="34009F" w:themeColor="accent1"/>
          <w:bottom w:val="single" w:sz="4" w:space="0" w:color="34009F" w:themeColor="accent1"/>
          <w:right w:val="single" w:sz="4" w:space="0" w:color="34009F" w:themeColor="accent1"/>
          <w:insideH w:val="nil"/>
          <w:insideV w:val="nil"/>
        </w:tcBorders>
        <w:shd w:val="clear" w:color="auto" w:fill="34009F" w:themeFill="accent1"/>
      </w:tcPr>
    </w:tblStylePr>
    <w:tblStylePr w:type="lastRow">
      <w:rPr>
        <w:b/>
        <w:bCs/>
      </w:rPr>
      <w:tblPr/>
      <w:tcPr>
        <w:tcBorders>
          <w:top w:val="double" w:sz="4" w:space="0" w:color="34009F" w:themeColor="accent1"/>
        </w:tcBorders>
      </w:tcPr>
    </w:tblStylePr>
    <w:tblStylePr w:type="firstCol">
      <w:rPr>
        <w:b/>
        <w:bCs/>
      </w:rPr>
    </w:tblStylePr>
    <w:tblStylePr w:type="lastCol">
      <w:rPr>
        <w:b/>
        <w:bCs/>
      </w:rPr>
    </w:tblStylePr>
    <w:tblStylePr w:type="band1Vert">
      <w:tblPr/>
      <w:tcPr>
        <w:shd w:val="clear" w:color="auto" w:fill="CFB8FF" w:themeFill="accent1" w:themeFillTint="33"/>
      </w:tcPr>
    </w:tblStylePr>
    <w:tblStylePr w:type="band1Horz">
      <w:tblPr/>
      <w:tcPr>
        <w:shd w:val="clear" w:color="auto" w:fill="CFB8FF" w:themeFill="accent1" w:themeFillTint="33"/>
      </w:tcPr>
    </w:tblStylePr>
  </w:style>
  <w:style w:type="paragraph" w:styleId="Testofumetto">
    <w:name w:val="Balloon Text"/>
    <w:basedOn w:val="Normale"/>
    <w:link w:val="TestofumettoCarattere"/>
    <w:uiPriority w:val="99"/>
    <w:semiHidden/>
    <w:unhideWhenUsed/>
    <w:rsid w:val="007151B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51BF"/>
    <w:rPr>
      <w:rFonts w:ascii="Tahoma" w:hAnsi="Tahoma" w:cs="Tahoma"/>
      <w:sz w:val="16"/>
      <w:szCs w:val="16"/>
      <w:lang w:val="en-GB"/>
    </w:rPr>
  </w:style>
  <w:style w:type="paragraph" w:styleId="Sommario4">
    <w:name w:val="toc 4"/>
    <w:basedOn w:val="Sommario1"/>
    <w:next w:val="Normale"/>
    <w:uiPriority w:val="39"/>
    <w:unhideWhenUsed/>
    <w:qFormat/>
    <w:rsid w:val="00F205B9"/>
    <w:pPr>
      <w:framePr w:wrap="around"/>
      <w:ind w:left="660"/>
    </w:pPr>
  </w:style>
  <w:style w:type="character" w:styleId="Rimandocommento">
    <w:name w:val="annotation reference"/>
    <w:basedOn w:val="Carpredefinitoparagrafo"/>
    <w:uiPriority w:val="99"/>
    <w:semiHidden/>
    <w:unhideWhenUsed/>
    <w:rsid w:val="00D33C31"/>
    <w:rPr>
      <w:sz w:val="16"/>
      <w:szCs w:val="16"/>
    </w:rPr>
  </w:style>
  <w:style w:type="paragraph" w:styleId="Testocommento">
    <w:name w:val="annotation text"/>
    <w:basedOn w:val="Normale"/>
    <w:link w:val="TestocommentoCarattere"/>
    <w:uiPriority w:val="99"/>
    <w:unhideWhenUsed/>
    <w:rsid w:val="00D33C31"/>
    <w:pPr>
      <w:spacing w:line="240" w:lineRule="auto"/>
    </w:pPr>
    <w:rPr>
      <w:sz w:val="20"/>
    </w:rPr>
  </w:style>
  <w:style w:type="character" w:customStyle="1" w:styleId="TestocommentoCarattere">
    <w:name w:val="Testo commento Carattere"/>
    <w:basedOn w:val="Carpredefinitoparagrafo"/>
    <w:link w:val="Testocommento"/>
    <w:uiPriority w:val="99"/>
    <w:rsid w:val="00D33C31"/>
    <w:rPr>
      <w:lang w:val="en-GB"/>
    </w:rPr>
  </w:style>
  <w:style w:type="paragraph" w:styleId="Soggettocommento">
    <w:name w:val="annotation subject"/>
    <w:basedOn w:val="Testocommento"/>
    <w:next w:val="Testocommento"/>
    <w:link w:val="SoggettocommentoCarattere"/>
    <w:uiPriority w:val="99"/>
    <w:semiHidden/>
    <w:unhideWhenUsed/>
    <w:rsid w:val="00D33C31"/>
    <w:rPr>
      <w:b/>
      <w:bCs/>
    </w:rPr>
  </w:style>
  <w:style w:type="character" w:customStyle="1" w:styleId="SoggettocommentoCarattere">
    <w:name w:val="Soggetto commento Carattere"/>
    <w:basedOn w:val="TestocommentoCarattere"/>
    <w:link w:val="Soggettocommento"/>
    <w:uiPriority w:val="99"/>
    <w:semiHidden/>
    <w:rsid w:val="00D33C31"/>
    <w:rPr>
      <w:b/>
      <w:bCs/>
      <w:lang w:val="en-GB"/>
    </w:rPr>
  </w:style>
  <w:style w:type="character" w:styleId="Menzionenonrisolta">
    <w:name w:val="Unresolved Mention"/>
    <w:basedOn w:val="Carpredefinitoparagrafo"/>
    <w:uiPriority w:val="99"/>
    <w:semiHidden/>
    <w:unhideWhenUsed/>
    <w:rsid w:val="004E5FF8"/>
    <w:rPr>
      <w:color w:val="605E5C"/>
      <w:shd w:val="clear" w:color="auto" w:fill="E1DFDD"/>
    </w:rPr>
  </w:style>
  <w:style w:type="numbering" w:customStyle="1" w:styleId="CurrentList1">
    <w:name w:val="Current List1"/>
    <w:uiPriority w:val="99"/>
    <w:rsid w:val="00672010"/>
    <w:pPr>
      <w:numPr>
        <w:numId w:val="3"/>
      </w:numPr>
    </w:pPr>
  </w:style>
  <w:style w:type="character" w:customStyle="1" w:styleId="ESMAConfidentialRestricted">
    <w:name w:val="ESMA Confidential/Restricted"/>
    <w:basedOn w:val="Enfasigrassetto"/>
    <w:uiPriority w:val="1"/>
    <w:qFormat/>
    <w:rsid w:val="008858FE"/>
    <w:rPr>
      <w:b w:val="0"/>
      <w:bCs/>
      <w:caps/>
      <w:smallCaps w:val="0"/>
      <w:color w:val="FF0000" w:themeColor="accent6"/>
      <w:sz w:val="22"/>
    </w:rPr>
  </w:style>
  <w:style w:type="paragraph" w:customStyle="1" w:styleId="Disclaimer">
    <w:name w:val="Disclaimer"/>
    <w:basedOn w:val="Normale"/>
    <w:qFormat/>
    <w:rsid w:val="00906D18"/>
    <w:rPr>
      <w:i/>
      <w:iCs/>
      <w:sz w:val="18"/>
      <w:szCs w:val="18"/>
    </w:rPr>
  </w:style>
  <w:style w:type="paragraph" w:customStyle="1" w:styleId="ESMAHeader">
    <w:name w:val="ESMA Header"/>
    <w:basedOn w:val="Intestazione"/>
    <w:qFormat/>
    <w:rsid w:val="00AF6B1E"/>
  </w:style>
  <w:style w:type="paragraph" w:customStyle="1" w:styleId="Pageheader">
    <w:name w:val="Page header"/>
    <w:basedOn w:val="Intestazione"/>
    <w:next w:val="Intestazione"/>
    <w:qFormat/>
    <w:rsid w:val="00AF6B1E"/>
  </w:style>
  <w:style w:type="character" w:customStyle="1" w:styleId="ESMARegularuse">
    <w:name w:val="ESMA Regular use"/>
    <w:basedOn w:val="ESMAConfidentialRestricted"/>
    <w:uiPriority w:val="1"/>
    <w:qFormat/>
    <w:rsid w:val="002A0C3C"/>
    <w:rPr>
      <w:b w:val="0"/>
      <w:bCs/>
      <w:caps/>
      <w:smallCaps w:val="0"/>
      <w:color w:val="007EFF" w:themeColor="text2"/>
      <w:sz w:val="22"/>
    </w:rPr>
  </w:style>
  <w:style w:type="paragraph" w:customStyle="1" w:styleId="References">
    <w:name w:val="References"/>
    <w:basedOn w:val="Normale"/>
    <w:qFormat/>
    <w:rsid w:val="00F205B9"/>
    <w:rPr>
      <w:rFonts w:ascii="Arial" w:eastAsia="Times New Roman" w:hAnsi="Arial" w:cs="Arial"/>
      <w:sz w:val="18"/>
      <w:szCs w:val="18"/>
      <w:lang w:eastAsia="de-DE"/>
    </w:rPr>
  </w:style>
  <w:style w:type="paragraph" w:styleId="Sommario5">
    <w:name w:val="toc 5"/>
    <w:basedOn w:val="Normale"/>
    <w:next w:val="Normale"/>
    <w:uiPriority w:val="39"/>
    <w:semiHidden/>
    <w:unhideWhenUsed/>
    <w:qFormat/>
    <w:rsid w:val="00F205B9"/>
    <w:pPr>
      <w:spacing w:after="100"/>
      <w:ind w:left="880"/>
    </w:pPr>
  </w:style>
  <w:style w:type="paragraph" w:styleId="Sommario6">
    <w:name w:val="toc 6"/>
    <w:basedOn w:val="Normale"/>
    <w:next w:val="Normale"/>
    <w:uiPriority w:val="39"/>
    <w:semiHidden/>
    <w:unhideWhenUsed/>
    <w:qFormat/>
    <w:rsid w:val="00F205B9"/>
    <w:pPr>
      <w:spacing w:after="100"/>
      <w:ind w:left="1100"/>
    </w:pPr>
  </w:style>
  <w:style w:type="paragraph" w:styleId="Sommario7">
    <w:name w:val="toc 7"/>
    <w:basedOn w:val="Normale"/>
    <w:next w:val="Normale"/>
    <w:uiPriority w:val="39"/>
    <w:semiHidden/>
    <w:unhideWhenUsed/>
    <w:qFormat/>
    <w:rsid w:val="00F205B9"/>
    <w:pPr>
      <w:spacing w:after="100"/>
      <w:ind w:left="1320"/>
    </w:pPr>
  </w:style>
  <w:style w:type="paragraph" w:styleId="Sommario8">
    <w:name w:val="toc 8"/>
    <w:basedOn w:val="Normale"/>
    <w:next w:val="Normale"/>
    <w:uiPriority w:val="39"/>
    <w:semiHidden/>
    <w:unhideWhenUsed/>
    <w:qFormat/>
    <w:rsid w:val="00F205B9"/>
    <w:pPr>
      <w:spacing w:after="100"/>
      <w:ind w:left="1540"/>
    </w:pPr>
  </w:style>
  <w:style w:type="paragraph" w:styleId="Sommario9">
    <w:name w:val="toc 9"/>
    <w:basedOn w:val="Normale"/>
    <w:next w:val="Normale"/>
    <w:uiPriority w:val="39"/>
    <w:semiHidden/>
    <w:unhideWhenUsed/>
    <w:qFormat/>
    <w:rsid w:val="00F205B9"/>
    <w:pPr>
      <w:spacing w:after="100"/>
      <w:ind w:left="1760"/>
    </w:pPr>
  </w:style>
  <w:style w:type="character" w:styleId="Collegamentovisitato">
    <w:name w:val="FollowedHyperlink"/>
    <w:basedOn w:val="Carpredefinitoparagrafo"/>
    <w:uiPriority w:val="99"/>
    <w:semiHidden/>
    <w:unhideWhenUsed/>
    <w:rsid w:val="0043139E"/>
    <w:rPr>
      <w:color w:val="0174AF" w:themeColor="followedHyperlink"/>
      <w:u w:val="single"/>
    </w:rPr>
  </w:style>
  <w:style w:type="character" w:customStyle="1" w:styleId="ParagrafoelencoCarattere">
    <w:name w:val="Paragrafo elenco Carattere"/>
    <w:aliases w:val="Paragraphe EI Carattere,Paragraphe de liste1 Carattere,EC Carattere"/>
    <w:link w:val="Paragrafoelenco"/>
    <w:uiPriority w:val="34"/>
    <w:locked/>
    <w:rsid w:val="00532FF0"/>
    <w:rPr>
      <w:rFonts w:asciiTheme="majorHAnsi" w:hAnsiTheme="majorHAnsi" w:cstheme="majorHAnsi"/>
      <w:color w:val="181818" w:themeColor="background1" w:themeShade="1A"/>
      <w:sz w:val="22"/>
      <w:szCs w:val="22"/>
      <w:lang w:val="pt-PT"/>
    </w:rPr>
  </w:style>
  <w:style w:type="paragraph" w:styleId="Revisione">
    <w:name w:val="Revision"/>
    <w:hidden/>
    <w:uiPriority w:val="99"/>
    <w:semiHidden/>
    <w:rsid w:val="004D5513"/>
    <w:pPr>
      <w:spacing w:after="0" w:line="240" w:lineRule="auto"/>
    </w:pPr>
    <w:rPr>
      <w:color w:val="181818" w:themeColor="background1" w:themeShade="1A"/>
      <w:sz w:val="22"/>
      <w:lang w:val="en-GB"/>
    </w:rPr>
  </w:style>
  <w:style w:type="paragraph" w:customStyle="1" w:styleId="pf0">
    <w:name w:val="pf0"/>
    <w:basedOn w:val="Normale"/>
    <w:rsid w:val="00061F32"/>
    <w:pPr>
      <w:spacing w:before="100" w:beforeAutospacing="1" w:after="100" w:afterAutospacing="1" w:line="240" w:lineRule="auto"/>
      <w:jc w:val="left"/>
    </w:pPr>
    <w:rPr>
      <w:rFonts w:ascii="Times New Roman" w:eastAsia="Times New Roman" w:hAnsi="Times New Roman" w:cs="Times New Roman"/>
      <w:color w:val="auto"/>
      <w:sz w:val="24"/>
      <w:szCs w:val="24"/>
      <w:lang w:eastAsia="en-GB"/>
    </w:rPr>
  </w:style>
  <w:style w:type="character" w:customStyle="1" w:styleId="cf01">
    <w:name w:val="cf01"/>
    <w:basedOn w:val="Carpredefinitoparagrafo"/>
    <w:rsid w:val="00061F32"/>
    <w:rPr>
      <w:rFonts w:ascii="Segoe UI" w:hAnsi="Segoe UI" w:cs="Segoe UI" w:hint="default"/>
      <w:sz w:val="18"/>
      <w:szCs w:val="18"/>
    </w:rPr>
  </w:style>
  <w:style w:type="character" w:customStyle="1" w:styleId="cf11">
    <w:name w:val="cf11"/>
    <w:basedOn w:val="Carpredefinitoparagrafo"/>
    <w:rsid w:val="00061F32"/>
    <w:rPr>
      <w:rFonts w:ascii="Segoe UI" w:hAnsi="Segoe UI" w:cs="Segoe UI" w:hint="default"/>
      <w:color w:val="333333"/>
      <w:sz w:val="18"/>
      <w:szCs w:val="18"/>
      <w:shd w:val="clear" w:color="auto" w:fill="FFFFFF"/>
    </w:rPr>
  </w:style>
  <w:style w:type="character" w:styleId="Menzione">
    <w:name w:val="Mention"/>
    <w:basedOn w:val="Carpredefinitoparagrafo"/>
    <w:uiPriority w:val="99"/>
    <w:unhideWhenUsed/>
    <w:rsid w:val="00251F26"/>
    <w:rPr>
      <w:color w:val="2B579A"/>
      <w:shd w:val="clear" w:color="auto" w:fill="E1DFDD"/>
    </w:rPr>
  </w:style>
  <w:style w:type="character" w:styleId="Testosegnaposto">
    <w:name w:val="Placeholder Text"/>
    <w:basedOn w:val="Carpredefinitoparagrafo"/>
    <w:uiPriority w:val="99"/>
    <w:semiHidden/>
    <w:rsid w:val="00635B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0870">
      <w:bodyDiv w:val="1"/>
      <w:marLeft w:val="0"/>
      <w:marRight w:val="0"/>
      <w:marTop w:val="0"/>
      <w:marBottom w:val="0"/>
      <w:divBdr>
        <w:top w:val="none" w:sz="0" w:space="0" w:color="auto"/>
        <w:left w:val="none" w:sz="0" w:space="0" w:color="auto"/>
        <w:bottom w:val="none" w:sz="0" w:space="0" w:color="auto"/>
        <w:right w:val="none" w:sz="0" w:space="0" w:color="auto"/>
      </w:divBdr>
    </w:div>
    <w:div w:id="133721471">
      <w:bodyDiv w:val="1"/>
      <w:marLeft w:val="0"/>
      <w:marRight w:val="0"/>
      <w:marTop w:val="0"/>
      <w:marBottom w:val="0"/>
      <w:divBdr>
        <w:top w:val="none" w:sz="0" w:space="0" w:color="auto"/>
        <w:left w:val="none" w:sz="0" w:space="0" w:color="auto"/>
        <w:bottom w:val="none" w:sz="0" w:space="0" w:color="auto"/>
        <w:right w:val="none" w:sz="0" w:space="0" w:color="auto"/>
      </w:divBdr>
    </w:div>
    <w:div w:id="290206457">
      <w:bodyDiv w:val="1"/>
      <w:marLeft w:val="0"/>
      <w:marRight w:val="0"/>
      <w:marTop w:val="0"/>
      <w:marBottom w:val="0"/>
      <w:divBdr>
        <w:top w:val="none" w:sz="0" w:space="0" w:color="auto"/>
        <w:left w:val="none" w:sz="0" w:space="0" w:color="auto"/>
        <w:bottom w:val="none" w:sz="0" w:space="0" w:color="auto"/>
        <w:right w:val="none" w:sz="0" w:space="0" w:color="auto"/>
      </w:divBdr>
    </w:div>
    <w:div w:id="325936776">
      <w:bodyDiv w:val="1"/>
      <w:marLeft w:val="0"/>
      <w:marRight w:val="0"/>
      <w:marTop w:val="0"/>
      <w:marBottom w:val="0"/>
      <w:divBdr>
        <w:top w:val="none" w:sz="0" w:space="0" w:color="auto"/>
        <w:left w:val="none" w:sz="0" w:space="0" w:color="auto"/>
        <w:bottom w:val="none" w:sz="0" w:space="0" w:color="auto"/>
        <w:right w:val="none" w:sz="0" w:space="0" w:color="auto"/>
      </w:divBdr>
    </w:div>
    <w:div w:id="381683110">
      <w:bodyDiv w:val="1"/>
      <w:marLeft w:val="0"/>
      <w:marRight w:val="0"/>
      <w:marTop w:val="0"/>
      <w:marBottom w:val="0"/>
      <w:divBdr>
        <w:top w:val="none" w:sz="0" w:space="0" w:color="auto"/>
        <w:left w:val="none" w:sz="0" w:space="0" w:color="auto"/>
        <w:bottom w:val="none" w:sz="0" w:space="0" w:color="auto"/>
        <w:right w:val="none" w:sz="0" w:space="0" w:color="auto"/>
      </w:divBdr>
      <w:divsChild>
        <w:div w:id="331496546">
          <w:marLeft w:val="0"/>
          <w:marRight w:val="0"/>
          <w:marTop w:val="0"/>
          <w:marBottom w:val="0"/>
          <w:divBdr>
            <w:top w:val="none" w:sz="0" w:space="0" w:color="auto"/>
            <w:left w:val="none" w:sz="0" w:space="0" w:color="auto"/>
            <w:bottom w:val="none" w:sz="0" w:space="0" w:color="auto"/>
            <w:right w:val="none" w:sz="0" w:space="0" w:color="auto"/>
          </w:divBdr>
        </w:div>
        <w:div w:id="1396322328">
          <w:marLeft w:val="0"/>
          <w:marRight w:val="0"/>
          <w:marTop w:val="0"/>
          <w:marBottom w:val="0"/>
          <w:divBdr>
            <w:top w:val="none" w:sz="0" w:space="0" w:color="auto"/>
            <w:left w:val="none" w:sz="0" w:space="0" w:color="auto"/>
            <w:bottom w:val="none" w:sz="0" w:space="0" w:color="auto"/>
            <w:right w:val="none" w:sz="0" w:space="0" w:color="auto"/>
          </w:divBdr>
        </w:div>
      </w:divsChild>
    </w:div>
    <w:div w:id="429936613">
      <w:bodyDiv w:val="1"/>
      <w:marLeft w:val="0"/>
      <w:marRight w:val="0"/>
      <w:marTop w:val="0"/>
      <w:marBottom w:val="0"/>
      <w:divBdr>
        <w:top w:val="none" w:sz="0" w:space="0" w:color="auto"/>
        <w:left w:val="none" w:sz="0" w:space="0" w:color="auto"/>
        <w:bottom w:val="none" w:sz="0" w:space="0" w:color="auto"/>
        <w:right w:val="none" w:sz="0" w:space="0" w:color="auto"/>
      </w:divBdr>
    </w:div>
    <w:div w:id="438109127">
      <w:bodyDiv w:val="1"/>
      <w:marLeft w:val="0"/>
      <w:marRight w:val="0"/>
      <w:marTop w:val="0"/>
      <w:marBottom w:val="0"/>
      <w:divBdr>
        <w:top w:val="none" w:sz="0" w:space="0" w:color="auto"/>
        <w:left w:val="none" w:sz="0" w:space="0" w:color="auto"/>
        <w:bottom w:val="none" w:sz="0" w:space="0" w:color="auto"/>
        <w:right w:val="none" w:sz="0" w:space="0" w:color="auto"/>
      </w:divBdr>
    </w:div>
    <w:div w:id="512767110">
      <w:bodyDiv w:val="1"/>
      <w:marLeft w:val="0"/>
      <w:marRight w:val="0"/>
      <w:marTop w:val="0"/>
      <w:marBottom w:val="0"/>
      <w:divBdr>
        <w:top w:val="none" w:sz="0" w:space="0" w:color="auto"/>
        <w:left w:val="none" w:sz="0" w:space="0" w:color="auto"/>
        <w:bottom w:val="none" w:sz="0" w:space="0" w:color="auto"/>
        <w:right w:val="none" w:sz="0" w:space="0" w:color="auto"/>
      </w:divBdr>
    </w:div>
    <w:div w:id="667440317">
      <w:bodyDiv w:val="1"/>
      <w:marLeft w:val="0"/>
      <w:marRight w:val="0"/>
      <w:marTop w:val="0"/>
      <w:marBottom w:val="0"/>
      <w:divBdr>
        <w:top w:val="none" w:sz="0" w:space="0" w:color="auto"/>
        <w:left w:val="none" w:sz="0" w:space="0" w:color="auto"/>
        <w:bottom w:val="none" w:sz="0" w:space="0" w:color="auto"/>
        <w:right w:val="none" w:sz="0" w:space="0" w:color="auto"/>
      </w:divBdr>
    </w:div>
    <w:div w:id="752361583">
      <w:bodyDiv w:val="1"/>
      <w:marLeft w:val="0"/>
      <w:marRight w:val="0"/>
      <w:marTop w:val="0"/>
      <w:marBottom w:val="0"/>
      <w:divBdr>
        <w:top w:val="none" w:sz="0" w:space="0" w:color="auto"/>
        <w:left w:val="none" w:sz="0" w:space="0" w:color="auto"/>
        <w:bottom w:val="none" w:sz="0" w:space="0" w:color="auto"/>
        <w:right w:val="none" w:sz="0" w:space="0" w:color="auto"/>
      </w:divBdr>
    </w:div>
    <w:div w:id="807629099">
      <w:bodyDiv w:val="1"/>
      <w:marLeft w:val="0"/>
      <w:marRight w:val="0"/>
      <w:marTop w:val="0"/>
      <w:marBottom w:val="0"/>
      <w:divBdr>
        <w:top w:val="none" w:sz="0" w:space="0" w:color="auto"/>
        <w:left w:val="none" w:sz="0" w:space="0" w:color="auto"/>
        <w:bottom w:val="none" w:sz="0" w:space="0" w:color="auto"/>
        <w:right w:val="none" w:sz="0" w:space="0" w:color="auto"/>
      </w:divBdr>
    </w:div>
    <w:div w:id="865211900">
      <w:bodyDiv w:val="1"/>
      <w:marLeft w:val="0"/>
      <w:marRight w:val="0"/>
      <w:marTop w:val="0"/>
      <w:marBottom w:val="0"/>
      <w:divBdr>
        <w:top w:val="none" w:sz="0" w:space="0" w:color="auto"/>
        <w:left w:val="none" w:sz="0" w:space="0" w:color="auto"/>
        <w:bottom w:val="none" w:sz="0" w:space="0" w:color="auto"/>
        <w:right w:val="none" w:sz="0" w:space="0" w:color="auto"/>
      </w:divBdr>
    </w:div>
    <w:div w:id="985351573">
      <w:bodyDiv w:val="1"/>
      <w:marLeft w:val="0"/>
      <w:marRight w:val="0"/>
      <w:marTop w:val="0"/>
      <w:marBottom w:val="0"/>
      <w:divBdr>
        <w:top w:val="none" w:sz="0" w:space="0" w:color="auto"/>
        <w:left w:val="none" w:sz="0" w:space="0" w:color="auto"/>
        <w:bottom w:val="none" w:sz="0" w:space="0" w:color="auto"/>
        <w:right w:val="none" w:sz="0" w:space="0" w:color="auto"/>
      </w:divBdr>
    </w:div>
    <w:div w:id="1192916529">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426878366">
      <w:bodyDiv w:val="1"/>
      <w:marLeft w:val="0"/>
      <w:marRight w:val="0"/>
      <w:marTop w:val="0"/>
      <w:marBottom w:val="0"/>
      <w:divBdr>
        <w:top w:val="none" w:sz="0" w:space="0" w:color="auto"/>
        <w:left w:val="none" w:sz="0" w:space="0" w:color="auto"/>
        <w:bottom w:val="none" w:sz="0" w:space="0" w:color="auto"/>
        <w:right w:val="none" w:sz="0" w:space="0" w:color="auto"/>
      </w:divBdr>
    </w:div>
    <w:div w:id="1565680347">
      <w:bodyDiv w:val="1"/>
      <w:marLeft w:val="0"/>
      <w:marRight w:val="0"/>
      <w:marTop w:val="0"/>
      <w:marBottom w:val="0"/>
      <w:divBdr>
        <w:top w:val="none" w:sz="0" w:space="0" w:color="auto"/>
        <w:left w:val="none" w:sz="0" w:space="0" w:color="auto"/>
        <w:bottom w:val="none" w:sz="0" w:space="0" w:color="auto"/>
        <w:right w:val="none" w:sz="0" w:space="0" w:color="auto"/>
      </w:divBdr>
    </w:div>
    <w:div w:id="1635792617">
      <w:bodyDiv w:val="1"/>
      <w:marLeft w:val="0"/>
      <w:marRight w:val="0"/>
      <w:marTop w:val="0"/>
      <w:marBottom w:val="0"/>
      <w:divBdr>
        <w:top w:val="none" w:sz="0" w:space="0" w:color="auto"/>
        <w:left w:val="none" w:sz="0" w:space="0" w:color="auto"/>
        <w:bottom w:val="none" w:sz="0" w:space="0" w:color="auto"/>
        <w:right w:val="none" w:sz="0" w:space="0" w:color="auto"/>
      </w:divBdr>
    </w:div>
    <w:div w:id="1688021496">
      <w:bodyDiv w:val="1"/>
      <w:marLeft w:val="0"/>
      <w:marRight w:val="0"/>
      <w:marTop w:val="0"/>
      <w:marBottom w:val="0"/>
      <w:divBdr>
        <w:top w:val="none" w:sz="0" w:space="0" w:color="auto"/>
        <w:left w:val="none" w:sz="0" w:space="0" w:color="auto"/>
        <w:bottom w:val="none" w:sz="0" w:space="0" w:color="auto"/>
        <w:right w:val="none" w:sz="0" w:space="0" w:color="auto"/>
      </w:divBdr>
    </w:div>
    <w:div w:id="19444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esma.europa.eu/about-esma/data-protec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esma.europa.e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sma.europa.e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ec.gov/news/press-release/2017-68-0" TargetMode="External"/><Relationship Id="rId1" Type="http://schemas.openxmlformats.org/officeDocument/2006/relationships/hyperlink" Target="https://www.bancaditalia.it/compiti/sispaga-mercati/cls/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0FF21738C1433DBAFB661809AC1F87"/>
        <w:category>
          <w:name w:val="General"/>
          <w:gallery w:val="placeholder"/>
        </w:category>
        <w:types>
          <w:type w:val="bbPlcHdr"/>
        </w:types>
        <w:behaviors>
          <w:behavior w:val="content"/>
        </w:behaviors>
        <w:guid w:val="{BB6B11A5-903E-4592-B246-560AA99ABD93}"/>
      </w:docPartPr>
      <w:docPartBody>
        <w:p w:rsidR="009B6B9C" w:rsidRDefault="00B22006" w:rsidP="00B22006">
          <w:pPr>
            <w:pStyle w:val="2B0FF21738C1433DBAFB661809AC1F87"/>
          </w:pPr>
          <w:r w:rsidRPr="00DA1A90">
            <w:rPr>
              <w:rStyle w:val="Testosegnaposto"/>
            </w:rPr>
            <w:t>Click or tap here to enter text.</w:t>
          </w:r>
        </w:p>
      </w:docPartBody>
    </w:docPart>
    <w:docPart>
      <w:docPartPr>
        <w:name w:val="9CC931E39FC74FAF9E2DD0BCDDF3C57E"/>
        <w:category>
          <w:name w:val="General"/>
          <w:gallery w:val="placeholder"/>
        </w:category>
        <w:types>
          <w:type w:val="bbPlcHdr"/>
        </w:types>
        <w:behaviors>
          <w:behavior w:val="content"/>
        </w:behaviors>
        <w:guid w:val="{717BAD26-F38A-44D4-9E3D-11CE2A826DB6}"/>
      </w:docPartPr>
      <w:docPartBody>
        <w:p w:rsidR="009B6B9C" w:rsidRDefault="00B22006" w:rsidP="00B22006">
          <w:pPr>
            <w:pStyle w:val="9CC931E39FC74FAF9E2DD0BCDDF3C57E"/>
          </w:pPr>
          <w:r w:rsidRPr="00DA1A90">
            <w:rPr>
              <w:rStyle w:val="Testosegnaposto"/>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06"/>
    <w:rsid w:val="0046773E"/>
    <w:rsid w:val="004E4CF9"/>
    <w:rsid w:val="00553542"/>
    <w:rsid w:val="00813189"/>
    <w:rsid w:val="008222A0"/>
    <w:rsid w:val="00836D47"/>
    <w:rsid w:val="009032DE"/>
    <w:rsid w:val="009B6B9C"/>
    <w:rsid w:val="00B22006"/>
    <w:rsid w:val="00CC62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22006"/>
    <w:rPr>
      <w:color w:val="808080"/>
    </w:rPr>
  </w:style>
  <w:style w:type="paragraph" w:customStyle="1" w:styleId="2B0FF21738C1433DBAFB661809AC1F87">
    <w:name w:val="2B0FF21738C1433DBAFB661809AC1F87"/>
    <w:rsid w:val="00B22006"/>
  </w:style>
  <w:style w:type="paragraph" w:customStyle="1" w:styleId="9CC931E39FC74FAF9E2DD0BCDDF3C57E">
    <w:name w:val="9CC931E39FC74FAF9E2DD0BCDDF3C57E"/>
    <w:rsid w:val="00B220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MA DEF">
      <a:dk1>
        <a:srgbClr val="00379F"/>
      </a:dk1>
      <a:lt1>
        <a:srgbClr val="F0F0F0"/>
      </a:lt1>
      <a:dk2>
        <a:srgbClr val="007EFF"/>
      </a:dk2>
      <a:lt2>
        <a:srgbClr val="7BD200"/>
      </a:lt2>
      <a:accent1>
        <a:srgbClr val="34009F"/>
      </a:accent1>
      <a:accent2>
        <a:srgbClr val="DB5700"/>
      </a:accent2>
      <a:accent3>
        <a:srgbClr val="C1C1DE"/>
      </a:accent3>
      <a:accent4>
        <a:srgbClr val="BBD649"/>
      </a:accent4>
      <a:accent5>
        <a:srgbClr val="0174AF"/>
      </a:accent5>
      <a:accent6>
        <a:srgbClr val="FF0000"/>
      </a:accent6>
      <a:hlink>
        <a:srgbClr val="34009F"/>
      </a:hlink>
      <a:folHlink>
        <a:srgbClr val="0174A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SDR Policy Document" ma:contentTypeID="0x0101008D9E5D2C101BA04B85C7EB08C6516E40070063E1B3F6A3CBC848AC72876EC74C30A0" ma:contentTypeVersion="24" ma:contentTypeDescription="" ma:contentTypeScope="" ma:versionID="8f2833e087031d50810a49270f9d267a">
  <xsd:schema xmlns:xsd="http://www.w3.org/2001/XMLSchema" xmlns:xs="http://www.w3.org/2001/XMLSchema" xmlns:p="http://schemas.microsoft.com/office/2006/metadata/properties" xmlns:ns2="d0fb0f98-34f9-4d57-9559-eb8efd17aa5e" xmlns:ns3="d6ee69ee-eb04-4cc4-8631-12658645af0f" targetNamespace="http://schemas.microsoft.com/office/2006/metadata/properties" ma:root="true" ma:fieldsID="b060fb0d693c85b3946ea7a875cd0b77" ns2:_="" ns3:_="">
    <xsd:import namespace="d0fb0f98-34f9-4d57-9559-eb8efd17aa5e"/>
    <xsd:import namespace="d6ee69ee-eb04-4cc4-8631-12658645af0f"/>
    <xsd:element name="properties">
      <xsd:complexType>
        <xsd:sequence>
          <xsd:element name="documentManagement">
            <xsd:complexType>
              <xsd:all>
                <xsd:element ref="ns2:Year"/>
                <xsd:element ref="ns2:MeetingDate" minOccurs="0"/>
                <xsd:element ref="ns2:TaxCatchAll" minOccurs="0"/>
                <xsd:element ref="ns2:TaxCatchAllLabel" minOccurs="0"/>
                <xsd:element ref="ns2:eed0a0b2ea6941718a34434e243f3d8f" minOccurs="0"/>
                <xsd:element ref="ns2:j69a081f486747f6ac8a5aeed63facfd" minOccurs="0"/>
                <xsd:element ref="ns2:a9b3b1dad23b4ba58c3f3e36a96e1d9c" minOccurs="0"/>
                <xsd:element ref="ns2:bce29119141747ccb9ac7d87218ed4af" minOccurs="0"/>
                <xsd:element ref="ns2:caa5aeb1a6644849b60fbe2335e12657" minOccurs="0"/>
                <xsd:element ref="ns2:n644e5dfaa29486bad4a4fc019c6d2df" minOccurs="0"/>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b0f98-34f9-4d57-9559-eb8efd17aa5e" elementFormDefault="qualified">
    <xsd:import namespace="http://schemas.microsoft.com/office/2006/documentManagement/types"/>
    <xsd:import namespace="http://schemas.microsoft.com/office/infopath/2007/PartnerControls"/>
    <xsd:element name="Year" ma:index="6" ma:displayName="Year" ma:internalName="Year" ma:readOnly="false">
      <xsd:simpleType>
        <xsd:restriction base="dms:Text">
          <xsd:maxLength value="4"/>
        </xsd:restriction>
      </xsd:simpleType>
    </xsd:element>
    <xsd:element name="MeetingDate" ma:index="8" nillable="true" ma:displayName="Meeting Date" ma:format="DateOnly" ma:internalName="MeetingDate" ma:readOnly="false">
      <xsd:simpleType>
        <xsd:restriction base="dms:DateTime"/>
      </xsd:simpleType>
    </xsd:element>
    <xsd:element name="TaxCatchAll" ma:index="9" nillable="true" ma:displayName="Taxonomy Catch All Column" ma:hidden="true" ma:list="{e4837b19-d3a4-4d5a-9115-5960f619fc9d}" ma:internalName="TaxCatchAll" ma:readOnly="false" ma:showField="CatchAllData"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4837b19-d3a4-4d5a-9115-5960f619fc9d}" ma:internalName="TaxCatchAllLabel" ma:readOnly="true" ma:showField="CatchAllDataLabel"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eed0a0b2ea6941718a34434e243f3d8f" ma:index="18" nillable="true" ma:taxonomy="true" ma:internalName="eed0a0b2ea6941718a34434e243f3d8f" ma:taxonomyFieldName="DocumentType" ma:displayName="Document Type" ma:readOnly="false" ma:default="-1;#Note|b9e1c92e-303a-4555-86f0-5c711c65937e" ma:fieldId="{eed0a0b2-ea69-4171-8a34-434e243f3d8f}" ma:sspId="d4b01e31-ead0-4f68-a8e9-2aaca35f2e62"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19" ma:taxonomy="true" ma:internalName="j69a081f486747f6ac8a5aeed63facfd" ma:taxonomyFieldName="ConfidentialityLevel" ma:displayName="Confidentiality Level" ma:readOnly="false" ma:default="-1;#Regular|07f1e362-856b-423d-bea6-a14079762141" ma:fieldId="{369a081f-4867-47f6-ac8a-5aeed63facfd}" ma:sspId="d4b01e31-ead0-4f68-a8e9-2aaca35f2e62" ma:termSetId="63da149f-0364-4b58-9838-6f5855a402c0" ma:anchorId="00000000-0000-0000-0000-000000000000" ma:open="false" ma:isKeyword="false">
      <xsd:complexType>
        <xsd:sequence>
          <xsd:element ref="pc:Terms" minOccurs="0" maxOccurs="1"/>
        </xsd:sequence>
      </xsd:complexType>
    </xsd:element>
    <xsd:element name="a9b3b1dad23b4ba58c3f3e36a96e1d9c" ma:index="20" nillable="true" ma:taxonomy="true" ma:internalName="a9b3b1dad23b4ba58c3f3e36a96e1d9c" ma:taxonomyFieldName="EsmaAudience" ma:displayName="Audience" ma:readOnly="false" ma:fieldId="{a9b3b1da-d23b-4ba5-8c3f-3e36a96e1d9c}" ma:sspId="d4b01e31-ead0-4f68-a8e9-2aaca35f2e62" ma:termSetId="76343289-0524-4d6c-b317-76d8c2e49caa" ma:anchorId="00000000-0000-0000-0000-000000000000" ma:open="false" ma:isKeyword="false">
      <xsd:complexType>
        <xsd:sequence>
          <xsd:element ref="pc:Terms" minOccurs="0" maxOccurs="1"/>
        </xsd:sequence>
      </xsd:complexType>
    </xsd:element>
    <xsd:element name="bce29119141747ccb9ac7d87218ed4af" ma:index="21" nillable="true" ma:taxonomy="true" ma:internalName="bce29119141747ccb9ac7d87218ed4af" ma:taxonomyFieldName="TeamName" ma:displayName="Team Name" ma:readOnly="false" ma:fieldId="{bce29119-1417-47cc-b9ac-7d87218ed4af}" ma:sspId="d4b01e31-ead0-4f68-a8e9-2aaca35f2e62" ma:termSetId="9ab8a8dd-aa7f-4e9e-9345-c8f50d6bfad1" ma:anchorId="00000000-0000-0000-0000-000000000000" ma:open="false" ma:isKeyword="false">
      <xsd:complexType>
        <xsd:sequence>
          <xsd:element ref="pc:Terms" minOccurs="0" maxOccurs="1"/>
        </xsd:sequence>
      </xsd:complexType>
    </xsd:element>
    <xsd:element name="caa5aeb1a6644849b60fbe2335e12657" ma:index="22" nillable="true" ma:taxonomy="true" ma:internalName="caa5aeb1a6644849b60fbe2335e12657" ma:taxonomyFieldName="Topic" ma:displayName="Topic" ma:readOnly="false" ma:fieldId="{caa5aeb1-a664-4849-b60f-be2335e12657}" ma:sspId="d4b01e31-ead0-4f68-a8e9-2aaca35f2e62" ma:termSetId="51e1a0bf-1753-432d-a0a9-3ddff6f2db29" ma:anchorId="00000000-0000-0000-0000-000000000000" ma:open="true" ma:isKeyword="false">
      <xsd:complexType>
        <xsd:sequence>
          <xsd:element ref="pc:Terms" minOccurs="0" maxOccurs="1"/>
        </xsd:sequence>
      </xsd:complexType>
    </xsd:element>
    <xsd:element name="n644e5dfaa29486bad4a4fc019c6d2df" ma:index="23" nillable="true" ma:taxonomy="true" ma:internalName="n644e5dfaa29486bad4a4fc019c6d2df" ma:taxonomyFieldName="SubTopic" ma:displayName="Sub Topic" ma:readOnly="false" ma:fieldId="{7644e5df-aa29-486b-ad4a-4fc019c6d2df}" ma:sspId="d4b01e31-ead0-4f68-a8e9-2aaca35f2e62" ma:termSetId="90688103-1e8a-4f61-b7e0-9f62eca5dc1a"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ee69ee-eb04-4cc4-8631-12658645af0f"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0fb0f98-34f9-4d57-9559-eb8efd17aa5e">
      <Value>282</Value>
      <Value>9</Value>
      <Value>6</Value>
      <Value>158</Value>
      <Value>324</Value>
      <Value>323</Value>
    </TaxCatchAll>
    <_dlc_DocId xmlns="d0fb0f98-34f9-4d57-9559-eb8efd17aa5e">ESMA74-2119945925-1689</_dlc_DocId>
    <_dlc_DocIdUrl xmlns="d0fb0f98-34f9-4d57-9559-eb8efd17aa5e">
      <Url>https://securitiesandmarketsauth.sharepoint.com/sites/sherpa-trdu/_layouts/15/DocIdRedir.aspx?ID=ESMA74-2119945925-1689</Url>
      <Description>ESMA74-2119945925-1689</Description>
    </_dlc_DocIdUrl>
    <_dlc_DocIdPersistId xmlns="d0fb0f98-34f9-4d57-9559-eb8efd17aa5e" xsi:nil="true"/>
    <eed0a0b2ea6941718a34434e243f3d8f xmlns="d0fb0f98-34f9-4d57-9559-eb8efd17aa5e">
      <Terms xmlns="http://schemas.microsoft.com/office/infopath/2007/PartnerControls">
        <TermInfo xmlns="http://schemas.microsoft.com/office/infopath/2007/PartnerControls">
          <TermName xmlns="http://schemas.microsoft.com/office/infopath/2007/PartnerControls">Call for Evidence</TermName>
          <TermId xmlns="http://schemas.microsoft.com/office/infopath/2007/PartnerControls">4dd13041-d074-4513-b0c9-9d450ea451f0</TermId>
        </TermInfo>
      </Terms>
    </eed0a0b2ea6941718a34434e243f3d8f>
    <n644e5dfaa29486bad4a4fc019c6d2df xmlns="d0fb0f98-34f9-4d57-9559-eb8efd17aa5e">
      <Terms xmlns="http://schemas.microsoft.com/office/infopath/2007/PartnerControls">
        <TermInfo xmlns="http://schemas.microsoft.com/office/infopath/2007/PartnerControls">
          <TermName xmlns="http://schemas.microsoft.com/office/infopath/2007/PartnerControls">CSDR General - T + 1</TermName>
          <TermId xmlns="http://schemas.microsoft.com/office/infopath/2007/PartnerControls">a5a376d4-84eb-4354-ab81-b0766b380093</TermId>
        </TermInfo>
      </Terms>
    </n644e5dfaa29486bad4a4fc019c6d2df>
    <j69a081f486747f6ac8a5aeed63facfd xmlns="d0fb0f98-34f9-4d57-9559-eb8efd17aa5e">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MeetingDate xmlns="d0fb0f98-34f9-4d57-9559-eb8efd17aa5e">2023-09-04T22:00:00+00:00</MeetingDate>
    <Year xmlns="d0fb0f98-34f9-4d57-9559-eb8efd17aa5e">2023</Year>
    <a9b3b1dad23b4ba58c3f3e36a96e1d9c xmlns="d0fb0f98-34f9-4d57-9559-eb8efd17aa5e">
      <Terms xmlns="http://schemas.microsoft.com/office/infopath/2007/PartnerControls">
        <TermInfo xmlns="http://schemas.microsoft.com/office/infopath/2007/PartnerControls">
          <TermName xmlns="http://schemas.microsoft.com/office/infopath/2007/PartnerControls">Post-Trading Standing Committee</TermName>
          <TermId xmlns="http://schemas.microsoft.com/office/infopath/2007/PartnerControls">b4466ad1-2610-4bb4-b77e-13cd08e75663</TermId>
        </TermInfo>
      </Terms>
    </a9b3b1dad23b4ba58c3f3e36a96e1d9c>
    <bce29119141747ccb9ac7d87218ed4af xmlns="d0fb0f98-34f9-4d57-9559-eb8efd17aa5e">
      <Terms xmlns="http://schemas.microsoft.com/office/infopath/2007/PartnerControls">
        <TermInfo xmlns="http://schemas.microsoft.com/office/infopath/2007/PartnerControls">
          <TermName xmlns="http://schemas.microsoft.com/office/infopath/2007/PartnerControls">Trading Unit</TermName>
          <TermId xmlns="http://schemas.microsoft.com/office/infopath/2007/PartnerControls">0cda11c1-7d91-4d51-b3a1-339122a07b73</TermId>
        </TermInfo>
      </Terms>
    </bce29119141747ccb9ac7d87218ed4af>
    <caa5aeb1a6644849b60fbe2335e12657 xmlns="d0fb0f98-34f9-4d57-9559-eb8efd17aa5e">
      <Terms xmlns="http://schemas.microsoft.com/office/infopath/2007/PartnerControls">
        <TermInfo xmlns="http://schemas.microsoft.com/office/infopath/2007/PartnerControls">
          <TermName xmlns="http://schemas.microsoft.com/office/infopath/2007/PartnerControls">CSDR Policy - General</TermName>
          <TermId xmlns="http://schemas.microsoft.com/office/infopath/2007/PartnerControls">db21dc18-4aa6-45e7-9a71-d37b675b6713</TermId>
        </TermInfo>
      </Terms>
    </caa5aeb1a6644849b60fbe2335e12657>
    <SharedWithUsers xmlns="d0fb0f98-34f9-4d57-9559-eb8efd17aa5e">
      <UserInfo>
        <DisplayName>Kian Navid</DisplayName>
        <AccountId>329</AccountId>
        <AccountType/>
      </UserInfo>
      <UserInfo>
        <DisplayName>Christian Winkler</DisplayName>
        <AccountId>215</AccountId>
        <AccountType/>
      </UserInfo>
      <UserInfo>
        <DisplayName>Iris Hude</DisplayName>
        <AccountId>186</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E2AE6-F742-4416-A22E-6B52DA960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b0f98-34f9-4d57-9559-eb8efd17aa5e"/>
    <ds:schemaRef ds:uri="d6ee69ee-eb04-4cc4-8631-12658645a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5CE82A-6C3D-41FC-996B-4F7F2BD193E6}">
  <ds:schemaRefs>
    <ds:schemaRef ds:uri="http://schemas.microsoft.com/sharepoint/events"/>
  </ds:schemaRefs>
</ds:datastoreItem>
</file>

<file path=customXml/itemProps3.xml><?xml version="1.0" encoding="utf-8"?>
<ds:datastoreItem xmlns:ds="http://schemas.openxmlformats.org/officeDocument/2006/customXml" ds:itemID="{E146212F-5043-4D90-84A4-4A69539C8640}">
  <ds:schemaRefs>
    <ds:schemaRef ds:uri="http://schemas.microsoft.com/sharepoint/v3/contenttype/forms"/>
  </ds:schemaRefs>
</ds:datastoreItem>
</file>

<file path=customXml/itemProps4.xml><?xml version="1.0" encoding="utf-8"?>
<ds:datastoreItem xmlns:ds="http://schemas.openxmlformats.org/officeDocument/2006/customXml" ds:itemID="{4AE7858C-3128-45EF-AE36-4A7D702B3BF5}">
  <ds:schemaRefs>
    <ds:schemaRef ds:uri="http://schemas.microsoft.com/office/2006/metadata/properties"/>
    <ds:schemaRef ds:uri="http://schemas.microsoft.com/office/infopath/2007/PartnerControls"/>
    <ds:schemaRef ds:uri="d0fb0f98-34f9-4d57-9559-eb8efd17aa5e"/>
  </ds:schemaRefs>
</ds:datastoreItem>
</file>

<file path=customXml/itemProps5.xml><?xml version="1.0" encoding="utf-8"?>
<ds:datastoreItem xmlns:ds="http://schemas.openxmlformats.org/officeDocument/2006/customXml" ds:itemID="{D45E8DB7-9625-4A6C-BC69-4BD924304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27</Pages>
  <Words>8122</Words>
  <Characters>46297</Characters>
  <Application>Microsoft Office Word</Application>
  <DocSecurity>8</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dc:creator>
  <cp:keywords/>
  <cp:lastModifiedBy>Angeloni David</cp:lastModifiedBy>
  <cp:revision>34</cp:revision>
  <cp:lastPrinted>2023-09-08T15:53:00Z</cp:lastPrinted>
  <dcterms:created xsi:type="dcterms:W3CDTF">2023-12-11T15:23:00Z</dcterms:created>
  <dcterms:modified xsi:type="dcterms:W3CDTF">2023-12-15T15:04:00Z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0x0101008D9E5D2C101BA04B85C7EB08C6516E40070063E1B3F6A3CBC848AC72876EC74C30A0</vt:lpwstr>
  </property>
  <property fmtid="{D5CDD505-2E9C-101B-9397-08002B2CF9AE}" pid="3" name="mf50acab3f6949599688191e8740e810">
    <vt:lpwstr>Regular|07f1e362-856b-423d-bea6-a14079762141</vt:lpwstr>
  </property>
  <property fmtid="{D5CDD505-2E9C-101B-9397-08002B2CF9AE}" pid="4" name="n84bf37b4eaf4fd99e887816221de8a8">
    <vt:lpwstr>EN|f7e7f686-dfa7-4032-a218-a5881e990598</vt:lpwstr>
  </property>
  <property fmtid="{D5CDD505-2E9C-101B-9397-08002B2CF9AE}" pid="5" name="ESMATemplatesConfidentialityLevel">
    <vt:lpwstr>17;#Public|a0c619ff-bd46-48f0-b213-6b7c03fe156d</vt:lpwstr>
  </property>
  <property fmtid="{D5CDD505-2E9C-101B-9397-08002B2CF9AE}" pid="6" name="ESMATemplatesTopic">
    <vt:lpwstr>58;#Report|066a9501-23d0-4103-814a-86d99d41b931</vt:lpwstr>
  </property>
  <property fmtid="{D5CDD505-2E9C-101B-9397-08002B2CF9AE}" pid="7" name="_dlc_DocIdItemGuid">
    <vt:lpwstr>19652987-5c33-4005-9194-eecf50ceef6c</vt:lpwstr>
  </property>
  <property fmtid="{D5CDD505-2E9C-101B-9397-08002B2CF9AE}" pid="8" name="EsmaAudience">
    <vt:lpwstr>158;#Post-Trading Standing Committee|b4466ad1-2610-4bb4-b77e-13cd08e75663</vt:lpwstr>
  </property>
  <property fmtid="{D5CDD505-2E9C-101B-9397-08002B2CF9AE}" pid="9" name="Topic">
    <vt:lpwstr>324;#CSDR Policy - General|db21dc18-4aa6-45e7-9a71-d37b675b6713</vt:lpwstr>
  </property>
  <property fmtid="{D5CDD505-2E9C-101B-9397-08002B2CF9AE}" pid="10" name="ConfidentialityLevel">
    <vt:lpwstr>6;#Regular|07f1e362-856b-423d-bea6-a14079762141</vt:lpwstr>
  </property>
  <property fmtid="{D5CDD505-2E9C-101B-9397-08002B2CF9AE}" pid="11" name="DocumentType">
    <vt:lpwstr>282;#Call for Evidence|4dd13041-d074-4513-b0c9-9d450ea451f0</vt:lpwstr>
  </property>
  <property fmtid="{D5CDD505-2E9C-101B-9397-08002B2CF9AE}" pid="12" name="Order">
    <vt:r8>52000</vt:r8>
  </property>
  <property fmtid="{D5CDD505-2E9C-101B-9397-08002B2CF9AE}" pid="13" name="DocumentSetDescription">
    <vt:lpwstr/>
  </property>
  <property fmtid="{D5CDD505-2E9C-101B-9397-08002B2CF9AE}" pid="14" name="TeamName">
    <vt:lpwstr>9;#Trading Unit|0cda11c1-7d91-4d51-b3a1-339122a07b73</vt:lpwstr>
  </property>
  <property fmtid="{D5CDD505-2E9C-101B-9397-08002B2CF9AE}" pid="15" name="SubTopic">
    <vt:lpwstr>323;#CSDR General - T + 1|a5a376d4-84eb-4354-ab81-b0766b380093</vt:lpwstr>
  </property>
</Properties>
</file>