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lastRenderedPageBreak/>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03FFB965" w:rsidR="00635BCA" w:rsidRPr="00557BD2" w:rsidRDefault="00134A78" w:rsidP="00D21C35">
                <w:r>
                  <w:t>FIA EPTA</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0E224B5A" w:rsidR="00635BCA" w:rsidRPr="00557BD2" w:rsidRDefault="00134A78"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370E10A1" w:rsidR="00635BCA" w:rsidRPr="00557BD2" w:rsidRDefault="00134A78"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007BEA52" w:rsidR="00635BCA" w:rsidRPr="00557BD2" w:rsidRDefault="00134A78" w:rsidP="00D21C35">
                <w:r>
                  <w:t>Europe</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1213D7C9" w14:textId="687597FD" w:rsidR="001E5EA5" w:rsidRDefault="001E5EA5" w:rsidP="00134A78">
      <w:pPr>
        <w:contextualSpacing/>
      </w:pPr>
      <w:permStart w:id="1228560568" w:edGrp="everyone"/>
      <w:r w:rsidRPr="001E5EA5">
        <w:rPr>
          <w:b/>
          <w:bCs/>
        </w:rPr>
        <w:t>Introduction</w:t>
      </w:r>
    </w:p>
    <w:p w14:paraId="04944F54" w14:textId="77777777" w:rsidR="001E5EA5" w:rsidRDefault="001E5EA5" w:rsidP="00134A78">
      <w:pPr>
        <w:contextualSpacing/>
      </w:pPr>
    </w:p>
    <w:p w14:paraId="7D99D783" w14:textId="77777777" w:rsidR="001E5EA5" w:rsidRPr="009F166E" w:rsidRDefault="001E5EA5" w:rsidP="001E5EA5">
      <w:pPr>
        <w:rPr>
          <w:rFonts w:cstheme="minorHAnsi"/>
        </w:rPr>
      </w:pPr>
      <w:r w:rsidRPr="009F166E">
        <w:rPr>
          <w:rFonts w:cstheme="minorHAnsi"/>
        </w:rPr>
        <w:t xml:space="preserve">The European Principal Traders Association (FIA EPTA) represents Europe’s leading Principal Trading Firms. Our members are independent market makers and providers of liquidity and risk-transfer for markets and end-investors across Europe. FIA EPTA works constructively with policy-makers, regulators and other market stakeholders to ensure efficient, resilient and trusted financial markets in Europe. </w:t>
      </w:r>
    </w:p>
    <w:p w14:paraId="11EDB1EE" w14:textId="77777777" w:rsidR="001E5EA5" w:rsidRPr="009F166E" w:rsidRDefault="001E5EA5" w:rsidP="001E5EA5">
      <w:pPr>
        <w:contextualSpacing/>
      </w:pPr>
    </w:p>
    <w:p w14:paraId="66CFBC51" w14:textId="77777777" w:rsidR="001E5EA5" w:rsidRDefault="001E5EA5" w:rsidP="001E5EA5">
      <w:pPr>
        <w:contextualSpacing/>
      </w:pPr>
      <w:r w:rsidRPr="009F166E">
        <w:lastRenderedPageBreak/>
        <w:t xml:space="preserve">The FIA EPTA welcomes the opportunity to respond to </w:t>
      </w:r>
      <w:r>
        <w:t>ESMA’s Call for Evidence on shortening the settlement cycle</w:t>
      </w:r>
      <w:r w:rsidRPr="009F166E">
        <w:t>.</w:t>
      </w:r>
    </w:p>
    <w:p w14:paraId="4A786CDB" w14:textId="77777777" w:rsidR="001E5EA5" w:rsidRDefault="001E5EA5" w:rsidP="001E5EA5">
      <w:pPr>
        <w:contextualSpacing/>
      </w:pPr>
    </w:p>
    <w:p w14:paraId="08F4E9F3" w14:textId="43539608" w:rsidR="001E5EA5" w:rsidRDefault="001E5EA5" w:rsidP="001E5EA5">
      <w:pPr>
        <w:contextualSpacing/>
      </w:pPr>
      <w:bookmarkStart w:id="0" w:name="_Hlk152695010"/>
      <w:r>
        <w:t>Our responses set out below are in the context of the potential impact of a move to T+1 settlement. In relation to a potential move to T0 settlement, FIA EPTA support the position set out by the European T+1 Industry Taskforce in their High Level Remarks and w</w:t>
      </w:r>
      <w:r w:rsidR="00447073">
        <w:t xml:space="preserve">hich we include as an attachment </w:t>
      </w:r>
      <w:r>
        <w:t xml:space="preserve">to this submission. </w:t>
      </w:r>
    </w:p>
    <w:p w14:paraId="36BFC155" w14:textId="77777777" w:rsidR="001E5EA5" w:rsidRDefault="001E5EA5" w:rsidP="001E5EA5">
      <w:pPr>
        <w:contextualSpacing/>
      </w:pPr>
    </w:p>
    <w:p w14:paraId="75689A3D" w14:textId="77777777" w:rsidR="001E5EA5" w:rsidRDefault="001E5EA5" w:rsidP="001E5EA5">
      <w:pPr>
        <w:contextualSpacing/>
      </w:pPr>
      <w:r>
        <w:t xml:space="preserve">In particular, as independent market makers we highlight the fundamental impact any move to so called “atomic settlement” would have on our members’ existing business models which involves continuous market making and liquidity provision. Our members actively hold themselves out as being willing to deal on own account to buy and sell financial instruments (including short selling) continuously throughout the day with the ability to handle inventory management after trading has occurred. A number of different methods are used to handle inventory management including buying in the secondary markets, creating in the primary market and relying on borrow markets to facilitate provision of risk transfer and risk management on an ongoing basis. Atomic settlement would require all trades to be pre-funded/pre-positioned which would not be economically viable for market makers who stand ready to buy and sell a wide range of financial instruments across varying market conditions.  </w:t>
      </w:r>
    </w:p>
    <w:p w14:paraId="48F2177C" w14:textId="77777777" w:rsidR="001E5EA5" w:rsidRDefault="001E5EA5" w:rsidP="001E5EA5">
      <w:pPr>
        <w:contextualSpacing/>
      </w:pPr>
    </w:p>
    <w:p w14:paraId="0A7BDDAC" w14:textId="77777777" w:rsidR="001E5EA5" w:rsidRDefault="001E5EA5" w:rsidP="001E5EA5">
      <w:pPr>
        <w:contextualSpacing/>
      </w:pPr>
      <w:r>
        <w:t xml:space="preserve">If EU authorities decide that moving to a shorter settlement cycle is indeed the right step, then some changes are needed to improve post-trade efficiency and reduce post-trade complexity in order to mitigate risk and reduce settlement failures. In our view, these steps are necessary to reduce cost and complexity in Europe more broadly and would ideally be taken regardless of whether the EU decides to reduce settlement cycles. </w:t>
      </w:r>
    </w:p>
    <w:p w14:paraId="4CF3B8FF" w14:textId="77777777" w:rsidR="001E5EA5" w:rsidRDefault="001E5EA5" w:rsidP="001E5EA5">
      <w:pPr>
        <w:contextualSpacing/>
      </w:pPr>
    </w:p>
    <w:p w14:paraId="3D0CDA3D" w14:textId="77777777" w:rsidR="001E5EA5" w:rsidRPr="009F166E" w:rsidRDefault="001E5EA5" w:rsidP="001E5EA5">
      <w:pPr>
        <w:contextualSpacing/>
      </w:pPr>
      <w:r>
        <w:t xml:space="preserve">We stress the importance of ensuring the timetable for transitioning to shorter settlement cycle is aligned with the UK and Switzerland, if they choose to reduce settlement cycles in their own markets. Furthermore, if the UK chooses to move to a T+1 settlement cycle it is imperative that the EU also do the same, adopting a similar timetable, to prevent regional dislocation. We urge ongoing regional coordination on this issue.   </w:t>
      </w:r>
    </w:p>
    <w:bookmarkEnd w:id="0"/>
    <w:p w14:paraId="0368965A" w14:textId="77777777" w:rsidR="001E5EA5" w:rsidRPr="001E5EA5" w:rsidRDefault="001E5EA5" w:rsidP="00134A78">
      <w:pPr>
        <w:contextualSpacing/>
        <w:rPr>
          <w:b/>
          <w:bCs/>
        </w:rPr>
      </w:pPr>
    </w:p>
    <w:p w14:paraId="7FBC6203" w14:textId="77777777" w:rsidR="001E5EA5" w:rsidRDefault="001E5EA5" w:rsidP="00134A78">
      <w:pPr>
        <w:contextualSpacing/>
        <w:rPr>
          <w:b/>
          <w:bCs/>
        </w:rPr>
      </w:pPr>
      <w:r w:rsidRPr="001E5EA5">
        <w:rPr>
          <w:b/>
          <w:bCs/>
        </w:rPr>
        <w:t>Response to Q</w:t>
      </w:r>
      <w:r>
        <w:rPr>
          <w:b/>
          <w:bCs/>
        </w:rPr>
        <w:t>uestion 1:</w:t>
      </w:r>
    </w:p>
    <w:p w14:paraId="3328C103" w14:textId="49EC0D05" w:rsidR="00134A78" w:rsidRDefault="00134A78" w:rsidP="00134A78">
      <w:pPr>
        <w:contextualSpacing/>
      </w:pPr>
      <w:r>
        <w:t xml:space="preserve">A feature of US markets which has facilitated the transition to a T+1 settlement cycle is the standardized electronic affirmation process for matching and allocating trades via DTCC. Currently in Europe, whilst the majority of market participants use CTM, Swift or FIX messaging for allocation instructions, a significant number of market participants still use email or Bloomberg Messenger to convey this information. Requiring all EU market participants to adopt electronic messaging systems for allocation instructions would disproportionately impact smaller firms given the relative cost burden of taking on new technology infrastructure. However, in the absence of a standardized electronic system for matching and allocations, we </w:t>
      </w:r>
      <w:r>
        <w:lastRenderedPageBreak/>
        <w:t xml:space="preserve">expect a higher rate of failed trades in a T+1 environment as there will be far less time for brokers and counterparties to consume and process manual instructions. Also, as manual instructions are subject to human error this continues to be a sub-optimal way of conveying allocation details and prone to causing delays in the settlement process. That said, we would recommend mandating a requirement for confirmation and allocations to be communicated electronically. </w:t>
      </w:r>
    </w:p>
    <w:p w14:paraId="3D816A74" w14:textId="77777777" w:rsidR="00134A78" w:rsidRDefault="00134A78" w:rsidP="00134A78">
      <w:pPr>
        <w:contextualSpacing/>
      </w:pPr>
    </w:p>
    <w:p w14:paraId="28DDC03B" w14:textId="77777777" w:rsidR="00134A78" w:rsidRDefault="00134A78" w:rsidP="00134A78">
      <w:pPr>
        <w:contextualSpacing/>
      </w:pPr>
      <w:r w:rsidRPr="00FA7C64">
        <w:t>In order to reduce the burden associated with processing manual instructions, we recommend that the EU either mandate or minimize the number of fields that brokers are required to populate. In particular, we recommend that “Place of Settlement” is made a mandatory field. The current inconsistency in systems used by market participants results in field population data (essential and, at times, non-essential) being mismatched which results in delays or failed trades. Mandating or minimizing fields would improve post-trade efficiency across the market. We understand that “Match to Prime”, a product developed by DTCC to support the US transition to T+1, will aid in harmonizing data for matching between client, executing broker and prime broker. However, this product is still in a nascent phase of development and it is not clear it alone would be full or flawless solution.</w:t>
      </w:r>
    </w:p>
    <w:p w14:paraId="5E2453F9" w14:textId="77777777" w:rsidR="00134A78" w:rsidRDefault="00134A78" w:rsidP="00134A78">
      <w:pPr>
        <w:contextualSpacing/>
      </w:pPr>
    </w:p>
    <w:p w14:paraId="32B66EAB" w14:textId="77777777" w:rsidR="00134A78" w:rsidRDefault="00134A78" w:rsidP="00134A78">
      <w:pPr>
        <w:contextualSpacing/>
      </w:pPr>
      <w:r>
        <w:t xml:space="preserve">Another factor which currently slows down settlement processes is the relatively large number of counterparties who do not allow partial settlement of trades. This is primarily in the context of transactions where the counterparty is buying securities but does not want to receive the shares until the full shape can be settled, so they have auto partial switched off. This may be because they have an onward delivery to a client who only wants to settle the trade in full and they want to settle both trades on the same day. Also, some counterparties may not have an onward delivery but still only want to settle in full for funding reasons (no funding costs incurred until full shape can be settled). They may have a standing instruction with a broker or counterparty to only settle the full trade, meaning even if on a case by case basis they were able to accept partial settlement, their counterparty would not know or pursue this. </w:t>
      </w:r>
    </w:p>
    <w:p w14:paraId="1BC06F97" w14:textId="77777777" w:rsidR="00134A78" w:rsidRDefault="00134A78" w:rsidP="00134A78">
      <w:pPr>
        <w:contextualSpacing/>
      </w:pPr>
    </w:p>
    <w:p w14:paraId="4085A2B0" w14:textId="77777777" w:rsidR="00134A78" w:rsidRDefault="00134A78" w:rsidP="00134A78">
      <w:pPr>
        <w:contextualSpacing/>
      </w:pPr>
      <w:r>
        <w:t xml:space="preserve">Settling as many trades as possible as soon as possible will reduce failure rates and speed up post trade processes. Thus we would recommend giving consent for partial settlement (otherwise known as enabling auto partials) be made mandatory under the CSDR. Also, some CSDs do not have the ability to facilitate partial settlement on an automated basis (auto partial functionality and partial release). Although CSDR mandated this functionality, the RTS on settlement discipline allowed for an exception from this. We would recommend that all CSDs are required to have this functionality, which would require the removal of Article 12 from the RTS on settlement discipline. </w:t>
      </w:r>
    </w:p>
    <w:p w14:paraId="61BF0191" w14:textId="77777777" w:rsidR="00134A78" w:rsidRDefault="00134A78" w:rsidP="00134A78">
      <w:pPr>
        <w:contextualSpacing/>
      </w:pPr>
    </w:p>
    <w:p w14:paraId="77AC0A63" w14:textId="77777777" w:rsidR="00134A78" w:rsidRPr="00FA7C64" w:rsidRDefault="00134A78" w:rsidP="00134A78">
      <w:pPr>
        <w:contextualSpacing/>
      </w:pPr>
      <w:r w:rsidRPr="00FA7C64">
        <w:t xml:space="preserve">It would also be beneficial </w:t>
      </w:r>
      <w:r>
        <w:t>to undertake a review</w:t>
      </w:r>
      <w:r w:rsidRPr="00FA7C64">
        <w:t xml:space="preserve"> of CSDs’ settlement calendars and cut-offs (DVP and FOP) with the aim to harmonize these across the EU. Currently the DVP settlement window for the majority of (but not all) CSDs is until 16:00 CET, we would recommend that is </w:t>
      </w:r>
      <w:r w:rsidRPr="00FA7C64">
        <w:lastRenderedPageBreak/>
        <w:t xml:space="preserve">extended until at least 17:30 CET.  Also, FOP cut offs are later than DVP and so you can have a re-registration (of shares from one CSD to another) or stock loan transaction, which settles FOP, settle after the DVP cut off. This means the trade being covered by the re-registration or stock loan fails to settle even though the shares come in that day. </w:t>
      </w:r>
    </w:p>
    <w:p w14:paraId="1E177BB1" w14:textId="77777777" w:rsidR="00134A78" w:rsidRPr="00FA7C64" w:rsidRDefault="00134A78" w:rsidP="00134A78">
      <w:pPr>
        <w:contextualSpacing/>
      </w:pPr>
    </w:p>
    <w:p w14:paraId="7E8CEB1B" w14:textId="0801D63E" w:rsidR="00C5469A" w:rsidRDefault="00134A78" w:rsidP="00C5469A">
      <w:r w:rsidRPr="00FA7C64">
        <w:t>We, also, believe it would be beneficial if all CSDs could facilitate real-time settlement (currently some settle based on a number of scheduled daily batches).</w:t>
      </w:r>
      <w:permEnd w:id="1228560568"/>
      <w:r w:rsidR="00C5469A">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4B3DA80D" w14:textId="77777777" w:rsidR="00134A78" w:rsidRPr="00B60AD1" w:rsidRDefault="00134A78" w:rsidP="00134A78">
      <w:pPr>
        <w:contextualSpacing/>
        <w:rPr>
          <w:b/>
          <w:bCs/>
        </w:rPr>
      </w:pPr>
      <w:permStart w:id="45707097" w:edGrp="everyone"/>
      <w:r w:rsidRPr="00B60AD1">
        <w:rPr>
          <w:b/>
          <w:bCs/>
        </w:rPr>
        <w:t>Hedging Practices</w:t>
      </w:r>
    </w:p>
    <w:p w14:paraId="1764C880" w14:textId="77777777" w:rsidR="00134A78" w:rsidRDefault="00134A78" w:rsidP="00134A78">
      <w:pPr>
        <w:contextualSpacing/>
      </w:pPr>
    </w:p>
    <w:p w14:paraId="106C9ECF" w14:textId="77777777" w:rsidR="00134A78" w:rsidRDefault="00134A78" w:rsidP="00134A78">
      <w:pPr>
        <w:contextualSpacing/>
      </w:pPr>
      <w:r>
        <w:t>FIA EPTA members do not foresee any direct impact on hedging practices as a consequence of shortening the settlement cycle to T+1. In particular, we do not see why reducing the settlement cycle would necessarily result in any increase in pre-hedging or why such increase might be justified in these circumstances, particularly in the context of a competitive quote scenario (Case (</w:t>
      </w:r>
      <w:proofErr w:type="spellStart"/>
      <w:r>
        <w:t>i</w:t>
      </w:r>
      <w:proofErr w:type="spellEnd"/>
      <w:r>
        <w:t xml:space="preserve">), as outlined in the ESMA Call for Evidence on Pre-hedging (ESMA70-449-672)). </w:t>
      </w:r>
    </w:p>
    <w:p w14:paraId="3215298A" w14:textId="77777777" w:rsidR="00134A78" w:rsidRDefault="00134A78" w:rsidP="00134A78">
      <w:pPr>
        <w:contextualSpacing/>
      </w:pPr>
    </w:p>
    <w:p w14:paraId="70E771C4" w14:textId="77777777" w:rsidR="00134A78" w:rsidRDefault="00134A78" w:rsidP="00134A78">
      <w:pPr>
        <w:contextualSpacing/>
      </w:pPr>
      <w:r>
        <w:t>Whilst we anticipate there may be an impact on availability of securities lending in respect of some financial instruments as a consequence of market participants who would typically act as lenders retaining inventory to meet their own settlement obligations, we disagree that there should be any link between this availability and Case (</w:t>
      </w:r>
      <w:proofErr w:type="spellStart"/>
      <w:r>
        <w:t>i</w:t>
      </w:r>
      <w:proofErr w:type="spellEnd"/>
      <w:r>
        <w:t xml:space="preserve">) pre-hedging activity. That this behaviour might be an expected outcome from some market participants further underscores the need for detailed ESMA guidance on pre-hedging, including on appropriate use cases. </w:t>
      </w:r>
    </w:p>
    <w:p w14:paraId="7A0455D9" w14:textId="77777777" w:rsidR="00134A78" w:rsidRDefault="00134A78" w:rsidP="00134A78">
      <w:pPr>
        <w:contextualSpacing/>
      </w:pPr>
    </w:p>
    <w:p w14:paraId="135E6A88" w14:textId="77777777" w:rsidR="00134A78" w:rsidRDefault="00134A78" w:rsidP="00134A78">
      <w:pPr>
        <w:contextualSpacing/>
        <w:rPr>
          <w:b/>
          <w:bCs/>
        </w:rPr>
      </w:pPr>
      <w:r w:rsidRPr="00B60AD1">
        <w:rPr>
          <w:b/>
          <w:bCs/>
        </w:rPr>
        <w:t>FX</w:t>
      </w:r>
    </w:p>
    <w:p w14:paraId="2829B142" w14:textId="77777777" w:rsidR="00134A78" w:rsidRDefault="00134A78" w:rsidP="00134A78">
      <w:pPr>
        <w:contextualSpacing/>
        <w:rPr>
          <w:b/>
          <w:bCs/>
        </w:rPr>
      </w:pPr>
    </w:p>
    <w:p w14:paraId="62820040" w14:textId="77777777" w:rsidR="00134A78" w:rsidRDefault="00134A78" w:rsidP="00134A78">
      <w:pPr>
        <w:contextualSpacing/>
      </w:pPr>
      <w:r>
        <w:t xml:space="preserve">We anticipate there will be an impact on transactions with an FX component which may result in an additional cost burden which is likely to be borne by end investors in the form of wider spreads. In particular, the mismatch in settlement periods between FX (T+2) and the related instrument subject to a shortened settlement cycle means market participants will be carrying risk for longer. In addition, the market will need to absorb greater demand during certain </w:t>
      </w:r>
      <w:r>
        <w:lastRenderedPageBreak/>
        <w:t xml:space="preserve">concentrated time periods during the day. These factors will likely be reflected in wider spreads. In addition, it is likely market participants’ ability to trade at a favourable exchange rate will be curtailed due to the compressed timeframe for post-trade processes and established timetable for fixing in FX markets which impacts rates. </w:t>
      </w:r>
    </w:p>
    <w:p w14:paraId="305077D5" w14:textId="77777777" w:rsidR="00134A78" w:rsidRDefault="00134A78" w:rsidP="00134A78">
      <w:pPr>
        <w:contextualSpacing/>
      </w:pPr>
    </w:p>
    <w:p w14:paraId="1A120564" w14:textId="77777777" w:rsidR="00134A78" w:rsidRPr="00B60AD1" w:rsidRDefault="00134A78" w:rsidP="00134A78">
      <w:pPr>
        <w:contextualSpacing/>
      </w:pPr>
      <w:r>
        <w:t xml:space="preserve">As a T+1 settlement cycle for transferable securities would leave a shorter timeframe to execute the contingent FX transactions and receive the cash in currency to settle the trades, it is anticipated that prime brokers may have to hold more currency balances/buffers to fund custody cash accounts which would increase funding costs and/or may result in increased fails if there are currency shortfalls </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56315DE9" w14:textId="77777777" w:rsidR="00134A78" w:rsidRDefault="00134A78" w:rsidP="00134A78">
      <w:pPr>
        <w:contextualSpacing/>
      </w:pPr>
      <w:permStart w:id="1188046948" w:edGrp="everyone"/>
      <w:r>
        <w:t xml:space="preserve">A large proportion of the trading activity undertaken by many FIA EPTA members is automated and/or on exchange and thus entails a high rate of STP, although it is not possible to have full visibility of the exact proportion as much of this is dealt with by members’ prime brokers. Nevertheless, given the nature and style of FIA EPTA members’ trading activity it is likely that a far higher proportion is subject to STP than is the case for other categories of market participant. </w:t>
      </w:r>
    </w:p>
    <w:p w14:paraId="3EECA888" w14:textId="77777777" w:rsidR="00134A78" w:rsidRDefault="00134A78" w:rsidP="00134A78">
      <w:pPr>
        <w:contextualSpacing/>
      </w:pPr>
    </w:p>
    <w:p w14:paraId="180A5109" w14:textId="77777777" w:rsidR="00134A78" w:rsidRDefault="00134A78" w:rsidP="00134A78">
      <w:pPr>
        <w:contextualSpacing/>
      </w:pPr>
      <w:r>
        <w:t xml:space="preserve">Any on-exchange centrally cleared trading is subject to STP. Trading done on MTFs with non-CCP settlement, although handled in an electronic manner from the standpoint of trading on the MTF and initial reporting to a Prime Broker, within the downstream settlement systems may involve an element of manual intervention. For example, if the client elected not to settle in the default settlement location and only provided notification of this after execution (i.e., initial mismatch and update required on place of settlement). Finally, pure OTC bilateral trading (non-CCP cleared) will most likely not be STP with the potential for manual touchpoints throughout the processing cycle (including allocation instructions).  </w:t>
      </w:r>
    </w:p>
    <w:p w14:paraId="5ED381C3" w14:textId="77777777" w:rsidR="00134A78" w:rsidRDefault="00134A78" w:rsidP="00134A78">
      <w:pPr>
        <w:contextualSpacing/>
      </w:pPr>
    </w:p>
    <w:p w14:paraId="7325F838" w14:textId="77777777" w:rsidR="00134A78" w:rsidRPr="00872987" w:rsidRDefault="00134A78" w:rsidP="00134A78">
      <w:pPr>
        <w:contextualSpacing/>
      </w:pPr>
      <w:r w:rsidRPr="00872987">
        <w:t xml:space="preserve">Given the high daily volumes traded by FIA EPTA members, this may result in a high number of manually processed trades even if it is a small proportion of total trades </w:t>
      </w:r>
      <w:r>
        <w:t xml:space="preserve">undertaken by our members </w:t>
      </w:r>
      <w:r w:rsidRPr="00872987">
        <w:t>overall</w:t>
      </w:r>
      <w:r>
        <w:t>.</w:t>
      </w:r>
      <w:r w:rsidRPr="00872987">
        <w:t xml:space="preserve"> </w:t>
      </w:r>
      <w:r>
        <w:t>T</w:t>
      </w:r>
      <w:r w:rsidRPr="00872987">
        <w:t xml:space="preserve">he operational burden of handling these can be significant.  </w:t>
      </w:r>
    </w:p>
    <w:p w14:paraId="12B06925" w14:textId="77777777" w:rsidR="00134A78" w:rsidRPr="00872987" w:rsidRDefault="00134A78" w:rsidP="00134A78">
      <w:pPr>
        <w:contextualSpacing/>
      </w:pPr>
    </w:p>
    <w:p w14:paraId="14BE5A08" w14:textId="77777777" w:rsidR="00134A78" w:rsidRDefault="00134A78" w:rsidP="00134A78">
      <w:pPr>
        <w:contextualSpacing/>
      </w:pPr>
      <w:r w:rsidRPr="00872987">
        <w:t>In addition, if there is a trade anywhere in a linked chain of transactions which requires manual processing, this increases the risk of settlement failures for all subsequent trades in the chain due to dependencies in the chain.</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2D660D15" w14:textId="77777777" w:rsidR="00134A78" w:rsidRDefault="00134A78" w:rsidP="00134A78">
      <w:permStart w:id="19423711" w:edGrp="everyone"/>
      <w:r>
        <w:t xml:space="preserve">There is likely to be a cost impact which would be reflected in increased spreads or commissions (depending on the financial instruments and means of accessing the market), particularly in the event there is a mismatch between the settlement period applicable to the product traded and its underlying or reference product(s) or instrument(s), such as ETFs referencing a basket of global shares. </w:t>
      </w:r>
    </w:p>
    <w:p w14:paraId="3F1096E7" w14:textId="77777777" w:rsidR="00134A78" w:rsidRDefault="00134A78" w:rsidP="00134A78"/>
    <w:p w14:paraId="7A79DF33" w14:textId="77777777" w:rsidR="00134A78" w:rsidRDefault="00134A78" w:rsidP="00134A78">
      <w:r>
        <w:t>This cost impact is likely to be borne by the end investor and in the case of retail investors, they are less likely and/or willing to be able to absorb this cost impact, which may act as a disincentive to invest in the affected products, which at present provide a simple and cost effective means of gaining exposure to global markets through the safety of European traded, cleared and settled instruments. ETFs, including global basket ETFs, are also currently offered in a number of different currency denominations supporting investor choice and enabling retail investors to settle in their local currency. This option may be diminished or become more expensive in the event there are additional costs incurred through the value chain in dealing with complexities of settlement timetable mismatches and runs contrary to the objectives of the Retail Investment Strategy and the CMU more broadly.</w:t>
      </w:r>
    </w:p>
    <w:p w14:paraId="3074AC14" w14:textId="77777777" w:rsidR="00134A78" w:rsidRDefault="00134A78" w:rsidP="00134A78"/>
    <w:p w14:paraId="06FA3B2F" w14:textId="77777777" w:rsidR="00134A78" w:rsidRDefault="00134A78" w:rsidP="00134A78">
      <w:r>
        <w:t xml:space="preserve">One key reason for these higher costs is the complexity and fragmentation of the EU post-trade environment, which is particularly acute for ETFs. Whilst an International CSD (ICSD) model operates in Europe, it is expensive and, although it was set up to eliminate the operational complexities of settling cross-border ETF transactions, further enhancements are </w:t>
      </w:r>
      <w:r>
        <w:lastRenderedPageBreak/>
        <w:t xml:space="preserve">needed to meet that objective. The ICSD model allows ETF issuers to use the ICSD as the single issuance location instead of issuing across multiple CSDs. Settlement and distribution happen within the ICSD simplifying inventory management. However, several key markets, including Germany and Italy, have declined to participate resulting in the ICSD not being comprehensive and leading to a number of inefficiencies in the market. For Germany, for instance, there is a requirement to transfer the shares from the ICSD to CBF via e.g., the Euroclear Bank – </w:t>
      </w:r>
      <w:proofErr w:type="spellStart"/>
      <w:r>
        <w:t>Clearstream</w:t>
      </w:r>
      <w:proofErr w:type="spellEnd"/>
      <w:r>
        <w:t xml:space="preserve"> Luxembourg bridge. In addition, although the UK is part of the ICSD model, there is the optionality to settle shares by default in the ICSD or via local settlement into CREST. Unfortunately, this optionality, which was implemented to provide for investor flexibility, adds complexity and confusion with settlement location mismatches and resulting settlement delays/failures. Also, it was planned that this issuance model would make it cheaper to transfer ETF shares within and to markets outside the T2S environment, but this is not the case and in fact an ICSD settlement is considerably more expensive than the domestic CSDs. </w:t>
      </w:r>
    </w:p>
    <w:p w14:paraId="48BD2B3A" w14:textId="77777777" w:rsidR="00134A78" w:rsidRDefault="00134A78" w:rsidP="00134A78"/>
    <w:p w14:paraId="1C302FE8" w14:textId="77777777" w:rsidR="00134A78" w:rsidRDefault="00134A78" w:rsidP="00134A78">
      <w:r>
        <w:t>Accordingly, taking steps to simplify this environment in advance of implementing a shorter settlement cycle is likely to ameliorate these impacts. Although these are existing issues, these will become more pronounced with the shortening of the settlement cycle.  Moving towards CSD interoperability and/or fostering a regulatory environment amenable to competition amongst pan-European CSDs would aid in reducing cost and fragmentation. Making participation in the ICSD mandatory for all EU member states would be one obvious step that could be taken to ameliorate European post-trade fragmentation.</w:t>
      </w:r>
    </w:p>
    <w:p w14:paraId="7FAA96F7" w14:textId="77777777" w:rsidR="00134A78" w:rsidRDefault="00134A78" w:rsidP="00134A78"/>
    <w:p w14:paraId="4E6E9111" w14:textId="77777777" w:rsidR="00134A78" w:rsidRDefault="00134A78" w:rsidP="00134A78">
      <w:r>
        <w:t xml:space="preserve">Generally, expanding T2S so that it supports all EU currency denominations would also simplify post-trade processes and provide efficiency gains. T2S currently does not cover all European markets (for instance, the UK and Sweden declined to join), the ICSDs are not connected to T2S and, although SIX Swiss has joined, it has only made euro-denominated securities available on T2S. </w:t>
      </w:r>
    </w:p>
    <w:p w14:paraId="02C02574" w14:textId="77777777" w:rsidR="00134A78" w:rsidRDefault="00134A78" w:rsidP="00134A78"/>
    <w:p w14:paraId="20697250" w14:textId="77777777" w:rsidR="00134A78" w:rsidRDefault="00134A78" w:rsidP="00134A78">
      <w:r>
        <w:t xml:space="preserve">Ensuring regional consistency in settlement timetables would also support a reduction in post-trade complexity and aid in minimizing the cost impact associated with a reduced settlement cycle. In particular, it is imperative that the EU seek to adjust to a shorter settlement cycle in step with the rest of the region. In the event that the UK and/or Switzerland decide to introduce a shorter settlement cycle, it is crucial that the EU adopt similar (albeit sensible and well planned) timeframes for doing the same to prevent the risk of misalignment within the region. We also note it would be undesirable for Member States within the EU to move unilaterally to </w:t>
      </w:r>
      <w:r>
        <w:lastRenderedPageBreak/>
        <w:t>a shorter settlement cycle given the interconnectedness of EU markets and the additional cost and operational risk associated with this extra layer of complexity. It is important that all EU member states move in concert to adjust settlement timeframes, if it is decided this is the best way forward. The best way to support a harmonized move across Member States would be to amend article 5 of the CSDR to effect the change.</w:t>
      </w:r>
    </w:p>
    <w:p w14:paraId="08533020" w14:textId="77777777" w:rsidR="00134A78" w:rsidRDefault="00134A78" w:rsidP="00134A78"/>
    <w:p w14:paraId="7A69E38F" w14:textId="77777777" w:rsidR="00134A78" w:rsidRDefault="00134A78" w:rsidP="00134A78">
      <w:r>
        <w:t>There is also a potential impact on the market for stock lending, in the event there is an unwillingness by market participants to lend inventory, preferring instead to hold it to meet their own settlement obligations and avoid late settlement penalties. A reduction in supply for stock loans would likely have a negative impact on spreads, as the additional cost would be reflected in the prices liquidity providers are willing and able to trade at, and also on liquidity overall as there may be an unwillingness to take on a position if there is little or no certainty of being able to cover it through ready access to inventory in the stock loan market. It is not clear there is a structural solution to this problem but in the short to medium term, a settlement penalty holiday may be a means of ensuring a smooth transition to a shorter settlement cycle.</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3CA87E67" w14:textId="77777777" w:rsidR="00134A78" w:rsidRDefault="00134A78" w:rsidP="00E718D3">
      <w:permStart w:id="1238857977" w:edGrp="everyone"/>
      <w:r>
        <w:t xml:space="preserve">For larger member firms, most systems are already highly automated and are built to be customizable so will not require significant investment to upgrade in order to support more compressed settlement processes. However, this may not be the case for smaller firms which are more likely to adopt manual processes, particularly for those who do not have a global presence to support a “follow the sun” settlement processing model. In any case, we expect that the most significant cost impact will be in relation to hiring additional operations staff due to the pressure on end of day processes as a consequence of a move to T+1. </w:t>
      </w:r>
    </w:p>
    <w:p w14:paraId="2705FA47" w14:textId="77777777" w:rsidR="00134A78" w:rsidRDefault="00134A78" w:rsidP="00E718D3"/>
    <w:p w14:paraId="39592726" w14:textId="2B5F4CDC" w:rsidR="00C5469A" w:rsidRDefault="00134A78" w:rsidP="00C5469A">
      <w:r>
        <w:lastRenderedPageBreak/>
        <w:t xml:space="preserve">The other and main costs of shortening the settlement cycle are related to financing the trading book itself, as mentioned above at question 2 and below at question 8. </w:t>
      </w:r>
      <w:permEnd w:id="1238857977"/>
      <w:r w:rsidR="00C5469A">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64414BEC" w14:textId="77777777" w:rsidR="00134A78" w:rsidRDefault="00134A78" w:rsidP="00E718D3">
      <w:permStart w:id="367399486" w:edGrp="everyone"/>
      <w:r>
        <w:t xml:space="preserve">There is no way of modelling the impact on settlement fails. However, we reiterate that these are more likely to occur where manual processing is required to settle a trade.  Introducing the measures discussed in our response to question 1 would improve post-trade efficiency and minimize the impact on settlement fails. Currently some of our members’ counterparties are still allocating and matching trades on T+1. At the very minimum, there should be a requirement for trade confirmation and allocations to occur on T.  </w:t>
      </w:r>
    </w:p>
    <w:p w14:paraId="380A9705" w14:textId="77777777" w:rsidR="00134A78" w:rsidRDefault="00134A78" w:rsidP="00E718D3"/>
    <w:p w14:paraId="7042CBA4" w14:textId="77777777" w:rsidR="00134A78" w:rsidRDefault="00134A78" w:rsidP="00C5469A">
      <w:r>
        <w:t>If changes are not made, we would expect a material increase in settlement fails, particularly on manual trades.  We see the potential shortening of the settlement cycle to be a good opportunity to introduce EU wide efficiencies, although ideally these changes would be made regardless of whether a shorter settlement cycle is adopted.</w:t>
      </w:r>
    </w:p>
    <w:permEnd w:id="367399486"/>
    <w:p w14:paraId="2CF84BCC" w14:textId="75A90572"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12D9AD74" w14:textId="77777777" w:rsidR="00134A78" w:rsidRDefault="00134A78" w:rsidP="00134A78">
      <w:pPr>
        <w:contextualSpacing/>
      </w:pPr>
      <w:permStart w:id="1217420632" w:edGrp="everyone"/>
      <w:r>
        <w:t xml:space="preserve">Normalisation of settlement fail rates would depend on whether the changes suggested above are made. In its current state, it is expected that there would be an immediate spike in settlement fails and we would recommend that thorough planning is conducted in order to alleviate the impacts over time. We would, also, recommend some form of cash penalties holiday in order avoid further complicating matters. </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678008AD" w14:textId="77777777" w:rsidR="00134A78" w:rsidRPr="00BC400B" w:rsidRDefault="00134A78" w:rsidP="00134A78">
      <w:pPr>
        <w:rPr>
          <w:rFonts w:eastAsia="Times New Roman"/>
        </w:rPr>
      </w:pPr>
      <w:permStart w:id="736563321" w:edGrp="everyone"/>
      <w:r w:rsidRPr="00BC400B">
        <w:rPr>
          <w:rFonts w:eastAsia="Times New Roman"/>
        </w:rPr>
        <w:t xml:space="preserve">Where the settlement period of </w:t>
      </w:r>
      <w:r>
        <w:rPr>
          <w:rFonts w:eastAsia="Times New Roman"/>
        </w:rPr>
        <w:t>an</w:t>
      </w:r>
      <w:r w:rsidRPr="00BC400B">
        <w:rPr>
          <w:rFonts w:eastAsia="Times New Roman"/>
        </w:rPr>
        <w:t xml:space="preserve"> ETF differs </w:t>
      </w:r>
      <w:r>
        <w:rPr>
          <w:rFonts w:eastAsia="Times New Roman"/>
        </w:rPr>
        <w:t>from</w:t>
      </w:r>
      <w:r w:rsidRPr="00BC400B">
        <w:rPr>
          <w:rFonts w:eastAsia="Times New Roman"/>
        </w:rPr>
        <w:t xml:space="preserve"> its </w:t>
      </w:r>
      <w:proofErr w:type="spellStart"/>
      <w:r w:rsidRPr="00BC400B">
        <w:rPr>
          <w:rFonts w:eastAsia="Times New Roman"/>
        </w:rPr>
        <w:t>underlyings</w:t>
      </w:r>
      <w:proofErr w:type="spellEnd"/>
      <w:r w:rsidRPr="00BC400B">
        <w:rPr>
          <w:rFonts w:eastAsia="Times New Roman"/>
        </w:rPr>
        <w:t>, funding costs for market makers may increase to bridge this difference. These additional costs would likely be reflected in marginally wider spreads but are highly dependent on the context of the trade including the primary market settlement convention followed by the issuer and the positioning / inventory of the market maker themselves.</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162D70CE" w14:textId="77777777" w:rsidR="00134A78" w:rsidRPr="002476C6" w:rsidRDefault="00134A78" w:rsidP="00134A78">
      <w:pPr>
        <w:contextualSpacing/>
      </w:pPr>
      <w:permStart w:id="1982556193" w:edGrp="everyone"/>
      <w:r w:rsidRPr="002476C6">
        <w:t xml:space="preserve">We view any move to a shorter settlement cycle as simply seeking to harmonise global timetables and reduce costs associated with mismatched settlement cycles. However, we don’t </w:t>
      </w:r>
      <w:r>
        <w:t>currently see</w:t>
      </w:r>
      <w:r w:rsidRPr="002476C6">
        <w:t xml:space="preserve"> the benefits suggested</w:t>
      </w:r>
      <w:r>
        <w:t xml:space="preserve"> in the Call for Evidence</w:t>
      </w:r>
      <w:r w:rsidRPr="002476C6">
        <w:t xml:space="preserve"> </w:t>
      </w:r>
      <w:r>
        <w:t xml:space="preserve">being realized </w:t>
      </w:r>
      <w:r w:rsidRPr="002476C6">
        <w:t xml:space="preserve">in any material sense. </w:t>
      </w:r>
    </w:p>
    <w:p w14:paraId="684D59E9" w14:textId="77777777" w:rsidR="00134A78" w:rsidRPr="002476C6" w:rsidRDefault="00134A78" w:rsidP="00134A78">
      <w:pPr>
        <w:contextualSpacing/>
      </w:pPr>
    </w:p>
    <w:p w14:paraId="7A7F3FFE" w14:textId="77777777" w:rsidR="00134A78" w:rsidRPr="002476C6" w:rsidRDefault="00134A78" w:rsidP="00134A78">
      <w:pPr>
        <w:contextualSpacing/>
      </w:pPr>
      <w:r w:rsidRPr="002476C6">
        <w:t>Provided settlement is efficient, market participants may experience savings in margin and custody costs, but at this stage it is not clear those savings will be material. Also, it is possible that credit risk will decrease as market participants’ exposure time on a given transaction is shorter, however, this is very difficult to quantify. Efficiency gains would not be a result of T+1 per se but market participants being forced to make automation and processing changes in to support the move.</w:t>
      </w:r>
    </w:p>
    <w:p w14:paraId="7EC6F93E" w14:textId="77777777" w:rsidR="00134A78" w:rsidRPr="002476C6" w:rsidRDefault="00134A78" w:rsidP="00134A78">
      <w:pPr>
        <w:contextualSpacing/>
      </w:pPr>
    </w:p>
    <w:p w14:paraId="3254B709" w14:textId="77777777" w:rsidR="00134A78" w:rsidRDefault="00134A78" w:rsidP="00134A78">
      <w:pPr>
        <w:contextualSpacing/>
      </w:pPr>
      <w:r w:rsidRPr="002476C6">
        <w:t>If there is a general trend to increasing automation in order to reduce the risk associated with a move to T+1 then this will be an overall benefit but</w:t>
      </w:r>
      <w:r>
        <w:t>, as above,</w:t>
      </w:r>
      <w:r w:rsidRPr="002476C6">
        <w:t xml:space="preserve"> we see this as a by-product of steps market participants need to take to meet a shorter settlement cycle rather than a benefit inherent in a shorter settlement cycle in itself.</w:t>
      </w:r>
      <w:r>
        <w:t xml:space="preserve"> </w:t>
      </w:r>
    </w:p>
    <w:p w14:paraId="279B3093" w14:textId="21CC4C78" w:rsidR="00C5469A" w:rsidRDefault="00134A78" w:rsidP="00C5469A">
      <w:r>
        <w:lastRenderedPageBreak/>
        <w:t xml:space="preserve"> </w:t>
      </w:r>
      <w:permEnd w:id="1982556193"/>
      <w:r w:rsidR="00C5469A">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56B2AE14" w14:textId="77777777" w:rsidR="00134A78" w:rsidRDefault="00134A78" w:rsidP="00C5469A">
      <w:permStart w:id="639642393" w:edGrp="everyone"/>
      <w:r>
        <w:t xml:space="preserve">It is not currently possible to quantify these savings, however we do not expect them to be material as collateral requirements will continue to roll over into new transactions settled on similar timetable. </w:t>
      </w:r>
    </w:p>
    <w:permEnd w:id="639642393"/>
    <w:p w14:paraId="4C4DCD26" w14:textId="0D2EC7C6"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25446109" w14:textId="315917B8" w:rsidR="00C5469A" w:rsidRDefault="00134A78" w:rsidP="00C5469A">
      <w:permStart w:id="78006216" w:edGrp="everyone"/>
      <w:r>
        <w:t xml:space="preserve">As set out in our response at question 9 above, we see a general benefit in greater automation of post-trade processes and overall improvements to efficiency, but these are measures that should be taken to improve European post-trade efficiency regardless of whether there is a change to settlement timeframes. </w:t>
      </w:r>
      <w:permEnd w:id="78006216"/>
      <w:r w:rsidR="00C5469A">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169A3D2" w14:textId="77777777" w:rsidR="00134A78" w:rsidRDefault="00134A78" w:rsidP="00134A78">
      <w:pPr>
        <w:contextualSpacing/>
      </w:pPr>
      <w:permStart w:id="27267923" w:edGrp="everyone"/>
      <w:r>
        <w:lastRenderedPageBreak/>
        <w:t xml:space="preserve">Moving to a settlement cycle of T+1 may have a detrimental impact on liquidity in EU markets, at least in the short to medium term. From the independent market makers’ perspective, a higher cost of borrowing (see question 4 above) will be passed on in wider spreads, making the overall cost of trading higher for market participants. If the cost of borrowing increases materially, market makers may be unwilling to provide liquidity in impacted financial instruments, which is more likely to be in relation to less liquid instruments where the cost impact will be more acute. </w:t>
      </w:r>
    </w:p>
    <w:p w14:paraId="7CBEABBE" w14:textId="77777777" w:rsidR="00134A78" w:rsidRDefault="00134A78" w:rsidP="00134A78">
      <w:pPr>
        <w:contextualSpacing/>
      </w:pPr>
    </w:p>
    <w:p w14:paraId="39CF8CFD" w14:textId="77777777" w:rsidR="00134A78" w:rsidRDefault="00134A78" w:rsidP="00134A78">
      <w:pPr>
        <w:contextualSpacing/>
      </w:pPr>
      <w:r>
        <w:t xml:space="preserve">Moving to T+0 (instantaneous settlement, as opposed to end of day) would fundamentally undermine the existing business model of most liquidity providers and registered market makers, which relies on pre-funding transactions in order to stand ready to buy and sell at a range of price points. In many markets, the requirement to pre-fund market making activity would render it no longer economically viable. </w:t>
      </w:r>
    </w:p>
    <w:p w14:paraId="6A608E37" w14:textId="77777777" w:rsidR="00134A78" w:rsidRDefault="00134A78" w:rsidP="00134A78">
      <w:pPr>
        <w:contextualSpacing/>
      </w:pPr>
    </w:p>
    <w:p w14:paraId="67EE2046" w14:textId="77777777" w:rsidR="00134A78" w:rsidRDefault="00134A78" w:rsidP="00C5469A">
      <w:r>
        <w:t xml:space="preserve">Generally, FIA EPTA is in agreement with the position set out by the European T+1 Industry Task Force regarding T+0 settlement. </w:t>
      </w:r>
    </w:p>
    <w:permEnd w:id="27267923"/>
    <w:p w14:paraId="1B6472CD" w14:textId="1ECADF88"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6A827127" w14:textId="0B5F22ED" w:rsidR="00134A78" w:rsidRPr="00134A78" w:rsidRDefault="00134A78" w:rsidP="00C5469A">
      <w:pPr>
        <w:rPr>
          <w:lang w:val="it-IT"/>
        </w:rPr>
      </w:pPr>
      <w:permStart w:id="75696228" w:edGrp="everyone"/>
      <w:r w:rsidRPr="00134A78">
        <w:rPr>
          <w:lang w:val="it-IT"/>
        </w:rPr>
        <w:t xml:space="preserve">No </w:t>
      </w:r>
      <w:proofErr w:type="spellStart"/>
      <w:r w:rsidRPr="00134A78">
        <w:rPr>
          <w:lang w:val="it-IT"/>
        </w:rPr>
        <w:t>comment</w:t>
      </w:r>
      <w:proofErr w:type="spellEnd"/>
    </w:p>
    <w:permEnd w:id="75696228"/>
    <w:p w14:paraId="278E6A7C" w14:textId="2E8CCC32"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479AB82B" w14:textId="77777777" w:rsidR="00134A78" w:rsidRDefault="00134A78" w:rsidP="00C5469A">
      <w:permStart w:id="1702320082" w:edGrp="everyone"/>
      <w:r w:rsidRPr="002D2720">
        <w:t xml:space="preserve">As discussed above, the key benefit of moving to a shorter settlement cycle is harmonisation of settlement cycles with other major markets. We </w:t>
      </w:r>
      <w:r>
        <w:t>do</w:t>
      </w:r>
      <w:r w:rsidRPr="002D2720">
        <w:t xml:space="preserve"> not </w:t>
      </w:r>
      <w:r>
        <w:t xml:space="preserve">currently </w:t>
      </w:r>
      <w:r w:rsidRPr="002D2720">
        <w:t>see any inherent benefit in moving to a shorter settlement cycle if other major jurisdictions were not doing the same.</w:t>
      </w:r>
    </w:p>
    <w:permEnd w:id="1702320082"/>
    <w:p w14:paraId="2CEAAEB1" w14:textId="2F8976AE" w:rsidR="00C5469A" w:rsidRDefault="00C5469A" w:rsidP="00C5469A">
      <w:r>
        <w:t>&lt;ESMA_QUESTION_SETT_14&gt;</w:t>
      </w:r>
    </w:p>
    <w:p w14:paraId="423C7BC4" w14:textId="77777777" w:rsidR="00C5469A" w:rsidRDefault="00C5469A" w:rsidP="00C5469A">
      <w:pPr>
        <w:pStyle w:val="Questionstyle"/>
        <w:numPr>
          <w:ilvl w:val="0"/>
          <w:numId w:val="14"/>
        </w:numPr>
        <w:ind w:left="0"/>
      </w:pPr>
      <w:r>
        <w:lastRenderedPageBreak/>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4E8C9E45" w14:textId="77777777" w:rsidR="00134A78" w:rsidRDefault="00134A78" w:rsidP="00134A78">
      <w:pPr>
        <w:contextualSpacing/>
      </w:pPr>
      <w:permStart w:id="1673478500" w:edGrp="everyone"/>
      <w:r>
        <w:t xml:space="preserve">Generally, FIA EPTA members wish to emphasise the importance of a gradual, sequenced approach to any transition to a shorter settlement cycle providing market participants with ample time to make necessary systems and personnel changes. </w:t>
      </w:r>
    </w:p>
    <w:p w14:paraId="03A08C32" w14:textId="77777777" w:rsidR="00134A78" w:rsidRDefault="00134A78" w:rsidP="00134A78">
      <w:pPr>
        <w:contextualSpacing/>
      </w:pPr>
    </w:p>
    <w:p w14:paraId="412F0672" w14:textId="77777777" w:rsidR="00134A78" w:rsidRDefault="00134A78" w:rsidP="00134A78">
      <w:pPr>
        <w:contextualSpacing/>
      </w:pPr>
      <w:r>
        <w:t>We also stress the importance of coordinating the timing of a transition with other jurisdictions that are likely to make similar changes, including the UK and Switzerland. Given the interconnectedness of the region, it is crucial there is ongoing functional cooperation between respective policymakers, regulators and infrastructure providers.</w:t>
      </w:r>
    </w:p>
    <w:p w14:paraId="44172AAA" w14:textId="77777777" w:rsidR="00134A78" w:rsidRDefault="00134A78" w:rsidP="00134A78">
      <w:pPr>
        <w:contextualSpacing/>
      </w:pPr>
    </w:p>
    <w:p w14:paraId="47CCA123" w14:textId="77777777" w:rsidR="00134A78" w:rsidRDefault="00134A78" w:rsidP="00134A78">
      <w:pPr>
        <w:contextualSpacing/>
      </w:pPr>
      <w:r>
        <w:t>Whilst we acknowledge that market participants could voluntarily choose to move to T+1 settlement cycle in the absence of a change to European regulation, we consider harmonization within the EU (and the region) to be of paramount importance.  Accordingly, we consider it necessary to amend article 5 of the CSDR to effect the change to ensure EU markets and member states move in concert in order to provide certainty and mitigate risk.</w:t>
      </w:r>
    </w:p>
    <w:p w14:paraId="104E8C57" w14:textId="77777777" w:rsidR="00134A78" w:rsidRDefault="00134A78" w:rsidP="00134A78">
      <w:pPr>
        <w:contextualSpacing/>
      </w:pPr>
    </w:p>
    <w:p w14:paraId="070EEED1" w14:textId="0454FCC0" w:rsidR="00134A78" w:rsidRPr="00CA6C53" w:rsidRDefault="00134A78" w:rsidP="00134A78">
      <w:pPr>
        <w:pStyle w:val="NormalWeb"/>
        <w:spacing w:before="0" w:beforeAutospacing="0" w:after="0" w:afterAutospacing="0"/>
        <w:jc w:val="both"/>
        <w:rPr>
          <w:lang w:val="en-IE" w:eastAsia="en-US"/>
        </w:rPr>
      </w:pPr>
      <w:r>
        <w:rPr>
          <w:lang w:val="en-IE" w:eastAsia="en-US"/>
        </w:rPr>
        <w:t xml:space="preserve">In addition, for any move to T+1, the time of year this takes place is important and the strong recommendation is to implement this outside of the Corporate Action season (see our response to question 27 for more detail). </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2CEE524D" w14:textId="77777777" w:rsidR="00134A78" w:rsidRDefault="00134A78" w:rsidP="00C5469A">
      <w:permStart w:id="1134712045" w:edGrp="everyone"/>
      <w:r>
        <w:t>It is crucial that the EU seeks to align its timetable and transition deadline with the UK and Switzerland to the extent possible to prevent regional inconsistency.</w:t>
      </w:r>
    </w:p>
    <w:permEnd w:id="1134712045"/>
    <w:p w14:paraId="439B983B" w14:textId="6EF7A12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lastRenderedPageBreak/>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2BAEA243" w14:textId="77777777" w:rsidR="00134A78" w:rsidRDefault="00134A78" w:rsidP="00C5469A">
      <w:permStart w:id="1013345542" w:edGrp="everyone"/>
      <w:r w:rsidRPr="005153B7">
        <w:t>It is crucial that the scope of instruments subject to a shorter settlement cycle is aligned with other jurisdictions in the region, particularly the UK and Switzerland.</w:t>
      </w:r>
    </w:p>
    <w:permEnd w:id="1013345542"/>
    <w:p w14:paraId="381E1AF6" w14:textId="11ACC282"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513286B5" w14:textId="77777777" w:rsidR="001E5EA5" w:rsidRDefault="001E5EA5" w:rsidP="001E5EA5">
      <w:permStart w:id="254495919" w:edGrp="everyone"/>
      <w:r>
        <w:t xml:space="preserve">Our members do not believe it would be advisable to have different settlement cycles across different instruments in Europe as this would add unnecessary complexity. For example, having equities/bonds on a different settlement cycle to ETPs with equity/bond </w:t>
      </w:r>
      <w:proofErr w:type="spellStart"/>
      <w:r>
        <w:t>underlyings</w:t>
      </w:r>
      <w:proofErr w:type="spellEnd"/>
      <w:r>
        <w:t xml:space="preserve"> would cause funding issues due to the settlement cycle mismatch. </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64287F41" w14:textId="77777777" w:rsidR="001E5EA5" w:rsidRDefault="001E5EA5" w:rsidP="00E718D3">
      <w:pPr>
        <w:contextualSpacing/>
      </w:pPr>
      <w:permStart w:id="1982605857" w:edGrp="everyone"/>
      <w:r>
        <w:t xml:space="preserve">Financial instruments that either do not derive their value from any underlying instrument or benchmark and financial instruments that derive their value from an underlying instrument or benchmark that is particular to the EU are easier to migrate to a shorter settlement period. </w:t>
      </w:r>
      <w:r>
        <w:lastRenderedPageBreak/>
        <w:t xml:space="preserve">Financial instruments that derive their value or are related to financial instruments that operate on a different settlement cycle to the EU’s are much more complex. </w:t>
      </w:r>
    </w:p>
    <w:p w14:paraId="00A6BBCE" w14:textId="77777777" w:rsidR="001E5EA5" w:rsidRDefault="001E5EA5" w:rsidP="00E718D3">
      <w:pPr>
        <w:contextualSpacing/>
      </w:pPr>
    </w:p>
    <w:p w14:paraId="343B69E0" w14:textId="77777777" w:rsidR="001E5EA5" w:rsidRDefault="001E5EA5" w:rsidP="00C5469A">
      <w:r>
        <w:t>However, we would emphasise the need to ensure there is consistency in product scope and timing with other jurisdictions in the region that are also planning to move to a shorter settlement cycle.  We consider regional consistency to be more important to planning than taking a phased approach with certain products, markets or assets.</w:t>
      </w:r>
    </w:p>
    <w:permEnd w:id="1982605857"/>
    <w:p w14:paraId="425F1C67" w14:textId="5FA0BB39"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65D4FFCE" w14:textId="77777777" w:rsidR="001E5EA5" w:rsidRDefault="001E5EA5" w:rsidP="001E5EA5">
      <w:pPr>
        <w:contextualSpacing/>
      </w:pPr>
      <w:permStart w:id="558774206" w:edGrp="everyone"/>
      <w:r>
        <w:t>FIA EPTA members do not believe that the settlement cycle for transactions currently excluded by Article 5 of CSDR should be regulated. Although irregular, there is the need to be able to set the settlement date for these types of transactions longer than the standard settlement cycle and to have flexibility with regards to setting that date. Two examples of this are:</w:t>
      </w:r>
    </w:p>
    <w:p w14:paraId="37667ED1" w14:textId="77777777" w:rsidR="001E5EA5" w:rsidRDefault="001E5EA5" w:rsidP="001E5EA5">
      <w:pPr>
        <w:pStyle w:val="ListParagraph"/>
        <w:numPr>
          <w:ilvl w:val="0"/>
          <w:numId w:val="16"/>
        </w:numPr>
        <w:spacing w:after="160" w:line="259" w:lineRule="auto"/>
        <w:contextualSpacing/>
      </w:pPr>
      <w:r>
        <w:t>An ETF client trade where the underlying equities of the ETF may be Asian, and therefore a final NAV isn’t possible until T+3.</w:t>
      </w:r>
    </w:p>
    <w:p w14:paraId="721BF0DD" w14:textId="77777777" w:rsidR="001E5EA5" w:rsidRDefault="001E5EA5" w:rsidP="001E5EA5">
      <w:pPr>
        <w:pStyle w:val="ListParagraph"/>
        <w:numPr>
          <w:ilvl w:val="0"/>
          <w:numId w:val="16"/>
        </w:numPr>
        <w:spacing w:after="160" w:line="259" w:lineRule="auto"/>
        <w:contextualSpacing/>
      </w:pPr>
      <w:r>
        <w:t>Options “flat basis” trades where firms buy or sell out of futures positions the week before expiry and have the settlement date of the stock line up with the T+2 of the future expiring.</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lastRenderedPageBreak/>
        <w:t>&lt;ESMA_QUESTION_SETT_21&gt;</w:t>
      </w:r>
    </w:p>
    <w:p w14:paraId="691512F0" w14:textId="77777777" w:rsidR="001E5EA5" w:rsidRDefault="001E5EA5" w:rsidP="00E718D3">
      <w:pPr>
        <w:contextualSpacing/>
      </w:pPr>
      <w:permStart w:id="6054277" w:edGrp="everyone"/>
      <w:r>
        <w:t xml:space="preserve">We anticipate that if other countries within Europe move to T+1 and the EU remains on T+2, this will place the EU at a competitive disadvantage with respect to trading volumes in certain instruments, particularly ETFs. Accordingly, we strongly recommend that the EU seeks to make any transition in line with the UK and Switzerland (for example) to ensure any negative impact on EU markets is minimized. </w:t>
      </w:r>
    </w:p>
    <w:p w14:paraId="68846C08" w14:textId="77777777" w:rsidR="001E5EA5" w:rsidRDefault="001E5EA5" w:rsidP="00E718D3">
      <w:pPr>
        <w:contextualSpacing/>
      </w:pPr>
    </w:p>
    <w:p w14:paraId="3B316FDC" w14:textId="77777777" w:rsidR="001E5EA5" w:rsidRDefault="001E5EA5" w:rsidP="00E718D3">
      <w:pPr>
        <w:contextualSpacing/>
        <w:rPr>
          <w:rFonts w:cstheme="minorHAnsi"/>
          <w:color w:val="000000"/>
        </w:rPr>
      </w:pPr>
      <w:r>
        <w:t xml:space="preserve">We also suggest that alignment of timetables for adjusting settlement cycles should form part of broader EU and UK discussions on broader financial services cooperation and in this vein, we acknowledge the positive steps made at the recent </w:t>
      </w:r>
      <w:r w:rsidRPr="00072B64">
        <w:rPr>
          <w:rFonts w:cstheme="minorHAnsi"/>
          <w:color w:val="000000"/>
        </w:rPr>
        <w:t>EU-UK Financial Regulatory Forum</w:t>
      </w:r>
      <w:r>
        <w:rPr>
          <w:rFonts w:cstheme="minorHAnsi"/>
          <w:color w:val="000000"/>
        </w:rPr>
        <w:t xml:space="preserve"> in this regard.</w:t>
      </w:r>
    </w:p>
    <w:p w14:paraId="729D158C" w14:textId="77777777" w:rsidR="001E5EA5" w:rsidRDefault="001E5EA5" w:rsidP="00E718D3">
      <w:pPr>
        <w:contextualSpacing/>
        <w:rPr>
          <w:rFonts w:cstheme="minorHAnsi"/>
          <w:color w:val="000000"/>
        </w:rPr>
      </w:pPr>
    </w:p>
    <w:p w14:paraId="0F5098C5" w14:textId="77777777" w:rsidR="001E5EA5" w:rsidRDefault="001E5EA5" w:rsidP="00E718D3">
      <w:pPr>
        <w:contextualSpacing/>
        <w:rPr>
          <w:rFonts w:cstheme="minorHAnsi"/>
          <w:color w:val="000000"/>
        </w:rPr>
      </w:pPr>
      <w:r>
        <w:rPr>
          <w:rFonts w:cstheme="minorHAnsi"/>
          <w:color w:val="000000"/>
        </w:rPr>
        <w:t xml:space="preserve">In relation to the US transition to T+1 scheduled for May 2024, the key impact for our members will be in relation to the additional costs (primarily prolonged risk exposure) and operational risk associated with settlement mismatch between an EU ETF over a global basket of securities which includes US securities. There will be similar issues in relation to transactions with an FX component, where the settlement mismatch will create operational complexity and give market participants less choice and control over their ability to lock in favourable exchange rates. </w:t>
      </w:r>
    </w:p>
    <w:p w14:paraId="22016940" w14:textId="77777777" w:rsidR="001E5EA5" w:rsidRDefault="001E5EA5" w:rsidP="00E718D3">
      <w:pPr>
        <w:contextualSpacing/>
      </w:pPr>
    </w:p>
    <w:p w14:paraId="237A3B0A" w14:textId="77777777" w:rsidR="001E5EA5" w:rsidRDefault="001E5EA5" w:rsidP="00C5469A">
      <w:bookmarkStart w:id="1" w:name="_Hlk152693286"/>
      <w:r>
        <w:t xml:space="preserve">There is no clear regulatory solution to these issues however we recommend that ESMA take these factors into account when assessing </w:t>
      </w:r>
      <w:r w:rsidRPr="00504EF0">
        <w:t xml:space="preserve">the potential introduction of </w:t>
      </w:r>
      <w:r>
        <w:t>mandatory buy-ins</w:t>
      </w:r>
      <w:r w:rsidRPr="00504EF0">
        <w:t xml:space="preserve"> under CSDR</w:t>
      </w:r>
      <w:r>
        <w:t xml:space="preserve"> and perhaps make allowances such as disregarding fails that are a consequence of settlement timetable mismatches for affected products.</w:t>
      </w:r>
      <w:bookmarkEnd w:id="1"/>
    </w:p>
    <w:permEnd w:id="6054277"/>
    <w:p w14:paraId="4FF5786A" w14:textId="59D6E0C8"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38CB513F" w14:textId="77777777" w:rsidR="001E5EA5" w:rsidRDefault="001E5EA5" w:rsidP="00C5469A">
      <w:permStart w:id="1778254877" w:edGrp="everyone"/>
      <w:r>
        <w:t>One suggestion would be to introduce mandatory partial settlements (potentially specifically for ETFs) in line with the US move to T+1 as this would reduce the impact of dealing with settlement mismatches between the ETF and underlying US securities.</w:t>
      </w:r>
    </w:p>
    <w:permEnd w:id="1778254877"/>
    <w:p w14:paraId="148017C4" w14:textId="2F505B4C" w:rsidR="00C5469A" w:rsidRDefault="00C5469A" w:rsidP="00C5469A">
      <w:r>
        <w:lastRenderedPageBreak/>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3BA9B493" w14:textId="77777777" w:rsidR="001E5EA5" w:rsidRDefault="001E5EA5" w:rsidP="00C5469A">
      <w:permStart w:id="1174998131" w:edGrp="everyone"/>
      <w:r>
        <w:t>As discussed above, it is crucial that the EU seeks regional harmonization of settlement cycles within Europe more broadly, particularly with the UK and Switzerland. This will ameliorate operational complexity, risk and cost associated with adding an additional layer of post-trade complexity to an already fragmented and complex post-trade environment.</w:t>
      </w:r>
    </w:p>
    <w:permEnd w:id="1174998131"/>
    <w:p w14:paraId="047F0C9D" w14:textId="2F03B0FD"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425D3DBA" w14:textId="77777777" w:rsidR="001E5EA5" w:rsidRDefault="001E5EA5" w:rsidP="00E718D3">
      <w:permStart w:id="2138049322" w:edGrp="everyone"/>
      <w:r>
        <w:t xml:space="preserve">To the extent that reducing the settlement cycle in the EU was a catalyst for a broader effort to simplify the post-trade environment in the EU, this would provide significant tangible benefit. For example, further harmonization of EU member state laws relating to settlement, expanding the scope of T2S so it covered all European currencies and CSDs, regulatory and supervisory support </w:t>
      </w:r>
      <w:r w:rsidRPr="00504EF0">
        <w:t>for development of a low cost and operationally efficient cross-product pan-European CSD</w:t>
      </w:r>
      <w:r>
        <w:t xml:space="preserve"> and support for interoperability of EU CSDs would be positive steps towards a reducing fragmentation and the cost of capital in the EU, contributing to the CMU and enhancing EU global competitiveness. </w:t>
      </w:r>
    </w:p>
    <w:p w14:paraId="0E15D7B3" w14:textId="77777777" w:rsidR="001E5EA5" w:rsidRDefault="001E5EA5" w:rsidP="00E718D3"/>
    <w:p w14:paraId="42702654" w14:textId="77777777" w:rsidR="001E5EA5" w:rsidRDefault="001E5EA5" w:rsidP="00C5469A">
      <w:r>
        <w:t xml:space="preserve">However, we note the concerns raised in the European T+1 Industry Task Force regarding moving to T0 settlement cycle and reiterate their conclusion that such a move would not be advisable for the EU in the near to medium term. </w:t>
      </w:r>
    </w:p>
    <w:permEnd w:id="2138049322"/>
    <w:p w14:paraId="7DB45E0B" w14:textId="2DDE40FE" w:rsidR="00C5469A" w:rsidRDefault="00C5469A" w:rsidP="00C5469A">
      <w:r>
        <w:lastRenderedPageBreak/>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3103E2FA" w14:textId="77777777" w:rsidR="001E5EA5" w:rsidRDefault="001E5EA5" w:rsidP="001E5EA5">
      <w:permStart w:id="1765815298" w:edGrp="everyone"/>
      <w:r>
        <w:t xml:space="preserve">We see this could potentially be the case if the UK were to adopt a shorter settlement cycle, but we do not necessarily see the same impact of the US adoption of T+1. Primarily, settlements teams and systems will adjust to processing transactions over a concentrated time period which result in efficiencies that could facilitate the adoption of T+1 in Europe. </w:t>
      </w:r>
    </w:p>
    <w:p w14:paraId="6AD7EDB7" w14:textId="034DB6E6" w:rsidR="001E5EA5" w:rsidRDefault="001E5EA5" w:rsidP="001E5EA5">
      <w:r>
        <w:t>We reiterate our concerns about a move to T+0 and refer again to the High Level Remarks of the European T+1 Industry Taskforce.</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389139AA" w14:textId="77777777" w:rsidR="001E5EA5" w:rsidRDefault="001E5EA5" w:rsidP="001E5EA5">
      <w:pPr>
        <w:contextualSpacing/>
      </w:pPr>
      <w:permStart w:id="1934034529" w:edGrp="everyone"/>
      <w:r>
        <w:t>We acknowledge that it is far easier for other jurisdictions to move to a shorter settlement cycle than it is for the EU due to the complexity and fragmentation of the post-trade environment. For example, the UK has only one CSD, far fewer CCPs and one governing law resulting in far fewer changes needing to be made to support a shorter settlement cycle.</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00608904" w14:textId="77777777" w:rsidR="001E5EA5" w:rsidRDefault="001E5EA5" w:rsidP="001E5EA5">
      <w:pPr>
        <w:contextualSpacing/>
      </w:pPr>
      <w:permStart w:id="1617899118" w:edGrp="everyone"/>
      <w:r>
        <w:lastRenderedPageBreak/>
        <w:t xml:space="preserve">In addition to the issues in relation to transactions with an FX component and the impact on stock lending markets, there are likely to be complications for processing corporate actions due to compressed time periods in which to undertake complex post-trade operations. </w:t>
      </w:r>
    </w:p>
    <w:p w14:paraId="1275203E" w14:textId="77777777" w:rsidR="001E5EA5" w:rsidRDefault="001E5EA5" w:rsidP="001E5EA5">
      <w:pPr>
        <w:contextualSpacing/>
      </w:pPr>
    </w:p>
    <w:p w14:paraId="3262B06F" w14:textId="77777777" w:rsidR="001E5EA5" w:rsidRDefault="001E5EA5" w:rsidP="001E5EA5">
      <w:pPr>
        <w:rPr>
          <w:lang w:val="en-IE"/>
        </w:rPr>
      </w:pPr>
      <w:r>
        <w:rPr>
          <w:lang w:val="en-IE"/>
        </w:rPr>
        <w:t xml:space="preserve">In a T+1 settlement cycle, similar to the US T+1 move, it is expected that ex-date and record date would become the same and for firms without full visibility of their ex-date position this will be difficult to manage. For example, for firms holding short put options where those options are expiring on the night before ex-date, overnight assignments would mean that the ex-date position would only be known on the morning of ex-date and ensuring same day settlement, to meet record date requirements, would be subject to very short timeframes.    </w:t>
      </w:r>
    </w:p>
    <w:permEnd w:id="1617899118"/>
    <w:p w14:paraId="04595985" w14:textId="6DF160E5" w:rsidR="00B15C0B" w:rsidRPr="00C5469A" w:rsidRDefault="00C5469A" w:rsidP="00B15C0B">
      <w:r>
        <w:t>&lt;ESMA_QUESTION_SETT_27&gt;</w:t>
      </w:r>
    </w:p>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F265" w14:textId="77777777" w:rsidR="00582588" w:rsidRDefault="00582588" w:rsidP="007E7997">
      <w:pPr>
        <w:spacing w:line="240" w:lineRule="auto"/>
      </w:pPr>
      <w:r>
        <w:separator/>
      </w:r>
    </w:p>
  </w:endnote>
  <w:endnote w:type="continuationSeparator" w:id="0">
    <w:p w14:paraId="0DB68E98" w14:textId="77777777" w:rsidR="00582588" w:rsidRDefault="00582588" w:rsidP="007E7997">
      <w:pPr>
        <w:spacing w:line="240" w:lineRule="auto"/>
      </w:pPr>
      <w:r>
        <w:continuationSeparator/>
      </w:r>
    </w:p>
  </w:endnote>
  <w:endnote w:type="continuationNotice" w:id="1">
    <w:p w14:paraId="36A6019B" w14:textId="77777777" w:rsidR="00582588" w:rsidRDefault="0058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9590" w14:textId="77777777" w:rsidR="00582588" w:rsidRDefault="00582588" w:rsidP="007E7997">
      <w:pPr>
        <w:spacing w:line="240" w:lineRule="auto"/>
      </w:pPr>
      <w:r>
        <w:separator/>
      </w:r>
    </w:p>
  </w:footnote>
  <w:footnote w:type="continuationSeparator" w:id="0">
    <w:p w14:paraId="72020CCD" w14:textId="77777777" w:rsidR="00582588" w:rsidRDefault="00582588" w:rsidP="007E7997">
      <w:pPr>
        <w:spacing w:line="240" w:lineRule="auto"/>
      </w:pPr>
      <w:r>
        <w:continuationSeparator/>
      </w:r>
    </w:p>
  </w:footnote>
  <w:footnote w:type="continuationNotice" w:id="1">
    <w:p w14:paraId="6FE75894" w14:textId="77777777" w:rsidR="00582588" w:rsidRDefault="00582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B6581"/>
    <w:multiLevelType w:val="hybridMultilevel"/>
    <w:tmpl w:val="B6E032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708027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4A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5EA5"/>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073"/>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9BC"/>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styleId="NormalWeb">
    <w:name w:val="Normal (Web)"/>
    <w:basedOn w:val="Normal"/>
    <w:uiPriority w:val="99"/>
    <w:unhideWhenUsed/>
    <w:rsid w:val="00134A78"/>
    <w:pPr>
      <w:spacing w:before="100" w:beforeAutospacing="1" w:after="100" w:afterAutospacing="1" w:line="240" w:lineRule="auto"/>
      <w:jc w:val="left"/>
    </w:pPr>
    <w:rPr>
      <w:rFonts w:ascii="Calibri" w:eastAsiaTheme="minorHAnsi" w:hAnsi="Calibri" w:cs="Calibri"/>
      <w:color w:val="auto"/>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B5125868DD164F979D685E1741D1BD" ma:contentTypeVersion="16" ma:contentTypeDescription="Create a new document." ma:contentTypeScope="" ma:versionID="14e089311285ba992e72338995b11441">
  <xsd:schema xmlns:xsd="http://www.w3.org/2001/XMLSchema" xmlns:xs="http://www.w3.org/2001/XMLSchema" xmlns:p="http://schemas.microsoft.com/office/2006/metadata/properties" xmlns:ns2="cd8cd0e2-fecb-441a-a76e-fb96239463f3" xmlns:ns3="9b28cc91-a3f8-438f-9a63-82fef7b65873" targetNamespace="http://schemas.microsoft.com/office/2006/metadata/properties" ma:root="true" ma:fieldsID="adb47dc20c6f3e685c85c6db0f023a99" ns2:_="" ns3:_="">
    <xsd:import namespace="cd8cd0e2-fecb-441a-a76e-fb96239463f3"/>
    <xsd:import namespace="9b28cc91-a3f8-438f-9a63-82fef7b65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cd0e2-fecb-441a-a76e-fb962394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17f6e-2cf7-4ca2-aff5-a4d7f2f90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8cc91-a3f8-438f-9a63-82fef7b658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1e4ae2-3669-40bf-b021-01eda60f78ab}" ma:internalName="TaxCatchAll" ma:showField="CatchAllData" ma:web="9b28cc91-a3f8-438f-9a63-82fef7b65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b28cc91-a3f8-438f-9a63-82fef7b65873" xsi:nil="true"/>
    <SharedWithUsers xmlns="9b28cc91-a3f8-438f-9a63-82fef7b65873">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cd8cd0e2-fecb-441a-a76e-fb96239463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2CE9A06E-A06B-43EA-84A4-A277A780C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cd0e2-fecb-441a-a76e-fb96239463f3"/>
    <ds:schemaRef ds:uri="9b28cc91-a3f8-438f-9a63-82fef7b65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4AE7858C-3128-45EF-AE36-4A7D702B3BF5}">
  <ds:schemaRefs>
    <ds:schemaRef ds:uri="d0fb0f98-34f9-4d57-9559-eb8efd17aa5e"/>
    <ds:schemaRef ds:uri="http://purl.org/dc/dcmitype/"/>
    <ds:schemaRef ds:uri="http://purl.org/dc/terms/"/>
    <ds:schemaRef ds:uri="http://schemas.microsoft.com/office/2006/documentManagement/types"/>
    <ds:schemaRef ds:uri="d6ee69ee-eb04-4cc4-8631-12658645af0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9b28cc91-a3f8-438f-9a63-82fef7b65873"/>
    <ds:schemaRef ds:uri="cd8cd0e2-fecb-441a-a76e-fb96239463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6229</Words>
  <Characters>35510</Characters>
  <Application>Microsoft Office Word</Application>
  <DocSecurity>8</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Lara Shevchenko</cp:lastModifiedBy>
  <cp:revision>3</cp:revision>
  <cp:lastPrinted>2023-09-08T15:53:00Z</cp:lastPrinted>
  <dcterms:created xsi:type="dcterms:W3CDTF">2023-12-15T12:36:00Z</dcterms:created>
  <dcterms:modified xsi:type="dcterms:W3CDTF">2023-12-15T12:37:00Z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0x0101003BB5125868DD164F979D685E1741D1BD</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y fmtid="{D5CDD505-2E9C-101B-9397-08002B2CF9AE}" pid="16" name="MediaServiceImageTags">
    <vt:lpwstr/>
  </property>
</Properties>
</file>