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19FC5ED4" w:rsidR="00563C1F" w:rsidRDefault="00EC6066" w:rsidP="00F72D28">
          <w:pPr>
            <w:pStyle w:val="Title"/>
          </w:pPr>
          <w:r>
            <w:t>Reply form</w:t>
          </w:r>
        </w:p>
        <w:p w14:paraId="031F2108" w14:textId="314EEC9D" w:rsidR="007E7997" w:rsidRDefault="00D77369" w:rsidP="00D77369">
          <w:pPr>
            <w:pStyle w:val="Subtitle"/>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2211"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EC6066" w:rsidRPr="0026459D">
            <w:rPr>
              <w:rFonts w:cs="Arial"/>
              <w:b/>
              <w:bCs/>
            </w:rPr>
            <w:t>on</w:t>
          </w:r>
          <w:r w:rsidR="003C5D75">
            <w:rPr>
              <w:rFonts w:cs="Arial"/>
              <w:b/>
              <w:bCs/>
            </w:rPr>
            <w:t xml:space="preserve"> the</w:t>
          </w:r>
          <w:r w:rsidR="00EC6066">
            <w:rPr>
              <w:rFonts w:cs="Arial"/>
            </w:rPr>
            <w:t xml:space="preserve"> </w:t>
          </w:r>
          <w:r w:rsidR="006902D1">
            <w:rPr>
              <w:rFonts w:cs="Arial"/>
              <w:b/>
              <w:bCs/>
            </w:rPr>
            <w:t>call for evidence</w:t>
          </w:r>
          <w:r w:rsidR="00780FEC">
            <w:rPr>
              <w:rFonts w:cs="Arial"/>
              <w:b/>
              <w:bCs/>
            </w:rPr>
            <w:t xml:space="preserve"> on </w:t>
          </w:r>
          <w:r w:rsidR="00EC6066">
            <w:rPr>
              <w:rFonts w:cs="Arial"/>
              <w:b/>
              <w:bCs/>
            </w:rPr>
            <w:t xml:space="preserve">shortening </w:t>
          </w:r>
          <w:r w:rsidR="0024683D">
            <w:rPr>
              <w:rFonts w:cs="Arial"/>
              <w:b/>
              <w:bCs/>
            </w:rPr>
            <w:t xml:space="preserve">of </w:t>
          </w:r>
          <w:r w:rsidR="00EC6066">
            <w:rPr>
              <w:rFonts w:cs="Arial"/>
              <w:b/>
              <w:bCs/>
            </w:rPr>
            <w:t>the settlement cycle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51BCD894" w:rsidR="002533FC" w:rsidRPr="005B6B12" w:rsidRDefault="002533FC" w:rsidP="002533FC">
          <w:r w:rsidRPr="005B6B12">
            <w:t xml:space="preserve">ESMA will consider all comments received by </w:t>
          </w:r>
          <w:r w:rsidR="0029727F">
            <w:rPr>
              <w:b/>
            </w:rPr>
            <w:t>15 December 2023</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432E9E72"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635BCA" w:rsidRPr="00C5469A">
            <w:rPr>
              <w:bCs/>
            </w:rPr>
            <w:t>SETT</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4D858A35"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635BCA" w:rsidRPr="00C5469A">
            <w:rPr>
              <w:bCs/>
            </w:rPr>
            <w:t>SETT</w:t>
          </w:r>
          <w:r w:rsidRPr="00C5469A">
            <w:rPr>
              <w:bCs/>
            </w:rPr>
            <w:t xml:space="preserve"> _nameofrespondent. </w:t>
          </w:r>
        </w:p>
        <w:p w14:paraId="210BE93A" w14:textId="28B7FD79"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635BCA" w:rsidRPr="00C5469A">
            <w:rPr>
              <w:bCs/>
            </w:rPr>
            <w:t>SETT</w:t>
          </w:r>
          <w:r w:rsidRPr="00C5469A">
            <w:rPr>
              <w:bCs/>
            </w:rPr>
            <w:t xml:space="preserve"> _ABCD.</w:t>
          </w:r>
        </w:p>
        <w:p w14:paraId="60FF11C9" w14:textId="77777777" w:rsidR="00EC6066" w:rsidRPr="0026459D" w:rsidRDefault="00EC6066" w:rsidP="00EC6066">
          <w:pPr>
            <w:ind w:left="142"/>
            <w:rPr>
              <w:b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360616AA"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8"/>
          <w:footerReference w:type="default" r:id="rId19"/>
          <w:headerReference w:type="first" r:id="rId20"/>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4E42E018" w:rsidR="00635BCA" w:rsidRPr="00557BD2" w:rsidRDefault="006A0E05" w:rsidP="00D21C35">
                <w:r>
                  <w:t xml:space="preserve">The </w:t>
                </w:r>
                <w:r w:rsidR="00E84EE4">
                  <w:t>International Securities Lending Association (ISLA)</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563696391" w:edGrp="everyone" w:displacedByCustomXml="prev"/>
            <w:tc>
              <w:tcPr>
                <w:tcW w:w="4531" w:type="dxa"/>
              </w:tcPr>
              <w:p w14:paraId="7403D812" w14:textId="0E714261" w:rsidR="00635BCA" w:rsidRPr="00557BD2" w:rsidRDefault="00E84EE4"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Content>
            <w:permStart w:id="1071191175" w:edGrp="everyone" w:displacedByCustomXml="prev"/>
            <w:tc>
              <w:tcPr>
                <w:tcW w:w="4531" w:type="dxa"/>
              </w:tcPr>
              <w:p w14:paraId="2AD81A72" w14:textId="337346F2" w:rsidR="00635BCA" w:rsidRPr="00557BD2" w:rsidRDefault="00E84EE4"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34EB9965" w:rsidR="00635BCA" w:rsidRPr="00557BD2" w:rsidRDefault="00675B83" w:rsidP="00D21C35">
                <w:r>
                  <w:t>Europe</w:t>
                </w:r>
              </w:p>
            </w:tc>
            <w:permEnd w:id="1581805691" w:displacedByCustomXml="next"/>
          </w:sdtContent>
        </w:sdt>
      </w:tr>
    </w:tbl>
    <w:p w14:paraId="687A8108" w14:textId="77777777" w:rsidR="00635BCA" w:rsidRPr="00053B66" w:rsidRDefault="00635BCA" w:rsidP="00635BCA"/>
    <w:p w14:paraId="3EB4F3B6" w14:textId="77777777" w:rsidR="00635BCA" w:rsidRPr="00557BD2" w:rsidRDefault="00635BCA" w:rsidP="00635BCA">
      <w:pPr>
        <w:pStyle w:val="Heading1"/>
        <w:rPr>
          <w:lang w:val="fr-BE"/>
        </w:rPr>
      </w:pPr>
      <w:r w:rsidRPr="00557BD2">
        <w:rPr>
          <w:lang w:val="fr-BE"/>
        </w:rPr>
        <w:t xml:space="preserve">Questions </w:t>
      </w:r>
    </w:p>
    <w:p w14:paraId="449AB301" w14:textId="77777777" w:rsidR="00C5469A" w:rsidRDefault="00C5469A" w:rsidP="0040236B">
      <w:pPr>
        <w:pStyle w:val="Questionstyle"/>
        <w:numPr>
          <w:ilvl w:val="0"/>
          <w:numId w:val="14"/>
        </w:numPr>
        <w:ind w:left="0"/>
        <w:rPr>
          <w:color w:val="auto"/>
        </w:rPr>
      </w:pPr>
      <w:r>
        <w:t>: Please describe the impacts on the processes and operations from compressing the intended settlement date to T+1 and to T+0. Please:</w:t>
      </w:r>
    </w:p>
    <w:p w14:paraId="7DD21609" w14:textId="77777777" w:rsidR="00C5469A" w:rsidRDefault="00C5469A" w:rsidP="0040236B">
      <w:pPr>
        <w:pStyle w:val="ListParagraph"/>
        <w:numPr>
          <w:ilvl w:val="0"/>
          <w:numId w:val="15"/>
        </w:numPr>
        <w:ind w:left="426"/>
      </w:pPr>
      <w:r>
        <w:t xml:space="preserve">provide as much detail as possible on what issues would emerge in both cases and how they could be addressed with special attention to critical processes (matching, allocation, affirmation and confirmation) and interdependencies. Where relevant please explain if these are general or asset class/instrument/ trade specific. </w:t>
      </w:r>
    </w:p>
    <w:p w14:paraId="7FA44DF4" w14:textId="77777777" w:rsidR="00C5469A" w:rsidRDefault="00C5469A" w:rsidP="0040236B">
      <w:pPr>
        <w:pStyle w:val="ListParagraph"/>
        <w:numPr>
          <w:ilvl w:val="0"/>
          <w:numId w:val="15"/>
        </w:numPr>
        <w:ind w:left="426"/>
      </w:pPr>
      <w:r>
        <w:t xml:space="preserve"> Identify processes, operations or types of transaction or financial instrument class that would be severely impacted or no longer doable in a T+1 and in a T+0 environment. </w:t>
      </w:r>
    </w:p>
    <w:p w14:paraId="4DCA07D7" w14:textId="53DFAE34" w:rsidR="00C5469A" w:rsidRPr="00C5469A" w:rsidRDefault="00C5469A" w:rsidP="00C5469A">
      <w:pPr>
        <w:ind w:left="-284"/>
        <w:rPr>
          <w:rFonts w:ascii="Arial" w:hAnsi="Arial" w:cs="Arial"/>
          <w:b/>
          <w:lang w:val="en-US"/>
        </w:rPr>
      </w:pPr>
      <w:r>
        <w:rPr>
          <w:rFonts w:ascii="Arial" w:hAnsi="Arial" w:cs="Arial"/>
          <w:b/>
          <w:lang w:val="en-US"/>
        </w:rPr>
        <w:t xml:space="preserve">Please, suggest if there are </w:t>
      </w:r>
      <w:r w:rsidR="009F68D8">
        <w:rPr>
          <w:rFonts w:ascii="Arial" w:hAnsi="Arial" w:cs="Arial"/>
          <w:b/>
          <w:lang w:val="en-US"/>
        </w:rPr>
        <w:t>legislative</w:t>
      </w:r>
      <w:r>
        <w:rPr>
          <w:rFonts w:ascii="Arial" w:hAnsi="Arial" w:cs="Arial"/>
          <w:b/>
          <w:lang w:val="en-US"/>
        </w:rPr>
        <w:t xml:space="preserve"> or regulatory actions that would help address the problems. Where relevant please explain if these are general or asset class/instrument/ trade specific.  </w:t>
      </w:r>
    </w:p>
    <w:p w14:paraId="5A9B8F15" w14:textId="77777777" w:rsidR="00C5469A" w:rsidRDefault="00C5469A" w:rsidP="00C5469A">
      <w:r>
        <w:t>&lt;ESMA_QUESTION_SETT_1&gt;</w:t>
      </w:r>
    </w:p>
    <w:p w14:paraId="1EB83474" w14:textId="16C92F37" w:rsidR="00BB4315" w:rsidRDefault="00BB4315" w:rsidP="00BB4315">
      <w:pPr>
        <w:pStyle w:val="paragraph"/>
        <w:spacing w:before="0" w:beforeAutospacing="0" w:after="0" w:afterAutospacing="0"/>
        <w:textAlignment w:val="baseline"/>
        <w:rPr>
          <w:rStyle w:val="eop"/>
          <w:rFonts w:ascii="Calibri" w:eastAsiaTheme="majorEastAsia" w:hAnsi="Calibri" w:cs="Calibri"/>
          <w:color w:val="242424"/>
          <w:sz w:val="22"/>
          <w:szCs w:val="22"/>
        </w:rPr>
      </w:pPr>
      <w:permStart w:id="1228560568" w:edGrp="everyone"/>
      <w:r>
        <w:rPr>
          <w:rStyle w:val="normaltextrun"/>
          <w:rFonts w:ascii="Calibri" w:eastAsiaTheme="majorEastAsia" w:hAnsi="Calibri" w:cs="Calibri"/>
          <w:i/>
          <w:iCs/>
          <w:color w:val="242424"/>
          <w:sz w:val="22"/>
          <w:szCs w:val="22"/>
        </w:rPr>
        <w:t xml:space="preserve">Our response to this </w:t>
      </w:r>
      <w:r w:rsidR="00335AB8">
        <w:rPr>
          <w:rStyle w:val="normaltextrun"/>
          <w:rFonts w:ascii="Calibri" w:eastAsiaTheme="majorEastAsia" w:hAnsi="Calibri" w:cs="Calibri"/>
          <w:i/>
          <w:iCs/>
          <w:color w:val="242424"/>
          <w:sz w:val="22"/>
          <w:szCs w:val="22"/>
        </w:rPr>
        <w:t>call for evidence</w:t>
      </w:r>
      <w:r>
        <w:rPr>
          <w:rStyle w:val="normaltextrun"/>
          <w:rFonts w:ascii="Calibri" w:eastAsiaTheme="majorEastAsia" w:hAnsi="Calibri" w:cs="Calibri"/>
          <w:i/>
          <w:iCs/>
          <w:color w:val="242424"/>
          <w:sz w:val="22"/>
          <w:szCs w:val="22"/>
        </w:rPr>
        <w:t xml:space="preserve"> will address the questions in the context of a potential adoption of T+1 only. </w:t>
      </w:r>
      <w:r w:rsidR="00225FEC">
        <w:rPr>
          <w:rStyle w:val="normaltextrun"/>
          <w:rFonts w:ascii="Calibri" w:eastAsiaTheme="majorEastAsia" w:hAnsi="Calibri" w:cs="Calibri"/>
          <w:i/>
          <w:iCs/>
          <w:color w:val="242424"/>
          <w:sz w:val="22"/>
          <w:szCs w:val="22"/>
        </w:rPr>
        <w:t xml:space="preserve">The International Securities Lending </w:t>
      </w:r>
      <w:r w:rsidR="00A250E2">
        <w:rPr>
          <w:rStyle w:val="normaltextrun"/>
          <w:rFonts w:ascii="Calibri" w:eastAsiaTheme="majorEastAsia" w:hAnsi="Calibri" w:cs="Calibri"/>
          <w:i/>
          <w:iCs/>
          <w:color w:val="242424"/>
          <w:sz w:val="22"/>
          <w:szCs w:val="22"/>
        </w:rPr>
        <w:t>Association’s</w:t>
      </w:r>
      <w:r w:rsidR="00225FEC">
        <w:rPr>
          <w:rStyle w:val="normaltextrun"/>
          <w:rFonts w:ascii="Calibri" w:eastAsiaTheme="majorEastAsia" w:hAnsi="Calibri" w:cs="Calibri"/>
          <w:i/>
          <w:iCs/>
          <w:color w:val="242424"/>
          <w:sz w:val="22"/>
          <w:szCs w:val="22"/>
        </w:rPr>
        <w:t xml:space="preserve"> (</w:t>
      </w:r>
      <w:r>
        <w:rPr>
          <w:rStyle w:val="normaltextrun"/>
          <w:rFonts w:ascii="Calibri" w:eastAsiaTheme="majorEastAsia" w:hAnsi="Calibri" w:cs="Calibri"/>
          <w:i/>
          <w:iCs/>
          <w:color w:val="242424"/>
          <w:sz w:val="22"/>
          <w:szCs w:val="22"/>
        </w:rPr>
        <w:t>ISLA</w:t>
      </w:r>
      <w:r w:rsidR="00A250E2">
        <w:rPr>
          <w:rStyle w:val="normaltextrun"/>
          <w:rFonts w:ascii="Calibri" w:eastAsiaTheme="majorEastAsia" w:hAnsi="Calibri" w:cs="Calibri"/>
          <w:i/>
          <w:iCs/>
          <w:color w:val="242424"/>
          <w:sz w:val="22"/>
          <w:szCs w:val="22"/>
        </w:rPr>
        <w:t>)</w:t>
      </w:r>
      <w:r>
        <w:rPr>
          <w:rStyle w:val="normaltextrun"/>
          <w:rFonts w:ascii="Calibri" w:eastAsiaTheme="majorEastAsia" w:hAnsi="Calibri" w:cs="Calibri"/>
          <w:i/>
          <w:iCs/>
          <w:color w:val="242424"/>
          <w:sz w:val="22"/>
          <w:szCs w:val="22"/>
        </w:rPr>
        <w:t xml:space="preserve"> feedback in relation to a potential EU move to T+0 is reflected in the joint-association cover letter included in </w:t>
      </w:r>
      <w:r w:rsidR="00A84DF2">
        <w:rPr>
          <w:rStyle w:val="normaltextrun"/>
          <w:rFonts w:ascii="Calibri" w:eastAsiaTheme="majorEastAsia" w:hAnsi="Calibri" w:cs="Calibri"/>
          <w:i/>
          <w:iCs/>
          <w:color w:val="242424"/>
          <w:sz w:val="22"/>
          <w:szCs w:val="22"/>
        </w:rPr>
        <w:t xml:space="preserve">the attached document </w:t>
      </w:r>
      <w:r w:rsidR="00421756">
        <w:rPr>
          <w:rStyle w:val="normaltextrun"/>
          <w:rFonts w:ascii="Calibri" w:eastAsiaTheme="majorEastAsia" w:hAnsi="Calibri" w:cs="Calibri"/>
          <w:i/>
          <w:iCs/>
          <w:color w:val="242424"/>
          <w:sz w:val="22"/>
          <w:szCs w:val="22"/>
        </w:rPr>
        <w:t>‘</w:t>
      </w:r>
      <w:r w:rsidR="00421756" w:rsidRPr="00421756">
        <w:rPr>
          <w:rStyle w:val="normaltextrun"/>
          <w:rFonts w:ascii="Calibri" w:eastAsiaTheme="majorEastAsia" w:hAnsi="Calibri" w:cs="Calibri"/>
          <w:i/>
          <w:iCs/>
          <w:color w:val="242424"/>
          <w:sz w:val="22"/>
          <w:szCs w:val="22"/>
        </w:rPr>
        <w:t>Annex 1 ESMA Call for Evidence on Shortening the Settlement Cycle - High-Level Remarks of European T+1 Task Force.pdf</w:t>
      </w:r>
      <w:r w:rsidR="00421756">
        <w:rPr>
          <w:rStyle w:val="normaltextrun"/>
          <w:rFonts w:ascii="Calibri" w:eastAsiaTheme="majorEastAsia" w:hAnsi="Calibri" w:cs="Calibri"/>
          <w:i/>
          <w:iCs/>
          <w:color w:val="242424"/>
          <w:sz w:val="22"/>
          <w:szCs w:val="22"/>
        </w:rPr>
        <w:t>’ (</w:t>
      </w:r>
      <w:r>
        <w:rPr>
          <w:rStyle w:val="normaltextrun"/>
          <w:rFonts w:ascii="Calibri" w:eastAsiaTheme="majorEastAsia" w:hAnsi="Calibri" w:cs="Calibri"/>
          <w:i/>
          <w:iCs/>
          <w:color w:val="242424"/>
          <w:sz w:val="22"/>
          <w:szCs w:val="22"/>
        </w:rPr>
        <w:t>Annex 1</w:t>
      </w:r>
      <w:r w:rsidR="00421756">
        <w:rPr>
          <w:rStyle w:val="normaltextrun"/>
          <w:rFonts w:ascii="Calibri" w:eastAsiaTheme="majorEastAsia" w:hAnsi="Calibri" w:cs="Calibri"/>
          <w:i/>
          <w:iCs/>
          <w:color w:val="242424"/>
          <w:sz w:val="22"/>
          <w:szCs w:val="22"/>
        </w:rPr>
        <w:t>)</w:t>
      </w:r>
      <w:r>
        <w:rPr>
          <w:rStyle w:val="normaltextrun"/>
          <w:rFonts w:ascii="Calibri" w:eastAsiaTheme="majorEastAsia" w:hAnsi="Calibri" w:cs="Calibri"/>
          <w:i/>
          <w:iCs/>
          <w:color w:val="242424"/>
          <w:sz w:val="22"/>
          <w:szCs w:val="22"/>
        </w:rPr>
        <w:t>. We emphasise that we do not consider a default T+0 settlement cycle for securities transactions to be a realistic or desirable near-term policy objective.</w:t>
      </w:r>
      <w:r>
        <w:rPr>
          <w:rStyle w:val="eop"/>
          <w:rFonts w:ascii="Calibri" w:eastAsiaTheme="majorEastAsia" w:hAnsi="Calibri" w:cs="Calibri"/>
          <w:color w:val="242424"/>
          <w:sz w:val="22"/>
          <w:szCs w:val="22"/>
        </w:rPr>
        <w:t> </w:t>
      </w:r>
    </w:p>
    <w:p w14:paraId="67009D44" w14:textId="77777777" w:rsidR="00A250E2" w:rsidRDefault="00A250E2" w:rsidP="00BB4315">
      <w:pPr>
        <w:pStyle w:val="paragraph"/>
        <w:spacing w:before="0" w:beforeAutospacing="0" w:after="0" w:afterAutospacing="0"/>
        <w:textAlignment w:val="baseline"/>
        <w:rPr>
          <w:rFonts w:ascii="Segoe UI" w:hAnsi="Segoe UI" w:cs="Segoe UI"/>
          <w:sz w:val="18"/>
          <w:szCs w:val="18"/>
        </w:rPr>
      </w:pPr>
    </w:p>
    <w:p w14:paraId="1BC1066E"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lastRenderedPageBreak/>
        <w:t>Over the course of the past three years ISLA have been collecting settlement rate data from our members. The survey data indicates that the fail rate for fixed income securities has fallen from 7.24% in 2021 to 5.26%, a reduction of almost 2%. Regarding equity stock lending and borrowing, the fail rate has reduced from 7.15% to 5.07%, an improvement of over 2%. We believe that this indicates good progress by market participants especially considering the increased volumes over this period.</w:t>
      </w:r>
      <w:r>
        <w:rPr>
          <w:rStyle w:val="eop"/>
          <w:rFonts w:ascii="Calibri" w:eastAsiaTheme="majorEastAsia" w:hAnsi="Calibri" w:cs="Calibri"/>
          <w:sz w:val="22"/>
          <w:szCs w:val="22"/>
        </w:rPr>
        <w:t> </w:t>
      </w:r>
    </w:p>
    <w:p w14:paraId="57207DF4"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However, it must be noted that Securities Lending and Borrowing (SLB) is a complex market to track settlement rates accurately due to associated complexity. This includes the dependencies created by collateral vs SLB, with some trades failing due to lack of collateral, and the number of transaction legs required to fulfil a single loan. For example, to move securities through custody networks, across multiple platforms and especially to support any related lender pooling, it is not unusual for more than 15 instructions to satisfy a single loan/borrow. </w:t>
      </w:r>
      <w:r>
        <w:rPr>
          <w:rStyle w:val="eop"/>
          <w:rFonts w:ascii="Calibri" w:eastAsiaTheme="majorEastAsia" w:hAnsi="Calibri" w:cs="Calibri"/>
          <w:sz w:val="22"/>
          <w:szCs w:val="22"/>
        </w:rPr>
        <w:t> </w:t>
      </w:r>
    </w:p>
    <w:p w14:paraId="148CEB3C" w14:textId="471BFF6E"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As we consider the above statements and an appropriate response to question #1, we would first like to note that although SLB trades can be observed through SFTR to typically operate on a T+0 and T+1 cycle today, that is driven by the necessity to settle securities within the standard T+2 market deadlines. Therefore, a reduction of the current standard deadline would compress SLB activities such as trade initiation, matching, </w:t>
      </w:r>
      <w:r w:rsidR="00D94F01">
        <w:rPr>
          <w:rStyle w:val="normaltextrun"/>
          <w:rFonts w:ascii="Calibri" w:eastAsiaTheme="majorEastAsia" w:hAnsi="Calibri" w:cs="Calibri"/>
          <w:sz w:val="22"/>
          <w:szCs w:val="22"/>
        </w:rPr>
        <w:t>collateralisation,</w:t>
      </w:r>
      <w:r>
        <w:rPr>
          <w:rStyle w:val="normaltextrun"/>
          <w:rFonts w:ascii="Calibri" w:eastAsiaTheme="majorEastAsia" w:hAnsi="Calibri" w:cs="Calibri"/>
          <w:sz w:val="22"/>
          <w:szCs w:val="22"/>
        </w:rPr>
        <w:t xml:space="preserve"> and ultimate settlement maintenance/positioning.</w:t>
      </w:r>
      <w:r>
        <w:rPr>
          <w:rStyle w:val="eop"/>
          <w:rFonts w:ascii="Calibri" w:eastAsiaTheme="majorEastAsia" w:hAnsi="Calibri" w:cs="Calibri"/>
          <w:sz w:val="22"/>
          <w:szCs w:val="22"/>
        </w:rPr>
        <w:t> </w:t>
      </w:r>
    </w:p>
    <w:p w14:paraId="7D291E5B"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To unpack the challenges related to SLB we would like to note the following for consideration:</w:t>
      </w:r>
      <w:r>
        <w:rPr>
          <w:rStyle w:val="eop"/>
          <w:rFonts w:ascii="Calibri" w:eastAsiaTheme="majorEastAsia" w:hAnsi="Calibri" w:cs="Calibri"/>
          <w:sz w:val="22"/>
          <w:szCs w:val="22"/>
        </w:rPr>
        <w:t> </w:t>
      </w:r>
    </w:p>
    <w:p w14:paraId="2D7E86CA" w14:textId="77777777" w:rsidR="00BB4315" w:rsidRDefault="00BB4315" w:rsidP="00BB4315">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For a firm to identify a need to borrow, the final trading position must be known. For example, a prime brokerage or market maker trading through the day will arrive at a net long/short position by close-of-business (COB) on trade date. In today’s T+2 environment, borrow requests typically occur the day after the position forming transactions, and so SLB activity occurs withing a shorter settlement cycle to reach a final net zero position by settlement date. This represents a significant undertaking with various associated procedural and reconciliation steps. Indeed, whereas today’s SLB process has 24 hours to be concluded, if this is attempted within a T+1 settlement environment, borrowers will have only a few hours to complete the entire SLB process.</w:t>
      </w:r>
      <w:r>
        <w:rPr>
          <w:rStyle w:val="eop"/>
          <w:rFonts w:ascii="Calibri" w:eastAsiaTheme="majorEastAsia" w:hAnsi="Calibri" w:cs="Calibri"/>
          <w:sz w:val="22"/>
          <w:szCs w:val="22"/>
        </w:rPr>
        <w:t> </w:t>
      </w:r>
    </w:p>
    <w:p w14:paraId="6A05C56D" w14:textId="77777777" w:rsidR="00BB4315" w:rsidRDefault="00BB4315" w:rsidP="00BB4315">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Collateral must be carefully choreographed to ensure sufficient securities are in the correct location to fulfil SLB requirements. For example, securities may need to be moved between one of the 30+ CSDs or one of the 6 triparty agents typically used by the EU SLB market. The current T+2 settlement cycle allows for collateral to be agreed, generally between 8:30AM to 1PM on Settlement Date (SD) allowing settlement of borrows to facilitate onward deliveries – generally by 3PM (excluding Scandinavian markets). In a T+1 environment, any new borrows would need to be calculated and arranged on T+0. This may delay collateral agreement processes that would then start on SD 10:30AM through to 3PM.  Borrowing transactions would need to be processed by 2PM on T+0 to facilitate onward deliveries / market liquidity.</w:t>
      </w:r>
      <w:r>
        <w:rPr>
          <w:rStyle w:val="eop"/>
          <w:rFonts w:ascii="Calibri" w:eastAsiaTheme="majorEastAsia" w:hAnsi="Calibri" w:cs="Calibri"/>
          <w:sz w:val="22"/>
          <w:szCs w:val="22"/>
        </w:rPr>
        <w:t> </w:t>
      </w:r>
    </w:p>
    <w:p w14:paraId="7A73E2D3" w14:textId="77777777" w:rsidR="00BB4315" w:rsidRDefault="00BB4315" w:rsidP="00BB4315">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SLB Recalls, where a lender notifies the borrower, that securities lent must be returned in accordance with the governing legal agreement, presents a host of associated challenges even in today’s T+2 market. In processing this type of activity, an in this example typically being via an intermediary lending agent, the ultimate security owner (beneficial owner) will instruct their custodian after undertaking any internal reconciliation and position keeping procedures. The custodian will in turn pass that </w:t>
      </w:r>
      <w:r>
        <w:rPr>
          <w:rStyle w:val="normaltextrun"/>
          <w:rFonts w:ascii="Calibri" w:eastAsiaTheme="majorEastAsia" w:hAnsi="Calibri" w:cs="Calibri"/>
          <w:sz w:val="22"/>
          <w:szCs w:val="22"/>
        </w:rPr>
        <w:lastRenderedPageBreak/>
        <w:t>instruction onto the lending agent, which may also be an external firm, who will then process that instruction to issue a recall notification to the borrower. The borrower must then source the necessary securities, return the borrower securities which will then satisfy the beneficial owner’s sale. This long procedural route outlines the steps a recall process requires – a fund initiating the trade; the fund’s front office operations administrating the instructions to the custodian; the custodian raising the recall request to the agent lender and then finally the agent lender instructing the borrower for the receipt. Such steps require sufficient time, not least to cater for the various internal deadlines that each organisation operates within. </w:t>
      </w:r>
      <w:r>
        <w:rPr>
          <w:rStyle w:val="eop"/>
          <w:rFonts w:ascii="Calibri" w:eastAsiaTheme="majorEastAsia" w:hAnsi="Calibri" w:cs="Calibri"/>
          <w:sz w:val="22"/>
          <w:szCs w:val="22"/>
        </w:rPr>
        <w:t> </w:t>
      </w:r>
    </w:p>
    <w:p w14:paraId="4AD1BF00" w14:textId="77777777" w:rsidR="00BB4315" w:rsidRDefault="00BB4315" w:rsidP="00BB4315">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The time available for remediation is challenging within the T+2 environment today and would suffer from compression to a T+1 environment. </w:t>
      </w:r>
      <w:r>
        <w:rPr>
          <w:rStyle w:val="eop"/>
          <w:rFonts w:ascii="Calibri" w:eastAsiaTheme="majorEastAsia" w:hAnsi="Calibri" w:cs="Calibri"/>
          <w:sz w:val="22"/>
          <w:szCs w:val="22"/>
        </w:rPr>
        <w:t> </w:t>
      </w:r>
    </w:p>
    <w:p w14:paraId="6B9930B3" w14:textId="38E03C7D" w:rsidR="00BB4315" w:rsidRDefault="00BB4315" w:rsidP="00BB4315">
      <w:pPr>
        <w:pStyle w:val="paragraph"/>
        <w:numPr>
          <w:ilvl w:val="0"/>
          <w:numId w:val="20"/>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Global dependencies compound the above points, especially considering the global nature of SLB counterparts and within that noting especially the timing of notification between APAC, </w:t>
      </w:r>
      <w:r w:rsidR="00D94F01">
        <w:rPr>
          <w:rStyle w:val="normaltextrun"/>
          <w:rFonts w:ascii="Calibri" w:eastAsiaTheme="majorEastAsia" w:hAnsi="Calibri" w:cs="Calibri"/>
          <w:sz w:val="22"/>
          <w:szCs w:val="22"/>
        </w:rPr>
        <w:t>Americas,</w:t>
      </w:r>
      <w:r>
        <w:rPr>
          <w:rStyle w:val="normaltextrun"/>
          <w:rFonts w:ascii="Calibri" w:eastAsiaTheme="majorEastAsia" w:hAnsi="Calibri" w:cs="Calibri"/>
          <w:sz w:val="22"/>
          <w:szCs w:val="22"/>
        </w:rPr>
        <w:t xml:space="preserve"> and Europe. </w:t>
      </w:r>
      <w:r>
        <w:rPr>
          <w:rStyle w:val="eop"/>
          <w:rFonts w:ascii="Calibri" w:eastAsiaTheme="majorEastAsia" w:hAnsi="Calibri" w:cs="Calibri"/>
          <w:sz w:val="22"/>
          <w:szCs w:val="22"/>
        </w:rPr>
        <w:t> </w:t>
      </w:r>
    </w:p>
    <w:p w14:paraId="6EEE2ABA"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Other impacts could be considered more positive for the SLB industry. For example, in supporting the cash market (buy/sell), it is anticipated that there will be increased requirement for Securities Lending to support shortfalls. But with increased volumes a more pragmatic conclusion would be that fail rates will increase. In discussion with ISLA member firms, we have heard that the increased fail rates will undoubtably spike after the initial transition from T+2 to T+1, then settling down over time to a rate higher than observed today.</w:t>
      </w:r>
      <w:r>
        <w:rPr>
          <w:rStyle w:val="eop"/>
          <w:rFonts w:ascii="Calibri" w:eastAsiaTheme="majorEastAsia" w:hAnsi="Calibri" w:cs="Calibri"/>
          <w:sz w:val="22"/>
          <w:szCs w:val="22"/>
        </w:rPr>
        <w:t> </w:t>
      </w:r>
    </w:p>
    <w:p w14:paraId="42870413" w14:textId="77777777" w:rsidR="00BB4315" w:rsidRDefault="00BB4315" w:rsidP="00BB4315">
      <w:pPr>
        <w:pStyle w:val="paragraph"/>
        <w:spacing w:before="0" w:beforeAutospacing="0" w:after="0" w:afterAutospacing="0"/>
        <w:textAlignment w:val="baseline"/>
        <w:rPr>
          <w:rStyle w:val="eop"/>
          <w:rFonts w:ascii="Calibri" w:eastAsiaTheme="majorEastAsia" w:hAnsi="Calibri" w:cs="Calibri"/>
          <w:color w:val="242424"/>
          <w:sz w:val="22"/>
          <w:szCs w:val="22"/>
        </w:rPr>
      </w:pPr>
    </w:p>
    <w:p w14:paraId="18AA2530"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ISLA have discussed potential remedial measures that might be considered by regulators to address settlement efficiencies experienced today. We would like to list these but also caveat this list with a caution it is not possible to project the full impact of such measures.</w:t>
      </w:r>
      <w:r>
        <w:rPr>
          <w:rStyle w:val="eop"/>
          <w:rFonts w:ascii="Calibri" w:eastAsiaTheme="majorEastAsia" w:hAnsi="Calibri" w:cs="Calibri"/>
          <w:sz w:val="22"/>
          <w:szCs w:val="22"/>
        </w:rPr>
        <w:t> </w:t>
      </w:r>
    </w:p>
    <w:p w14:paraId="52615EAE" w14:textId="77777777" w:rsidR="00BB4315" w:rsidRDefault="00BB4315" w:rsidP="00BB4315">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A formal recognition of trade associations’ Best Practices by the regulators or supervisors would help normalise SLB practitioner’s operating models. Best Practices are created through market participants consensus and this recognition would repeat the benefits realised within the experience of SFTR, where firms built their operating models based on Best Practices to ensure timely notification of standardised data sharing occurred. This also addressed fundamental booking practices for most of the market, but some firms that have not adopted the practices continue to struggle with matching and reconciliation processes. Without a more robust recognition of standards, we note the related operational impacts this causes. Other benefits could be realised in the alignment of deadlines, for example regarding recall notifications, pre-matching procedures, settlement fail remediation and communication/reconciliation of Standard Settlement Instruction (SSI) notifications. The latter remaining a cause of settlement failures due to the magnifying effects of complex account structures. </w:t>
      </w:r>
      <w:r>
        <w:rPr>
          <w:rStyle w:val="eop"/>
          <w:rFonts w:ascii="Calibri" w:eastAsiaTheme="majorEastAsia" w:hAnsi="Calibri" w:cs="Calibri"/>
          <w:sz w:val="22"/>
          <w:szCs w:val="22"/>
        </w:rPr>
        <w:t> </w:t>
      </w:r>
    </w:p>
    <w:p w14:paraId="7C7A148C" w14:textId="77777777" w:rsidR="00BB4315" w:rsidRDefault="00BB4315" w:rsidP="00BB4315">
      <w:pPr>
        <w:pStyle w:val="paragraph"/>
        <w:numPr>
          <w:ilvl w:val="0"/>
          <w:numId w:val="2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Alignment of cutoff times related to delivery versus payment (DVP) and free of payment (FOP) deadlines today is the cause of many no-fault settlement failures.in this example, a lender sells securities that are on loan versus cash, however the securities on loan will settle within in the FOP deadline which can be some time after the DVP deadline. The borrower has fulfilled their obligations, but the sale will have already failed at the earlier DVP deadline. </w:t>
      </w:r>
      <w:r>
        <w:rPr>
          <w:rStyle w:val="eop"/>
          <w:rFonts w:ascii="Calibri" w:eastAsiaTheme="majorEastAsia" w:hAnsi="Calibri" w:cs="Calibri"/>
          <w:sz w:val="22"/>
          <w:szCs w:val="22"/>
        </w:rPr>
        <w:t> </w:t>
      </w:r>
    </w:p>
    <w:p w14:paraId="727328CE" w14:textId="77777777" w:rsidR="00BB4315" w:rsidRDefault="00BB4315" w:rsidP="00BB4315">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lastRenderedPageBreak/>
        <w:t>Mandated use of Hold and Release has been proposed by some as a potential solution to settlement efficiency. However, it should be noted that this feature is not of use to the SLB market due in part to either the relationship between SLB and collateral, or the short processing window already available to SLB trades that settle within the standard market cycle. ISLA members have further noted that “hold” functionality prevents instructions from being raised.</w:t>
      </w:r>
      <w:r>
        <w:rPr>
          <w:rStyle w:val="normaltextrun"/>
          <w:rFonts w:ascii="Calibri" w:eastAsiaTheme="majorEastAsia" w:hAnsi="Calibri" w:cs="Calibri"/>
          <w:color w:val="00B050"/>
          <w:sz w:val="22"/>
          <w:szCs w:val="22"/>
        </w:rPr>
        <w:t> </w:t>
      </w:r>
      <w:r>
        <w:rPr>
          <w:rStyle w:val="eop"/>
          <w:rFonts w:ascii="Calibri" w:eastAsiaTheme="majorEastAsia" w:hAnsi="Calibri" w:cs="Calibri"/>
          <w:color w:val="00B050"/>
          <w:sz w:val="22"/>
          <w:szCs w:val="22"/>
        </w:rPr>
        <w:t> </w:t>
      </w:r>
    </w:p>
    <w:p w14:paraId="46F1610B" w14:textId="77777777" w:rsidR="00BB4315" w:rsidRDefault="00BB4315" w:rsidP="00BB4315">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Recommend the use of auto-partial, where the SLB delivery party can settle parts of a transaction thereby reducing the overall impact, is particularly complex for agent lenders who provide more than half the liquidity of securities lending markets. As noted above, SLB markets require complex and multi-legged instructions to form a single trade. Although some CSD’s provide auto-partial functionality, they do not have the sufficient data points to link these related trades. Auto-partial would, for agent lenders, create mismatches in record keeping and position maintenance that would require immense manual oversight to resolve. Borrowers, on the other side of the transaction, would welcome the adoption of auto partial as it would reduce the cost though incremental reduction of excess securities.  </w:t>
      </w:r>
      <w:r>
        <w:rPr>
          <w:rStyle w:val="eop"/>
          <w:rFonts w:ascii="Calibri" w:eastAsiaTheme="majorEastAsia" w:hAnsi="Calibri" w:cs="Calibri"/>
          <w:sz w:val="22"/>
          <w:szCs w:val="22"/>
        </w:rPr>
        <w:t> </w:t>
      </w:r>
    </w:p>
    <w:p w14:paraId="3524C6BA" w14:textId="77777777" w:rsidR="00BB4315" w:rsidRDefault="00BB4315" w:rsidP="00BB4315">
      <w:pPr>
        <w:pStyle w:val="paragraph"/>
        <w:numPr>
          <w:ilvl w:val="0"/>
          <w:numId w:val="2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Alignment of entitlement rules to the UK entitlement rules would significantly reduce financial risk arising from settlement / fails.</w:t>
      </w:r>
      <w:r>
        <w:rPr>
          <w:rStyle w:val="eop"/>
          <w:rFonts w:ascii="Calibri" w:eastAsiaTheme="majorEastAsia" w:hAnsi="Calibri" w:cs="Calibri"/>
          <w:sz w:val="22"/>
          <w:szCs w:val="22"/>
        </w:rPr>
        <w:t> </w:t>
      </w:r>
    </w:p>
    <w:p w14:paraId="2AF62099" w14:textId="41866A09"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42424"/>
          <w:sz w:val="22"/>
          <w:szCs w:val="22"/>
        </w:rPr>
        <w:t>As this question related to T+0, please refer to the joint association letter in Annex 1.</w:t>
      </w:r>
    </w:p>
    <w:permEnd w:id="1228560568"/>
    <w:p w14:paraId="7E8CEB1B" w14:textId="77777777" w:rsidR="00C5469A" w:rsidRDefault="00C5469A" w:rsidP="00C5469A">
      <w:r>
        <w:t>&lt;ESMA_QUESTION_SETT_1&gt;</w:t>
      </w:r>
    </w:p>
    <w:p w14:paraId="7F2466D0" w14:textId="2EB1C3A2" w:rsidR="00C5469A" w:rsidRDefault="00C5469A" w:rsidP="00C5469A"/>
    <w:p w14:paraId="74AAE734" w14:textId="77777777" w:rsidR="00C5469A" w:rsidRDefault="00C5469A" w:rsidP="00C5469A"/>
    <w:p w14:paraId="32892B14" w14:textId="77777777" w:rsidR="00C5469A" w:rsidRDefault="00C5469A" w:rsidP="00C5469A">
      <w:pPr>
        <w:pStyle w:val="Questionstyle"/>
        <w:numPr>
          <w:ilvl w:val="0"/>
          <w:numId w:val="14"/>
        </w:numPr>
      </w:pPr>
      <w:r>
        <w:t>: What would be the consequences of a move to a shorter settlement cycle for (a) hedging practices (i.e. would it lead to increase pre-hedging practices?), (b) transactions with an FX component?</w:t>
      </w:r>
    </w:p>
    <w:p w14:paraId="53467F4C" w14:textId="77777777" w:rsidR="00C5469A" w:rsidRDefault="00C5469A" w:rsidP="00C5469A">
      <w:r>
        <w:t>&lt;ESMA_QUESTION_SETT_2&gt;</w:t>
      </w:r>
    </w:p>
    <w:p w14:paraId="7EB0D08A" w14:textId="77777777" w:rsidR="00BB4315" w:rsidRDefault="00BB4315" w:rsidP="00BB4315">
      <w:permStart w:id="45707097" w:edGrp="everyone"/>
      <w:r>
        <w:t xml:space="preserve">The global nature of the SLB market requires cash collateral to be moved across time zones. Foreign Exchange (FX) markets that are not aligned with the securities settlement cycle will result in costly prefunding practices to ensure cash is in the right currency at the right time. Prefunding in these scenarios will increase the cost of borrowing, potentially risking the commercial viability of SLB activity. </w:t>
      </w:r>
    </w:p>
    <w:p w14:paraId="603D27C8" w14:textId="77777777" w:rsidR="00BB4315" w:rsidRDefault="00BB4315" w:rsidP="00BB4315"/>
    <w:p w14:paraId="252C01FE" w14:textId="77777777" w:rsidR="00BB4315" w:rsidRDefault="00BB4315" w:rsidP="00BB4315">
      <w:r>
        <w:t xml:space="preserve">CLS (Continuous Linked Settlement) system is a global FX settlement system. As FX is not centralised by a central exchange or clearing facility, the CLS system is used by firms to settle their FX transactions. However, depending on the market and currency pairing and CLS cut-off times, there now may be a compressed time for FX activity. This may also lead to a shift of </w:t>
      </w:r>
      <w:r>
        <w:lastRenderedPageBreak/>
        <w:t xml:space="preserve">activity from CLS to the bilateral FX market, which would introduce additional risk (e.g., manual errors or further delays due to investors in different time zones). </w:t>
      </w:r>
    </w:p>
    <w:p w14:paraId="24553B0D" w14:textId="77777777" w:rsidR="00BB4315" w:rsidRDefault="00BB4315" w:rsidP="00BB4315"/>
    <w:p w14:paraId="114ED686" w14:textId="77777777" w:rsidR="00BB4315" w:rsidRDefault="00BB4315" w:rsidP="00C5469A">
      <w:r>
        <w:t>In addition to the above and as noted in Question 1, the EU comprises of multiple currencies. Therefore, there may be a higher impact on FX transactions in the EU.</w:t>
      </w:r>
    </w:p>
    <w:permEnd w:id="45707097"/>
    <w:p w14:paraId="3C617E94" w14:textId="17A43340" w:rsidR="00C5469A" w:rsidRDefault="00C5469A" w:rsidP="00C5469A">
      <w:r>
        <w:t>&lt;ESMA_QUESTION_SETT_2&gt;</w:t>
      </w:r>
    </w:p>
    <w:p w14:paraId="0341BF99" w14:textId="77777777" w:rsidR="00C5469A" w:rsidRDefault="00C5469A" w:rsidP="00C5469A"/>
    <w:p w14:paraId="0C5FFD2B" w14:textId="77777777" w:rsidR="00C5469A" w:rsidRDefault="00C5469A" w:rsidP="00C5469A">
      <w:pPr>
        <w:pStyle w:val="Questionstyle"/>
        <w:numPr>
          <w:ilvl w:val="0"/>
          <w:numId w:val="14"/>
        </w:numPr>
      </w:pPr>
      <w:r>
        <w:t>: Which is your current rate of straight-through processing (STP ), in percentage of the number and of the volume of transactions broken down per type of transaction or per instrument as relevant? In case STP is used only for certain processes/operations, please identify them. Which are the anticipated challenges that you envisage in improving your current rate of STP?</w:t>
      </w:r>
    </w:p>
    <w:p w14:paraId="59801105" w14:textId="77777777" w:rsidR="00C5469A" w:rsidRDefault="00C5469A" w:rsidP="00C5469A">
      <w:r>
        <w:t>&lt;ESMA_QUESTION_SETT_3&gt;</w:t>
      </w:r>
    </w:p>
    <w:p w14:paraId="24B3D1FA" w14:textId="77777777" w:rsidR="00BB4315" w:rsidRDefault="00BB4315" w:rsidP="00BB4315">
      <w:pPr>
        <w:pStyle w:val="paragraph"/>
        <w:spacing w:before="0" w:beforeAutospacing="0" w:after="0" w:afterAutospacing="0"/>
        <w:textAlignment w:val="baseline"/>
        <w:rPr>
          <w:rFonts w:ascii="Calibri" w:hAnsi="Calibri" w:cs="Calibri"/>
          <w:sz w:val="22"/>
          <w:szCs w:val="22"/>
        </w:rPr>
      </w:pPr>
      <w:permStart w:id="1188046948" w:edGrp="everyone"/>
      <w:r>
        <w:rPr>
          <w:rStyle w:val="normaltextrun"/>
          <w:rFonts w:ascii="Calibri" w:eastAsiaTheme="majorEastAsia" w:hAnsi="Calibri" w:cs="Calibri"/>
          <w:i/>
          <w:iCs/>
          <w:sz w:val="22"/>
          <w:szCs w:val="22"/>
        </w:rPr>
        <w:t>In considering the response to this question, ISLA members asked for clarification regarding the meaning of STP, whether it related to settlements or all processes in a trade lifecycle. Our interpretation is that STP should be considered a fully automated process, from trade initiation to settlement, without manual intervention.</w:t>
      </w:r>
      <w:r>
        <w:rPr>
          <w:rStyle w:val="eop"/>
          <w:rFonts w:ascii="Calibri" w:eastAsiaTheme="majorEastAsia" w:hAnsi="Calibri" w:cs="Calibri"/>
          <w:sz w:val="22"/>
          <w:szCs w:val="22"/>
        </w:rPr>
        <w:t> </w:t>
      </w:r>
    </w:p>
    <w:p w14:paraId="218B296E" w14:textId="77777777" w:rsidR="00BB4315" w:rsidRDefault="00BB4315" w:rsidP="00BB4315">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Below are the data request questions to our members followed by their summarised response:</w:t>
      </w:r>
      <w:r>
        <w:rPr>
          <w:rStyle w:val="eop"/>
          <w:rFonts w:ascii="Calibri" w:eastAsiaTheme="majorEastAsia" w:hAnsi="Calibri" w:cs="Calibri"/>
          <w:sz w:val="22"/>
          <w:szCs w:val="22"/>
        </w:rPr>
        <w:t> </w:t>
      </w:r>
    </w:p>
    <w:p w14:paraId="72C130FB" w14:textId="77777777" w:rsidR="00BB4315" w:rsidRDefault="00BB4315" w:rsidP="00BB4315">
      <w:pPr>
        <w:pStyle w:val="paragraph"/>
        <w:numPr>
          <w:ilvl w:val="0"/>
          <w:numId w:val="26"/>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Data request 1: “No manual touch point from sub-custodian to settlement (ICSD/CSD) - 100% STP without exception/repair”. This data point was requested to understand the STP rate from the sub-custodian to settlement at a CSD in EU.</w:t>
      </w:r>
      <w:r>
        <w:rPr>
          <w:rStyle w:val="eop"/>
          <w:rFonts w:ascii="Calibri" w:eastAsiaTheme="majorEastAsia" w:hAnsi="Calibri" w:cs="Calibri"/>
          <w:sz w:val="22"/>
          <w:szCs w:val="22"/>
        </w:rPr>
        <w:t> </w:t>
      </w:r>
    </w:p>
    <w:p w14:paraId="78810D15" w14:textId="77777777" w:rsidR="00BB4315" w:rsidRDefault="00BB4315" w:rsidP="00BB4315">
      <w:pPr>
        <w:pStyle w:val="paragraph"/>
        <w:numPr>
          <w:ilvl w:val="0"/>
          <w:numId w:val="27"/>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Response - Data response received suggests that approximately </w:t>
      </w:r>
      <w:r>
        <w:rPr>
          <w:rStyle w:val="normaltextrun"/>
          <w:rFonts w:ascii="Calibri" w:eastAsiaTheme="majorEastAsia" w:hAnsi="Calibri" w:cs="Calibri"/>
          <w:b/>
          <w:bCs/>
          <w:sz w:val="22"/>
          <w:szCs w:val="22"/>
        </w:rPr>
        <w:t>&gt; 90%</w:t>
      </w:r>
      <w:r>
        <w:rPr>
          <w:rStyle w:val="normaltextrun"/>
          <w:rFonts w:ascii="Calibri" w:eastAsiaTheme="majorEastAsia" w:hAnsi="Calibri" w:cs="Calibri"/>
          <w:sz w:val="22"/>
          <w:szCs w:val="22"/>
        </w:rPr>
        <w:t xml:space="preserve"> of </w:t>
      </w:r>
      <w:r>
        <w:rPr>
          <w:rStyle w:val="normaltextrun"/>
          <w:rFonts w:ascii="Calibri" w:eastAsiaTheme="majorEastAsia" w:hAnsi="Calibri" w:cs="Calibri"/>
          <w:b/>
          <w:bCs/>
          <w:sz w:val="22"/>
          <w:szCs w:val="22"/>
        </w:rPr>
        <w:t>STP is reached from sub-custodian to CSD</w:t>
      </w:r>
      <w:r>
        <w:rPr>
          <w:rStyle w:val="normaltextrun"/>
          <w:rFonts w:ascii="Calibri" w:eastAsiaTheme="majorEastAsia" w:hAnsi="Calibri" w:cs="Calibri"/>
          <w:sz w:val="22"/>
          <w:szCs w:val="22"/>
        </w:rPr>
        <w:t>. This means that there may be less than 10% of manual effort required from a sub-custodian to a CSD.</w:t>
      </w:r>
      <w:r>
        <w:rPr>
          <w:rStyle w:val="eop"/>
          <w:rFonts w:ascii="Calibri" w:eastAsiaTheme="majorEastAsia" w:hAnsi="Calibri" w:cs="Calibri"/>
          <w:sz w:val="22"/>
          <w:szCs w:val="22"/>
        </w:rPr>
        <w:t> </w:t>
      </w:r>
    </w:p>
    <w:p w14:paraId="09DFE13C" w14:textId="77777777" w:rsidR="00BB4315" w:rsidRDefault="00BB4315" w:rsidP="00BB4315">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6CD05EFC" w14:textId="77777777" w:rsidR="00BB4315" w:rsidRDefault="00BB4315" w:rsidP="00BB4315">
      <w:pPr>
        <w:pStyle w:val="paragraph"/>
        <w:numPr>
          <w:ilvl w:val="0"/>
          <w:numId w:val="2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Data request 2: Data request relating to recalls were asked to understand the challenges of the recall process that may cause STP rates to drop:</w:t>
      </w:r>
      <w:r>
        <w:rPr>
          <w:rStyle w:val="eop"/>
          <w:rFonts w:ascii="Calibri" w:eastAsiaTheme="majorEastAsia" w:hAnsi="Calibri" w:cs="Calibri"/>
          <w:sz w:val="22"/>
          <w:szCs w:val="22"/>
        </w:rPr>
        <w:t> </w:t>
      </w:r>
    </w:p>
    <w:p w14:paraId="10D8DF7D" w14:textId="77777777" w:rsidR="00BB4315" w:rsidRDefault="00BB4315" w:rsidP="00BB4315">
      <w:pPr>
        <w:pStyle w:val="paragraph"/>
        <w:spacing w:before="0" w:beforeAutospacing="0" w:after="0" w:afterAutospacing="0"/>
        <w:ind w:firstLine="720"/>
        <w:textAlignment w:val="baseline"/>
        <w:rPr>
          <w:rFonts w:ascii="Calibri" w:hAnsi="Calibri" w:cs="Calibri"/>
          <w:sz w:val="22"/>
          <w:szCs w:val="22"/>
        </w:rPr>
      </w:pPr>
      <w:r>
        <w:rPr>
          <w:rStyle w:val="normaltextrun"/>
          <w:rFonts w:ascii="Calibri" w:eastAsiaTheme="majorEastAsia" w:hAnsi="Calibri" w:cs="Calibri"/>
          <w:sz w:val="22"/>
          <w:szCs w:val="22"/>
        </w:rPr>
        <w:t xml:space="preserve">2(a) “% of recalls that break STP (manual work involved)”. This data point was requested to understand the level </w:t>
      </w:r>
      <w:r>
        <w:rPr>
          <w:rStyle w:val="tabchar"/>
          <w:rFonts w:ascii="Calibri" w:hAnsi="Calibri" w:cs="Calibri"/>
          <w:sz w:val="22"/>
          <w:szCs w:val="22"/>
        </w:rPr>
        <w:tab/>
      </w:r>
      <w:r>
        <w:rPr>
          <w:rStyle w:val="normaltextrun"/>
          <w:rFonts w:ascii="Calibri" w:eastAsiaTheme="majorEastAsia" w:hAnsi="Calibri" w:cs="Calibri"/>
          <w:sz w:val="22"/>
          <w:szCs w:val="22"/>
        </w:rPr>
        <w:t>of recall STP within Agent Lenders.</w:t>
      </w:r>
      <w:r>
        <w:rPr>
          <w:rStyle w:val="eop"/>
          <w:rFonts w:ascii="Calibri" w:eastAsiaTheme="majorEastAsia" w:hAnsi="Calibri" w:cs="Calibri"/>
          <w:sz w:val="22"/>
          <w:szCs w:val="22"/>
        </w:rPr>
        <w:t> </w:t>
      </w:r>
    </w:p>
    <w:p w14:paraId="6B026E49" w14:textId="77777777" w:rsidR="00BB4315" w:rsidRDefault="00BB4315" w:rsidP="00BB4315">
      <w:pPr>
        <w:pStyle w:val="paragraph"/>
        <w:numPr>
          <w:ilvl w:val="0"/>
          <w:numId w:val="29"/>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Response – Data response received suggests that </w:t>
      </w:r>
      <w:r>
        <w:rPr>
          <w:rStyle w:val="normaltextrun"/>
          <w:rFonts w:ascii="Calibri" w:eastAsiaTheme="majorEastAsia" w:hAnsi="Calibri" w:cs="Calibri"/>
          <w:b/>
          <w:bCs/>
          <w:sz w:val="22"/>
          <w:szCs w:val="22"/>
        </w:rPr>
        <w:t>100%</w:t>
      </w:r>
      <w:r>
        <w:rPr>
          <w:rStyle w:val="normaltextrun"/>
          <w:rFonts w:ascii="Calibri" w:eastAsiaTheme="majorEastAsia" w:hAnsi="Calibri" w:cs="Calibri"/>
          <w:sz w:val="22"/>
          <w:szCs w:val="22"/>
        </w:rPr>
        <w:t xml:space="preserve"> of the recall processes within Agent Lenders </w:t>
      </w:r>
      <w:r>
        <w:rPr>
          <w:rStyle w:val="normaltextrun"/>
          <w:rFonts w:ascii="Calibri" w:eastAsiaTheme="majorEastAsia" w:hAnsi="Calibri" w:cs="Calibri"/>
          <w:b/>
          <w:bCs/>
          <w:sz w:val="22"/>
          <w:szCs w:val="22"/>
        </w:rPr>
        <w:t>break STP</w:t>
      </w:r>
      <w:r>
        <w:rPr>
          <w:rStyle w:val="normaltextrun"/>
          <w:rFonts w:ascii="Calibri" w:eastAsiaTheme="majorEastAsia" w:hAnsi="Calibri" w:cs="Calibri"/>
          <w:sz w:val="22"/>
          <w:szCs w:val="22"/>
        </w:rPr>
        <w:t xml:space="preserve"> as there is some element of manual effort required (e.g., obtaining sale notification via fax / emails and then manually initiating the recall to borrowers)</w:t>
      </w:r>
      <w:r>
        <w:rPr>
          <w:rStyle w:val="eop"/>
          <w:rFonts w:ascii="Calibri" w:eastAsiaTheme="majorEastAsia" w:hAnsi="Calibri" w:cs="Calibri"/>
          <w:sz w:val="22"/>
          <w:szCs w:val="22"/>
        </w:rPr>
        <w:t> </w:t>
      </w:r>
    </w:p>
    <w:p w14:paraId="574DE958" w14:textId="77777777" w:rsidR="00BB4315" w:rsidRDefault="00BB4315" w:rsidP="00BB4315">
      <w:pPr>
        <w:pStyle w:val="paragraph"/>
        <w:spacing w:before="0" w:beforeAutospacing="0" w:after="0" w:afterAutospacing="0"/>
        <w:ind w:firstLine="720"/>
        <w:textAlignment w:val="baseline"/>
        <w:rPr>
          <w:rFonts w:ascii="Calibri" w:hAnsi="Calibri" w:cs="Calibri"/>
          <w:sz w:val="22"/>
          <w:szCs w:val="22"/>
        </w:rPr>
      </w:pPr>
      <w:r>
        <w:rPr>
          <w:rStyle w:val="normaltextrun"/>
          <w:rFonts w:ascii="Calibri" w:eastAsiaTheme="majorEastAsia" w:hAnsi="Calibri" w:cs="Calibri"/>
          <w:sz w:val="22"/>
          <w:szCs w:val="22"/>
        </w:rPr>
        <w:t xml:space="preserve">2(b) “% of sales that are automatically reallocated versus recalled”. This data point was requested to understand </w:t>
      </w:r>
      <w:r>
        <w:rPr>
          <w:rStyle w:val="tabchar"/>
          <w:rFonts w:ascii="Calibri" w:hAnsi="Calibri" w:cs="Calibri"/>
          <w:sz w:val="22"/>
          <w:szCs w:val="22"/>
        </w:rPr>
        <w:tab/>
      </w:r>
      <w:r>
        <w:rPr>
          <w:rStyle w:val="normaltextrun"/>
          <w:rFonts w:ascii="Calibri" w:eastAsiaTheme="majorEastAsia" w:hAnsi="Calibri" w:cs="Calibri"/>
          <w:sz w:val="22"/>
          <w:szCs w:val="22"/>
        </w:rPr>
        <w:t>the percentage of sales that can be internally sourced before recalled. </w:t>
      </w:r>
      <w:r>
        <w:rPr>
          <w:rStyle w:val="eop"/>
          <w:rFonts w:ascii="Calibri" w:eastAsiaTheme="majorEastAsia" w:hAnsi="Calibri" w:cs="Calibri"/>
          <w:sz w:val="22"/>
          <w:szCs w:val="22"/>
        </w:rPr>
        <w:t> </w:t>
      </w:r>
    </w:p>
    <w:p w14:paraId="62FDB480" w14:textId="77777777" w:rsidR="00BB4315" w:rsidRDefault="00BB4315" w:rsidP="00BB4315">
      <w:pPr>
        <w:pStyle w:val="paragraph"/>
        <w:numPr>
          <w:ilvl w:val="0"/>
          <w:numId w:val="30"/>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lastRenderedPageBreak/>
        <w:t xml:space="preserve">Response – Data response received suggests that approximately </w:t>
      </w:r>
      <w:r>
        <w:rPr>
          <w:rStyle w:val="normaltextrun"/>
          <w:rFonts w:ascii="Calibri" w:eastAsiaTheme="majorEastAsia" w:hAnsi="Calibri" w:cs="Calibri"/>
          <w:b/>
          <w:bCs/>
          <w:sz w:val="22"/>
          <w:szCs w:val="22"/>
        </w:rPr>
        <w:t>82%</w:t>
      </w:r>
      <w:r>
        <w:rPr>
          <w:rStyle w:val="normaltextrun"/>
          <w:rFonts w:ascii="Calibri" w:eastAsiaTheme="majorEastAsia" w:hAnsi="Calibri" w:cs="Calibri"/>
          <w:sz w:val="22"/>
          <w:szCs w:val="22"/>
        </w:rPr>
        <w:t xml:space="preserve"> of sales are </w:t>
      </w:r>
      <w:r>
        <w:rPr>
          <w:rStyle w:val="normaltextrun"/>
          <w:rFonts w:ascii="Calibri" w:eastAsiaTheme="majorEastAsia" w:hAnsi="Calibri" w:cs="Calibri"/>
          <w:b/>
          <w:bCs/>
          <w:sz w:val="22"/>
          <w:szCs w:val="22"/>
        </w:rPr>
        <w:t xml:space="preserve">reallocated </w:t>
      </w:r>
      <w:r>
        <w:rPr>
          <w:rStyle w:val="normaltextrun"/>
          <w:rFonts w:ascii="Calibri" w:eastAsiaTheme="majorEastAsia" w:hAnsi="Calibri" w:cs="Calibri"/>
          <w:sz w:val="22"/>
          <w:szCs w:val="22"/>
        </w:rPr>
        <w:t xml:space="preserve">which means that remaining </w:t>
      </w:r>
      <w:r>
        <w:rPr>
          <w:rStyle w:val="normaltextrun"/>
          <w:rFonts w:ascii="Calibri" w:eastAsiaTheme="majorEastAsia" w:hAnsi="Calibri" w:cs="Calibri"/>
          <w:b/>
          <w:bCs/>
          <w:sz w:val="22"/>
          <w:szCs w:val="22"/>
        </w:rPr>
        <w:t>18%</w:t>
      </w:r>
      <w:r>
        <w:rPr>
          <w:rStyle w:val="normaltextrun"/>
          <w:rFonts w:ascii="Calibri" w:eastAsiaTheme="majorEastAsia" w:hAnsi="Calibri" w:cs="Calibri"/>
          <w:sz w:val="22"/>
          <w:szCs w:val="22"/>
        </w:rPr>
        <w:t xml:space="preserve"> are </w:t>
      </w:r>
      <w:r>
        <w:rPr>
          <w:rStyle w:val="normaltextrun"/>
          <w:rFonts w:ascii="Calibri" w:eastAsiaTheme="majorEastAsia" w:hAnsi="Calibri" w:cs="Calibri"/>
          <w:b/>
          <w:bCs/>
          <w:sz w:val="22"/>
          <w:szCs w:val="22"/>
        </w:rPr>
        <w:t>recalled</w:t>
      </w:r>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3A02830B" w14:textId="77777777" w:rsidR="00BB4315" w:rsidRDefault="00BB4315" w:rsidP="00BB4315">
      <w:pPr>
        <w:pStyle w:val="paragraph"/>
        <w:spacing w:before="0" w:beforeAutospacing="0" w:after="0" w:afterAutospacing="0"/>
        <w:ind w:firstLine="720"/>
        <w:textAlignment w:val="baseline"/>
        <w:rPr>
          <w:rFonts w:ascii="Calibri" w:hAnsi="Calibri" w:cs="Calibri"/>
          <w:sz w:val="22"/>
          <w:szCs w:val="22"/>
        </w:rPr>
      </w:pPr>
      <w:r>
        <w:rPr>
          <w:rStyle w:val="normaltextrun"/>
          <w:rFonts w:ascii="Calibri" w:eastAsiaTheme="majorEastAsia" w:hAnsi="Calibri" w:cs="Calibri"/>
          <w:sz w:val="22"/>
          <w:szCs w:val="22"/>
        </w:rPr>
        <w:t>2(c) “% of pre-sale notification vs custodian sale notification (method of notification - if you have any other types of methods of notification, please stipulate - e.g., fax, emails)”. A pre-sale notification is when a sale is executed from the beneficiary owner, the notification is sent to an agent lender before instructing the custodian. A custodian sale notification is when an agent lender is notified after the beneficiary owner instructs their custodian on the sale. This data point was requested to understand the sale notification preferences of beneficial owners.</w:t>
      </w:r>
      <w:r>
        <w:rPr>
          <w:rStyle w:val="eop"/>
          <w:rFonts w:ascii="Calibri" w:eastAsiaTheme="majorEastAsia" w:hAnsi="Calibri" w:cs="Calibri"/>
          <w:sz w:val="22"/>
          <w:szCs w:val="22"/>
        </w:rPr>
        <w:t> </w:t>
      </w:r>
    </w:p>
    <w:p w14:paraId="0D6A1018" w14:textId="77777777" w:rsidR="00BB4315" w:rsidRDefault="00BB4315" w:rsidP="00BB4315">
      <w:pPr>
        <w:pStyle w:val="paragraph"/>
        <w:numPr>
          <w:ilvl w:val="0"/>
          <w:numId w:val="31"/>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Response - Data response received suggests that approximately </w:t>
      </w:r>
      <w:r>
        <w:rPr>
          <w:rStyle w:val="normaltextrun"/>
          <w:rFonts w:ascii="Calibri" w:eastAsiaTheme="majorEastAsia" w:hAnsi="Calibri" w:cs="Calibri"/>
          <w:b/>
          <w:bCs/>
          <w:sz w:val="22"/>
          <w:szCs w:val="22"/>
        </w:rPr>
        <w:t>23%</w:t>
      </w:r>
      <w:r>
        <w:rPr>
          <w:rStyle w:val="normaltextrun"/>
          <w:rFonts w:ascii="Calibri" w:eastAsiaTheme="majorEastAsia" w:hAnsi="Calibri" w:cs="Calibri"/>
          <w:sz w:val="22"/>
          <w:szCs w:val="22"/>
        </w:rPr>
        <w:t xml:space="preserve"> of sale notification are </w:t>
      </w:r>
      <w:r>
        <w:rPr>
          <w:rStyle w:val="normaltextrun"/>
          <w:rFonts w:ascii="Calibri" w:eastAsiaTheme="majorEastAsia" w:hAnsi="Calibri" w:cs="Calibri"/>
          <w:b/>
          <w:bCs/>
          <w:sz w:val="22"/>
          <w:szCs w:val="22"/>
        </w:rPr>
        <w:t>pre-sale notifications</w:t>
      </w:r>
      <w:r>
        <w:rPr>
          <w:rStyle w:val="normaltextrun"/>
          <w:rFonts w:ascii="Calibri" w:eastAsiaTheme="majorEastAsia" w:hAnsi="Calibri" w:cs="Calibri"/>
          <w:sz w:val="22"/>
          <w:szCs w:val="22"/>
        </w:rPr>
        <w:t>.</w:t>
      </w:r>
    </w:p>
    <w:p w14:paraId="643A22A8" w14:textId="77777777" w:rsidR="00BB4315" w:rsidRDefault="00BB4315" w:rsidP="00BB4315">
      <w:pPr>
        <w:pStyle w:val="paragraph"/>
        <w:spacing w:before="0" w:beforeAutospacing="0" w:after="0" w:afterAutospacing="0"/>
        <w:textAlignment w:val="baseline"/>
        <w:rPr>
          <w:rStyle w:val="normaltextrun"/>
          <w:rFonts w:ascii="Calibri" w:eastAsiaTheme="majorEastAsia" w:hAnsi="Calibri" w:cs="Calibri"/>
          <w:sz w:val="22"/>
          <w:szCs w:val="22"/>
        </w:rPr>
      </w:pPr>
    </w:p>
    <w:p w14:paraId="0A195899" w14:textId="69C2761D" w:rsidR="00BB4315" w:rsidRDefault="00BB4315" w:rsidP="00BB4315">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ISLA members have raised the following challenge points for your consideration:</w:t>
      </w:r>
      <w:r>
        <w:rPr>
          <w:rStyle w:val="eop"/>
          <w:rFonts w:ascii="Calibri" w:eastAsiaTheme="majorEastAsia" w:hAnsi="Calibri" w:cs="Calibri"/>
          <w:sz w:val="22"/>
          <w:szCs w:val="22"/>
        </w:rPr>
        <w:t> </w:t>
      </w:r>
    </w:p>
    <w:p w14:paraId="09689F21" w14:textId="77777777" w:rsidR="00BB4315" w:rsidRDefault="00BB4315" w:rsidP="00BB4315">
      <w:pPr>
        <w:pStyle w:val="paragraph"/>
        <w:numPr>
          <w:ilvl w:val="0"/>
          <w:numId w:val="3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For a firm to adapt to a shorter settlement cycle, it is practical to use technology solutions. Any outdated legacy systems would need to be analysed and updated.</w:t>
      </w:r>
      <w:r>
        <w:rPr>
          <w:rStyle w:val="eop"/>
          <w:rFonts w:ascii="Calibri" w:eastAsiaTheme="majorEastAsia" w:hAnsi="Calibri" w:cs="Calibri"/>
          <w:sz w:val="22"/>
          <w:szCs w:val="22"/>
        </w:rPr>
        <w:t> </w:t>
      </w:r>
    </w:p>
    <w:p w14:paraId="0DAD7BA6" w14:textId="77777777" w:rsidR="00BB4315" w:rsidRDefault="00BB4315" w:rsidP="00BB4315">
      <w:pPr>
        <w:pStyle w:val="paragraph"/>
        <w:numPr>
          <w:ilvl w:val="0"/>
          <w:numId w:val="3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Data (e.g., client / counterparty / static data) needs to be maintained appropriately to prevent mismatches and settlement fails.</w:t>
      </w:r>
      <w:r>
        <w:rPr>
          <w:rStyle w:val="eop"/>
          <w:rFonts w:ascii="Calibri" w:eastAsiaTheme="majorEastAsia" w:hAnsi="Calibri" w:cs="Calibri"/>
          <w:sz w:val="22"/>
          <w:szCs w:val="22"/>
        </w:rPr>
        <w:t> </w:t>
      </w:r>
    </w:p>
    <w:p w14:paraId="536D4DCB" w14:textId="77777777" w:rsidR="00BB4315" w:rsidRDefault="00BB4315" w:rsidP="00BB4315">
      <w:pPr>
        <w:pStyle w:val="paragraph"/>
        <w:numPr>
          <w:ilvl w:val="0"/>
          <w:numId w:val="34"/>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High levels of STP are achievable when common technology and processes are adopted at scale. Whilst automation solutions are available, they are not always used in SLB.</w:t>
      </w:r>
      <w:r>
        <w:rPr>
          <w:rStyle w:val="eop"/>
          <w:rFonts w:ascii="Calibri" w:eastAsiaTheme="majorEastAsia" w:hAnsi="Calibri" w:cs="Calibri"/>
          <w:sz w:val="22"/>
          <w:szCs w:val="22"/>
        </w:rPr>
        <w:t> </w:t>
      </w:r>
    </w:p>
    <w:p w14:paraId="234E5152" w14:textId="77777777" w:rsidR="00BB4315" w:rsidRDefault="00BB4315" w:rsidP="00BB4315">
      <w:pPr>
        <w:pStyle w:val="paragraph"/>
        <w:numPr>
          <w:ilvl w:val="0"/>
          <w:numId w:val="3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The challenges mentioned in Question 1 relating to recalls as well as the data point received in Question 3.1 on how recalls break STP by 100% is a continuing challenge.</w:t>
      </w:r>
      <w:r>
        <w:rPr>
          <w:rStyle w:val="eop"/>
          <w:rFonts w:ascii="Calibri" w:eastAsiaTheme="majorEastAsia" w:hAnsi="Calibri" w:cs="Calibri"/>
          <w:sz w:val="22"/>
          <w:szCs w:val="22"/>
        </w:rPr>
        <w:t> </w:t>
      </w:r>
    </w:p>
    <w:p w14:paraId="0E9271D6" w14:textId="77777777" w:rsidR="00BB4315" w:rsidRDefault="00BB4315" w:rsidP="00BB4315">
      <w:pPr>
        <w:pStyle w:val="paragraph"/>
        <w:numPr>
          <w:ilvl w:val="0"/>
          <w:numId w:val="36"/>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Corporate actions are more complex than standard loans and returns with less automation available in the market. Therefore, there are high levels of manual processes associated with corporate actions.</w:t>
      </w:r>
      <w:r>
        <w:rPr>
          <w:rStyle w:val="eop"/>
          <w:rFonts w:ascii="Calibri" w:eastAsiaTheme="majorEastAsia" w:hAnsi="Calibri" w:cs="Calibri"/>
          <w:sz w:val="22"/>
          <w:szCs w:val="22"/>
        </w:rPr>
        <w:t> </w:t>
      </w:r>
    </w:p>
    <w:p w14:paraId="2325D751" w14:textId="77777777" w:rsidR="00BB4315" w:rsidRDefault="00BB4315" w:rsidP="00BB4315">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color w:val="1F1F1F"/>
          <w:sz w:val="22"/>
          <w:szCs w:val="22"/>
          <w:shd w:val="clear" w:color="auto" w:fill="FFFFFF"/>
        </w:rPr>
        <w:t>The impact of a shortened settlement cycle on securities lending varies depending on the role of each market participant. Challenges should therefore be highlighted from these different perspectives, as each participant plays a critical role in the ultimate settling of a trade or related collateral.</w:t>
      </w:r>
      <w:r>
        <w:rPr>
          <w:rStyle w:val="eop"/>
          <w:rFonts w:ascii="Calibri" w:eastAsiaTheme="majorEastAsia" w:hAnsi="Calibri" w:cs="Calibri"/>
          <w:color w:val="1F1F1F"/>
          <w:sz w:val="22"/>
          <w:szCs w:val="22"/>
        </w:rPr>
        <w:t> </w:t>
      </w:r>
    </w:p>
    <w:p w14:paraId="7DC1F738" w14:textId="77777777" w:rsidR="00BB4315" w:rsidRDefault="00BB4315" w:rsidP="00BB4315">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15361369" w14:textId="77777777" w:rsidR="00BB4315" w:rsidRDefault="00BB4315" w:rsidP="00BB4315">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i/>
          <w:iCs/>
          <w:sz w:val="22"/>
          <w:szCs w:val="22"/>
        </w:rPr>
        <w:t>Agent lender perspective</w:t>
      </w:r>
      <w:r>
        <w:rPr>
          <w:rStyle w:val="eop"/>
          <w:rFonts w:ascii="Calibri" w:eastAsiaTheme="majorEastAsia" w:hAnsi="Calibri" w:cs="Calibri"/>
          <w:sz w:val="22"/>
          <w:szCs w:val="22"/>
        </w:rPr>
        <w:t> </w:t>
      </w:r>
    </w:p>
    <w:p w14:paraId="5693648E" w14:textId="77777777" w:rsidR="00BB4315" w:rsidRDefault="00BB4315" w:rsidP="00BB4315">
      <w:pPr>
        <w:pStyle w:val="paragraph"/>
        <w:numPr>
          <w:ilvl w:val="0"/>
          <w:numId w:val="3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There is a notable difference between natural loan returns, when the need to borrow expires, versus loan recalls that are driven by the lender’s sale of those securities in the cash market. Some agent lenders offer clients pre-notification functionality, effectively reducing the lendable portfolio prior to sale being instructed in the usual way (e.g., via a custodian). Pre-sale notification functionality is limited at approximately 23% of total sales (please refer to Question 3.1 for further details).</w:t>
      </w:r>
      <w:r>
        <w:rPr>
          <w:rStyle w:val="eop"/>
          <w:rFonts w:ascii="Calibri" w:eastAsiaTheme="majorEastAsia" w:hAnsi="Calibri" w:cs="Calibri"/>
          <w:sz w:val="22"/>
          <w:szCs w:val="22"/>
        </w:rPr>
        <w:t> </w:t>
      </w:r>
    </w:p>
    <w:p w14:paraId="6F858B60" w14:textId="77777777" w:rsidR="00BB4315" w:rsidRDefault="00BB4315" w:rsidP="00BB4315">
      <w:pPr>
        <w:pStyle w:val="paragraph"/>
        <w:numPr>
          <w:ilvl w:val="0"/>
          <w:numId w:val="3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Upon receipt of a client sale notification(s), agent lenders typically reallocate within their lending program. Reallocation is the process of substituting the assets of the selling client with the assets of another client, creating stability for borrowers and the general market. From a STP perspective, reallocations are extremely efficient and, as noted in the data received, a high percentage of sales are reallocated (82%). </w:t>
      </w:r>
      <w:r>
        <w:rPr>
          <w:rStyle w:val="eop"/>
          <w:rFonts w:ascii="Calibri" w:eastAsiaTheme="majorEastAsia" w:hAnsi="Calibri" w:cs="Calibri"/>
          <w:sz w:val="22"/>
          <w:szCs w:val="22"/>
        </w:rPr>
        <w:t> </w:t>
      </w:r>
    </w:p>
    <w:p w14:paraId="7140E260" w14:textId="77777777" w:rsidR="00BB4315" w:rsidRDefault="00BB4315" w:rsidP="00BB4315">
      <w:pPr>
        <w:pStyle w:val="paragraph"/>
        <w:numPr>
          <w:ilvl w:val="0"/>
          <w:numId w:val="3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Agent lenders also maintain lending buffers, which reduce the % of securities that may be lent from a portfolio. Buffers are calculated based on the % various factors including liquidity consideration based on average daily trading volume of that security. </w:t>
      </w:r>
      <w:r>
        <w:rPr>
          <w:rStyle w:val="normaltextrun"/>
          <w:rFonts w:ascii="Calibri" w:eastAsiaTheme="majorEastAsia" w:hAnsi="Calibri" w:cs="Calibri"/>
          <w:sz w:val="22"/>
          <w:szCs w:val="22"/>
        </w:rPr>
        <w:lastRenderedPageBreak/>
        <w:t>The use of buffers also facilitates the reallocation process in some cases. Please see further point in our response to Question 12).</w:t>
      </w:r>
      <w:r>
        <w:rPr>
          <w:rStyle w:val="eop"/>
          <w:rFonts w:ascii="Calibri" w:eastAsiaTheme="majorEastAsia" w:hAnsi="Calibri" w:cs="Calibri"/>
          <w:sz w:val="22"/>
          <w:szCs w:val="22"/>
        </w:rPr>
        <w:t> </w:t>
      </w:r>
    </w:p>
    <w:p w14:paraId="61396A7E" w14:textId="77777777" w:rsidR="00BB4315" w:rsidRDefault="00BB4315" w:rsidP="00BB4315">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i/>
          <w:iCs/>
          <w:sz w:val="22"/>
          <w:szCs w:val="22"/>
        </w:rPr>
        <w:t>Borrower perspective</w:t>
      </w:r>
      <w:r>
        <w:rPr>
          <w:rStyle w:val="eop"/>
          <w:rFonts w:ascii="Calibri" w:eastAsiaTheme="majorEastAsia" w:hAnsi="Calibri" w:cs="Calibri"/>
          <w:sz w:val="22"/>
          <w:szCs w:val="22"/>
        </w:rPr>
        <w:t> </w:t>
      </w:r>
    </w:p>
    <w:p w14:paraId="72B75A15" w14:textId="77777777" w:rsidR="00BB4315" w:rsidRDefault="00BB4315" w:rsidP="00BB4315">
      <w:pPr>
        <w:pStyle w:val="paragraph"/>
        <w:numPr>
          <w:ilvl w:val="0"/>
          <w:numId w:val="3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The challenge of recalls to borrowers is determining the net position of the day before deciding the appropriate action in response to the recall request. Once a recall request is received from an agent lender, borrowers check their current and projected positions to establish the required action.</w:t>
      </w:r>
      <w:r>
        <w:rPr>
          <w:rStyle w:val="eop"/>
          <w:rFonts w:ascii="Calibri" w:eastAsiaTheme="majorEastAsia" w:hAnsi="Calibri" w:cs="Calibri"/>
          <w:sz w:val="22"/>
          <w:szCs w:val="22"/>
        </w:rPr>
        <w:t> </w:t>
      </w:r>
    </w:p>
    <w:p w14:paraId="7F07D08F" w14:textId="77777777" w:rsidR="00BB4315" w:rsidRDefault="00BB4315" w:rsidP="00BB4315">
      <w:pPr>
        <w:pStyle w:val="paragraph"/>
        <w:numPr>
          <w:ilvl w:val="0"/>
          <w:numId w:val="3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Borrowers may also need to maintain buffers for collateralisation of same day borrows. Borrowers project collateral required on a next day basis. To the extent that T+1 creates a short-term increase in settlement fails, borrowers would need larger buffers of collateral to cover same day borrows. These larger collateral buffers could limit liquidity in the market (please see further information on this in the response to Question 12).</w:t>
      </w:r>
      <w:r>
        <w:rPr>
          <w:rStyle w:val="eop"/>
          <w:rFonts w:ascii="Calibri" w:eastAsiaTheme="majorEastAsia" w:hAnsi="Calibri" w:cs="Calibri"/>
          <w:sz w:val="22"/>
          <w:szCs w:val="22"/>
        </w:rPr>
        <w:t> </w:t>
      </w:r>
    </w:p>
    <w:p w14:paraId="69D904BE" w14:textId="77777777" w:rsidR="00BB4315" w:rsidRDefault="00BB4315" w:rsidP="00BB4315">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Beneficial Owner perspective</w:t>
      </w:r>
      <w:r>
        <w:rPr>
          <w:rStyle w:val="eop"/>
          <w:rFonts w:ascii="Calibri" w:eastAsiaTheme="majorEastAsia" w:hAnsi="Calibri" w:cs="Calibri"/>
          <w:sz w:val="22"/>
          <w:szCs w:val="22"/>
        </w:rPr>
        <w:t> </w:t>
      </w:r>
    </w:p>
    <w:p w14:paraId="4597E489" w14:textId="77777777" w:rsidR="00BB4315" w:rsidRDefault="00BB4315" w:rsidP="00BB4315">
      <w:pPr>
        <w:pStyle w:val="paragraph"/>
        <w:numPr>
          <w:ilvl w:val="0"/>
          <w:numId w:val="3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The uptake in pre-sale notification is limited, and we understand adoption rates of ~23% as per Question 3.1. </w:t>
      </w:r>
      <w:r>
        <w:rPr>
          <w:rStyle w:val="eop"/>
          <w:rFonts w:ascii="Calibri" w:eastAsiaTheme="majorEastAsia" w:hAnsi="Calibri" w:cs="Calibri"/>
          <w:sz w:val="22"/>
          <w:szCs w:val="22"/>
        </w:rPr>
        <w:t> </w:t>
      </w:r>
    </w:p>
    <w:p w14:paraId="2119D8B5" w14:textId="7473C74E" w:rsidR="00C5469A" w:rsidRPr="00BB4315" w:rsidRDefault="00BB4315" w:rsidP="00C5469A">
      <w:pPr>
        <w:pStyle w:val="paragraph"/>
        <w:numPr>
          <w:ilvl w:val="0"/>
          <w:numId w:val="3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This relatively low adoption rate may be a function of fund managers prioritising internal processes and highlights the extended procedures and dependencies that exist in maintaining a securities lending market.</w:t>
      </w:r>
      <w:r>
        <w:rPr>
          <w:rStyle w:val="eop"/>
          <w:rFonts w:ascii="Calibri" w:eastAsiaTheme="majorEastAsia" w:hAnsi="Calibri" w:cs="Calibri"/>
          <w:sz w:val="22"/>
          <w:szCs w:val="22"/>
        </w:rPr>
        <w:t> </w:t>
      </w:r>
    </w:p>
    <w:permEnd w:id="1188046948"/>
    <w:p w14:paraId="779B5185" w14:textId="77777777" w:rsidR="00C5469A" w:rsidRDefault="00C5469A" w:rsidP="00C5469A">
      <w:r>
        <w:t>&lt;ESMA_QUESTION_SETT_3&gt;</w:t>
      </w:r>
    </w:p>
    <w:p w14:paraId="1C935D3F" w14:textId="77777777" w:rsidR="00C5469A" w:rsidRDefault="00C5469A" w:rsidP="00C5469A"/>
    <w:p w14:paraId="5C6CEC2A" w14:textId="77777777" w:rsidR="00C5469A" w:rsidRDefault="00C5469A" w:rsidP="00C5469A">
      <w:pPr>
        <w:pStyle w:val="Questionstyle"/>
        <w:numPr>
          <w:ilvl w:val="0"/>
          <w:numId w:val="14"/>
        </w:numPr>
      </w:pPr>
      <w:r>
        <w:t>: Please describe the impacts that, in your views, the shortening of the securities settlement cycle could have beyond post-trade processes, in particular on the functioning of markets (trading) and on the access of retail investors to financial markets. If you identify any negative impact, please identify the piece of legislation affected (MiFID II, MiFIR, Short Selling Regulation…) and elaborate on possible avenues to address it.</w:t>
      </w:r>
    </w:p>
    <w:p w14:paraId="59ACDC86" w14:textId="77777777" w:rsidR="00C5469A" w:rsidRDefault="00C5469A" w:rsidP="00C5469A">
      <w:r>
        <w:t>&lt;ESMA_QUESTION_SETT_4&gt;</w:t>
      </w:r>
    </w:p>
    <w:p w14:paraId="228C8B41"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permStart w:id="19423711" w:edGrp="everyone"/>
      <w:r>
        <w:rPr>
          <w:rStyle w:val="normaltextrun"/>
          <w:rFonts w:ascii="Calibri" w:eastAsiaTheme="majorEastAsia" w:hAnsi="Calibri" w:cs="Calibri"/>
          <w:sz w:val="22"/>
          <w:szCs w:val="22"/>
        </w:rPr>
        <w:t>The projected impacts from a shorter settlement cycle differs by market participant type.</w:t>
      </w:r>
      <w:r>
        <w:rPr>
          <w:rStyle w:val="eop"/>
          <w:rFonts w:ascii="Calibri" w:eastAsiaTheme="majorEastAsia" w:hAnsi="Calibri" w:cs="Calibri"/>
          <w:sz w:val="22"/>
          <w:szCs w:val="22"/>
        </w:rPr>
        <w:t> </w:t>
      </w:r>
    </w:p>
    <w:p w14:paraId="04C70E84"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ISLA members have noted how the shorter settlement cycle will have the potential to increase borrowing demand. However, the ability to borrow may be restricted by a borrowers’ capacity to mobilise necessary collateral. </w:t>
      </w:r>
      <w:r>
        <w:rPr>
          <w:rStyle w:val="eop"/>
          <w:rFonts w:ascii="Calibri" w:eastAsiaTheme="majorEastAsia" w:hAnsi="Calibri" w:cs="Calibri"/>
          <w:sz w:val="22"/>
          <w:szCs w:val="22"/>
        </w:rPr>
        <w:t> </w:t>
      </w:r>
    </w:p>
    <w:p w14:paraId="63847F85"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Borrowers maintain buffers of collateral, an excess in their accounts and the various triparty agents, to offset collateral mobility challenges. As the lead time to mobilise collateral reduces, either larger buffers must be maintained with associated increase in cost, or the medium used to collateral will change. Feedback from our members includes:</w:t>
      </w:r>
      <w:r>
        <w:rPr>
          <w:rStyle w:val="eop"/>
          <w:rFonts w:ascii="Calibri" w:eastAsiaTheme="majorEastAsia" w:hAnsi="Calibri" w:cs="Calibri"/>
          <w:sz w:val="22"/>
          <w:szCs w:val="22"/>
        </w:rPr>
        <w:t> </w:t>
      </w:r>
    </w:p>
    <w:p w14:paraId="6D1CF98A" w14:textId="77777777" w:rsidR="00BB4315" w:rsidRDefault="00BB4315" w:rsidP="00BB4315">
      <w:pPr>
        <w:pStyle w:val="paragraph"/>
        <w:numPr>
          <w:ilvl w:val="0"/>
          <w:numId w:val="40"/>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The potential for less reliance on triparty agents, who manage non-cash collateral, through an increased use of cash collateral. This impact may be magnified by the diversity of triparty agents, which introduces mobilisation challenges in a shorter settlement cycle.</w:t>
      </w:r>
      <w:r>
        <w:rPr>
          <w:rStyle w:val="eop"/>
          <w:rFonts w:ascii="Calibri" w:eastAsiaTheme="majorEastAsia" w:hAnsi="Calibri" w:cs="Calibri"/>
          <w:sz w:val="22"/>
          <w:szCs w:val="22"/>
        </w:rPr>
        <w:t> </w:t>
      </w:r>
    </w:p>
    <w:p w14:paraId="0B9E1660" w14:textId="77777777" w:rsidR="00BB4315" w:rsidRDefault="00BB4315" w:rsidP="00BB4315">
      <w:pPr>
        <w:pStyle w:val="paragraph"/>
        <w:numPr>
          <w:ilvl w:val="0"/>
          <w:numId w:val="4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lastRenderedPageBreak/>
        <w:t>Increasing same day sourcing of collateral, as it is anticipated that there may be an increase in settlement fails. Borrowers would then need to enter same-day buys to cover collateral required for same-day borrows (as discussed in Question 3.2).</w:t>
      </w:r>
      <w:r>
        <w:rPr>
          <w:rStyle w:val="eop"/>
          <w:rFonts w:ascii="Calibri" w:eastAsiaTheme="majorEastAsia" w:hAnsi="Calibri" w:cs="Calibri"/>
          <w:sz w:val="22"/>
          <w:szCs w:val="22"/>
        </w:rPr>
        <w:t> </w:t>
      </w:r>
    </w:p>
    <w:p w14:paraId="4ACD2270"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Taking the above challenges further, some beneficial owners (lenders) may be reluctant to increase their lendable pool of assets if they consider SLB activities introduce excessive friction to their trading strategy. It may also become costlier to undertake SLB activity as margins increase to offset the additional cost of operating in a T+1 environment. In our member poll, it was noted that 79% of our members believe the cost of trading in SLB activity may increase in a T+1 environment.</w:t>
      </w:r>
      <w:r>
        <w:rPr>
          <w:rStyle w:val="eop"/>
          <w:rFonts w:ascii="Calibri" w:eastAsiaTheme="majorEastAsia" w:hAnsi="Calibri" w:cs="Calibri"/>
          <w:sz w:val="22"/>
          <w:szCs w:val="22"/>
        </w:rPr>
        <w:t> </w:t>
      </w:r>
    </w:p>
    <w:p w14:paraId="3AAEFA0E"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With regards to retail investors, we asked members how many were actively lending for this segment of the market. According to that poll, we noted that 79% of our members do not have retail clients in their client portfolio.</w:t>
      </w:r>
      <w:r>
        <w:rPr>
          <w:rStyle w:val="eop"/>
          <w:rFonts w:ascii="Calibri" w:eastAsiaTheme="majorEastAsia" w:hAnsi="Calibri" w:cs="Calibri"/>
          <w:sz w:val="22"/>
          <w:szCs w:val="22"/>
        </w:rPr>
        <w:t> </w:t>
      </w:r>
    </w:p>
    <w:p w14:paraId="4BB43B00" w14:textId="63DC5D29" w:rsidR="00BB4315" w:rsidRPr="00BB4315" w:rsidRDefault="00BB4315" w:rsidP="00BB4315">
      <w:pPr>
        <w:pStyle w:val="paragraph"/>
        <w:spacing w:before="0" w:beforeAutospacing="0" w:after="0" w:afterAutospacing="0"/>
        <w:textAlignment w:val="baseline"/>
        <w:rPr>
          <w:rFonts w:ascii="Calibri" w:eastAsiaTheme="majorEastAsia" w:hAnsi="Calibri" w:cs="Calibri"/>
          <w:sz w:val="22"/>
          <w:szCs w:val="22"/>
        </w:rPr>
      </w:pPr>
      <w:r>
        <w:rPr>
          <w:rStyle w:val="normaltextrun"/>
          <w:rFonts w:ascii="Calibri" w:eastAsiaTheme="majorEastAsia" w:hAnsi="Calibri" w:cs="Calibri"/>
          <w:sz w:val="22"/>
          <w:szCs w:val="22"/>
        </w:rPr>
        <w:t>It should also be noted that retail investors’ access to financial markets may not change due to T+1 but their access to SLB markets may change or grow.</w:t>
      </w:r>
    </w:p>
    <w:permEnd w:id="19423711"/>
    <w:p w14:paraId="08A0832D" w14:textId="77777777" w:rsidR="00C5469A" w:rsidRDefault="00C5469A" w:rsidP="00C5469A">
      <w:r>
        <w:t>&lt;ESMA_QUESTION_SETT_4&gt;</w:t>
      </w:r>
    </w:p>
    <w:p w14:paraId="10D50CB9" w14:textId="48742D0D" w:rsidR="00C5469A" w:rsidRDefault="00C5469A" w:rsidP="00C5469A"/>
    <w:p w14:paraId="2BF11A79" w14:textId="77777777" w:rsidR="00C5469A" w:rsidRDefault="00C5469A" w:rsidP="00C5469A"/>
    <w:p w14:paraId="5855D199" w14:textId="77777777" w:rsidR="00C5469A" w:rsidRDefault="00C5469A" w:rsidP="00C5469A">
      <w:pPr>
        <w:pStyle w:val="Questionstyle"/>
        <w:numPr>
          <w:ilvl w:val="0"/>
          <w:numId w:val="14"/>
        </w:numPr>
      </w:pPr>
      <w:r>
        <w:t>: What would be the costs you would have to incur in order to implement the technology and operational changes required to work in a T+1 environment? And in a T+0 environment? Please differentiate between one-off costs and on-going costs, comparing the on-going costs of T+1 and T+0 to those in the current T+2 environment. Where relevant please explain if these are general or asset class/instrument/ trade specific.</w:t>
      </w:r>
    </w:p>
    <w:p w14:paraId="6F56C3DB" w14:textId="77777777" w:rsidR="00C5469A" w:rsidRDefault="00C5469A" w:rsidP="00C5469A">
      <w:r>
        <w:t>&lt;ESMA_QUESTION_SETT_5&gt;</w:t>
      </w:r>
    </w:p>
    <w:p w14:paraId="31D5B13A"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permStart w:id="1238857977" w:edGrp="everyone"/>
      <w:r>
        <w:rPr>
          <w:rStyle w:val="normaltextrun"/>
          <w:rFonts w:ascii="Calibri" w:eastAsiaTheme="majorEastAsia" w:hAnsi="Calibri" w:cs="Calibri"/>
          <w:color w:val="000000"/>
          <w:sz w:val="22"/>
          <w:szCs w:val="22"/>
        </w:rPr>
        <w:t>The costs required to work in a T+1 environment relating to technological and operational changes were mainly noted by members to be increased vendor platforms usage, internal infrastructure upgrade and workforce expansion. These costs were noted by members to be on-going costs as these costs would evolve as market changes or new regulation is adopted. It is key to note that the development or implementation cost would differ depending on the size of the firm.</w:t>
      </w:r>
      <w:r>
        <w:rPr>
          <w:rStyle w:val="eop"/>
          <w:rFonts w:ascii="Calibri" w:eastAsiaTheme="majorEastAsia" w:hAnsi="Calibri" w:cs="Calibri"/>
          <w:color w:val="000000"/>
          <w:sz w:val="22"/>
          <w:szCs w:val="22"/>
        </w:rPr>
        <w:t> </w:t>
      </w:r>
    </w:p>
    <w:p w14:paraId="6DFCC7A6"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Vendor platform usage</w:t>
      </w:r>
      <w:r>
        <w:rPr>
          <w:rStyle w:val="eop"/>
          <w:rFonts w:ascii="Calibri" w:eastAsiaTheme="majorEastAsia" w:hAnsi="Calibri" w:cs="Calibri"/>
          <w:color w:val="000000"/>
          <w:sz w:val="22"/>
          <w:szCs w:val="22"/>
        </w:rPr>
        <w:t> </w:t>
      </w:r>
    </w:p>
    <w:p w14:paraId="15841362"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standard and widescale adoption of vendor platforms may provide improved automation of recall and loan return process as well as scalable pre-notification of sale processes. This allows SLB market participants to improve the overall automation levels across certain lifecycle events (e.g., loan close).</w:t>
      </w:r>
      <w:r>
        <w:rPr>
          <w:rStyle w:val="eop"/>
          <w:rFonts w:ascii="Calibri" w:eastAsiaTheme="majorEastAsia" w:hAnsi="Calibri" w:cs="Calibri"/>
          <w:sz w:val="22"/>
          <w:szCs w:val="22"/>
        </w:rPr>
        <w:t> </w:t>
      </w:r>
    </w:p>
    <w:p w14:paraId="06E8559F"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below bullets detail the high-level adoption of vendor platforms’ automation solutions: </w:t>
      </w:r>
      <w:r>
        <w:rPr>
          <w:rStyle w:val="eop"/>
          <w:rFonts w:ascii="Calibri" w:eastAsiaTheme="majorEastAsia" w:hAnsi="Calibri" w:cs="Calibri"/>
          <w:sz w:val="22"/>
          <w:szCs w:val="22"/>
        </w:rPr>
        <w:t> </w:t>
      </w:r>
    </w:p>
    <w:p w14:paraId="1A295F06" w14:textId="77777777" w:rsidR="00BB4315" w:rsidRDefault="00BB4315" w:rsidP="00BB4315">
      <w:pPr>
        <w:pStyle w:val="paragraph"/>
        <w:numPr>
          <w:ilvl w:val="0"/>
          <w:numId w:val="4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Less than 50% of the SLB community use vendor provided returns functionality. Adoption of automated return functionalities is mostly related to equity SLB with significantly less utilisation in relation to fixed income assets.</w:t>
      </w:r>
      <w:r>
        <w:rPr>
          <w:rStyle w:val="eop"/>
          <w:rFonts w:ascii="Calibri" w:eastAsiaTheme="majorEastAsia" w:hAnsi="Calibri" w:cs="Calibri"/>
          <w:sz w:val="22"/>
          <w:szCs w:val="22"/>
        </w:rPr>
        <w:t> </w:t>
      </w:r>
    </w:p>
    <w:p w14:paraId="402F2DBD" w14:textId="77777777" w:rsidR="00BB4315" w:rsidRDefault="00BB4315" w:rsidP="00BB4315">
      <w:pPr>
        <w:pStyle w:val="paragraph"/>
        <w:numPr>
          <w:ilvl w:val="0"/>
          <w:numId w:val="4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Less than 55% of the SLB community use the mark-to-markets functionality, this being the tracking of market value of loan versus collateral and the automation of </w:t>
      </w:r>
      <w:r>
        <w:rPr>
          <w:rStyle w:val="normaltextrun"/>
          <w:rFonts w:ascii="Calibri" w:eastAsiaTheme="majorEastAsia" w:hAnsi="Calibri" w:cs="Calibri"/>
          <w:sz w:val="22"/>
          <w:szCs w:val="22"/>
        </w:rPr>
        <w:lastRenderedPageBreak/>
        <w:t>associated payments/receipts. Similar to the return's functionality noted above, the mark-to-markets functionality also has a greater adoption in relation to equities.</w:t>
      </w:r>
      <w:r>
        <w:rPr>
          <w:rStyle w:val="eop"/>
          <w:rFonts w:ascii="Calibri" w:eastAsiaTheme="majorEastAsia" w:hAnsi="Calibri" w:cs="Calibri"/>
          <w:sz w:val="22"/>
          <w:szCs w:val="22"/>
        </w:rPr>
        <w:t> </w:t>
      </w:r>
    </w:p>
    <w:p w14:paraId="6CFA8D37" w14:textId="77777777" w:rsidR="00BB4315" w:rsidRDefault="00BB4315" w:rsidP="00BB4315">
      <w:pPr>
        <w:pStyle w:val="paragraph"/>
        <w:numPr>
          <w:ilvl w:val="0"/>
          <w:numId w:val="4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Less than 20% of the SLB community use the recall functionality. It is key to note that the recall functionality has high adoption rates for USA domestic securities and low adoption rates for international securities. We note from feedback that the adoption of recall functionality has been driven by the USA move to T+1, as such it is reasonable to conclude that uptake may be increase as the EU considers this topic.</w:t>
      </w:r>
      <w:r>
        <w:rPr>
          <w:rStyle w:val="eop"/>
          <w:rFonts w:ascii="Calibri" w:eastAsiaTheme="majorEastAsia" w:hAnsi="Calibri" w:cs="Calibri"/>
          <w:sz w:val="22"/>
          <w:szCs w:val="22"/>
        </w:rPr>
        <w:t> </w:t>
      </w:r>
    </w:p>
    <w:p w14:paraId="630863D9"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It is important to highlight from the above statistics that there is currently limited usage of returns and recall functionality on vendor platforms. Vendor platforms are helpful to allow the industry to operate in a standard and normalised way. </w:t>
      </w:r>
      <w:r>
        <w:rPr>
          <w:rStyle w:val="eop"/>
          <w:rFonts w:ascii="Calibri" w:eastAsiaTheme="majorEastAsia" w:hAnsi="Calibri" w:cs="Calibri"/>
          <w:sz w:val="22"/>
          <w:szCs w:val="22"/>
        </w:rPr>
        <w:t> </w:t>
      </w:r>
    </w:p>
    <w:p w14:paraId="53EB7930"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Our members have noted additional challenges related to the perceived increase in vendor platform usage within a T+1 environment:</w:t>
      </w:r>
      <w:r>
        <w:rPr>
          <w:rStyle w:val="eop"/>
          <w:rFonts w:ascii="Calibri" w:eastAsiaTheme="majorEastAsia" w:hAnsi="Calibri" w:cs="Calibri"/>
          <w:sz w:val="22"/>
          <w:szCs w:val="22"/>
        </w:rPr>
        <w:t> </w:t>
      </w:r>
    </w:p>
    <w:p w14:paraId="0B94FBDC" w14:textId="77777777" w:rsidR="00BB4315" w:rsidRDefault="00BB4315" w:rsidP="00BB4315">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sz w:val="22"/>
          <w:szCs w:val="22"/>
        </w:rPr>
        <w:t>i. Concerns regarding the current lack of interoperability between vendor platforms requiring firms to subscribe to multiple platforms, offering the same functionality, to access the full spectrum of their trading counterparts. We understand this increase costs, not just in the cost of subscription but also the bifurcation of resource, remediation and increased operating model complexity. </w:t>
      </w:r>
      <w:r>
        <w:rPr>
          <w:rStyle w:val="eop"/>
          <w:rFonts w:ascii="Calibri" w:eastAsiaTheme="majorEastAsia" w:hAnsi="Calibri" w:cs="Calibri"/>
          <w:sz w:val="22"/>
          <w:szCs w:val="22"/>
        </w:rPr>
        <w:t> </w:t>
      </w:r>
    </w:p>
    <w:p w14:paraId="6D8EDD18" w14:textId="77777777" w:rsidR="00BB4315" w:rsidRDefault="00BB4315" w:rsidP="00BB4315">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eastAsiaTheme="majorEastAsia" w:hAnsi="Calibri" w:cs="Calibri"/>
          <w:sz w:val="22"/>
          <w:szCs w:val="22"/>
        </w:rPr>
        <w:t xml:space="preserve">ii. The easy access to services may create interdependence and limited chance for internal innovation which </w:t>
      </w:r>
      <w:r>
        <w:rPr>
          <w:rStyle w:val="tabchar"/>
          <w:rFonts w:ascii="Calibri" w:hAnsi="Calibri" w:cs="Calibri"/>
          <w:sz w:val="22"/>
          <w:szCs w:val="22"/>
        </w:rPr>
        <w:tab/>
      </w:r>
      <w:r>
        <w:rPr>
          <w:rStyle w:val="normaltextrun"/>
          <w:rFonts w:ascii="Calibri" w:eastAsiaTheme="majorEastAsia" w:hAnsi="Calibri" w:cs="Calibri"/>
          <w:sz w:val="22"/>
          <w:szCs w:val="22"/>
        </w:rPr>
        <w:t>slows change.</w:t>
      </w:r>
      <w:r>
        <w:rPr>
          <w:rStyle w:val="eop"/>
          <w:rFonts w:ascii="Calibri" w:eastAsiaTheme="majorEastAsia" w:hAnsi="Calibri" w:cs="Calibri"/>
          <w:sz w:val="22"/>
          <w:szCs w:val="22"/>
        </w:rPr>
        <w:t> </w:t>
      </w:r>
    </w:p>
    <w:p w14:paraId="1CC4C813" w14:textId="77777777" w:rsidR="00BB4315" w:rsidRDefault="00BB4315" w:rsidP="00BB4315">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sz w:val="22"/>
          <w:szCs w:val="22"/>
        </w:rPr>
        <w:t>iii. The cost of implementing integration between the vendor platforms and internal infrastructure is for internal developments, however, it is an extension to using vendor platforms.  As well, the connectivity between vendor platforms and internal infrastructure requires ongoing reconciliation efforts leading to increased cost.</w:t>
      </w:r>
      <w:r>
        <w:rPr>
          <w:rStyle w:val="eop"/>
          <w:rFonts w:ascii="Calibri" w:eastAsiaTheme="majorEastAsia" w:hAnsi="Calibri" w:cs="Calibri"/>
          <w:sz w:val="22"/>
          <w:szCs w:val="22"/>
        </w:rPr>
        <w:t> </w:t>
      </w:r>
    </w:p>
    <w:p w14:paraId="443C392C"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We would like to note, in relation to the above points, the commitment of ISLA and our members to data standards, specifically in relation to the </w:t>
      </w:r>
      <w:hyperlink r:id="rId21" w:tgtFrame="_blank" w:history="1">
        <w:r>
          <w:rPr>
            <w:rStyle w:val="normaltextrun"/>
            <w:rFonts w:ascii="Calibri" w:eastAsiaTheme="majorEastAsia" w:hAnsi="Calibri" w:cs="Calibri"/>
            <w:color w:val="0563C1"/>
            <w:sz w:val="22"/>
            <w:szCs w:val="22"/>
            <w:u w:val="single"/>
          </w:rPr>
          <w:t>https://www.islaemea.org/common-domain-model/</w:t>
        </w:r>
      </w:hyperlink>
      <w:r>
        <w:rPr>
          <w:rStyle w:val="normaltextrun"/>
          <w:rFonts w:ascii="Calibri" w:eastAsiaTheme="majorEastAsia" w:hAnsi="Calibri" w:cs="Calibri"/>
          <w:sz w:val="22"/>
          <w:szCs w:val="22"/>
        </w:rPr>
        <w:t>. The aim of this work is to encode best practices, support greater interoperability and internal communications. We are aware of several firms adopting this coded best practice and look forward to increasing adoption across the SLB market.</w:t>
      </w:r>
      <w:r>
        <w:rPr>
          <w:rStyle w:val="eop"/>
          <w:rFonts w:ascii="Calibri" w:eastAsiaTheme="majorEastAsia" w:hAnsi="Calibri" w:cs="Calibri"/>
          <w:sz w:val="22"/>
          <w:szCs w:val="22"/>
        </w:rPr>
        <w:t> </w:t>
      </w:r>
    </w:p>
    <w:p w14:paraId="556A36A2"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sz w:val="22"/>
          <w:szCs w:val="22"/>
        </w:rPr>
        <w:t>Workforce expansion</w:t>
      </w:r>
      <w:r>
        <w:rPr>
          <w:rStyle w:val="eop"/>
          <w:rFonts w:ascii="Calibri" w:eastAsiaTheme="majorEastAsia" w:hAnsi="Calibri" w:cs="Calibri"/>
          <w:sz w:val="22"/>
          <w:szCs w:val="22"/>
        </w:rPr>
        <w:t> </w:t>
      </w:r>
    </w:p>
    <w:p w14:paraId="66BEC309"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Our members have stated that the first measure of operational change is not necessarily to expand the workforce but rather invest in automation. However, some firms are looking to broaden coverage in locations to support a follow-the-sun approach and workforce expansion is a consideration in this scenario. On this point, we note that 50% of our members are investigating an expansion of current workforce to support settlement efficiency and T+1 changes.</w:t>
      </w:r>
      <w:r>
        <w:rPr>
          <w:rStyle w:val="eop"/>
          <w:rFonts w:ascii="Calibri" w:eastAsiaTheme="majorEastAsia" w:hAnsi="Calibri" w:cs="Calibri"/>
          <w:sz w:val="22"/>
          <w:szCs w:val="22"/>
        </w:rPr>
        <w:t> </w:t>
      </w:r>
    </w:p>
    <w:p w14:paraId="3F4D1679"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42424"/>
          <w:sz w:val="22"/>
          <w:szCs w:val="22"/>
        </w:rPr>
        <w:t>As this question related to T+0, please refer to the joint association letter in Annex 1.</w:t>
      </w:r>
      <w:r>
        <w:rPr>
          <w:rStyle w:val="eop"/>
          <w:rFonts w:ascii="Calibri" w:eastAsiaTheme="majorEastAsia" w:hAnsi="Calibri" w:cs="Calibri"/>
          <w:color w:val="242424"/>
          <w:sz w:val="22"/>
          <w:szCs w:val="22"/>
        </w:rPr>
        <w:t> </w:t>
      </w:r>
    </w:p>
    <w:permEnd w:id="1238857977"/>
    <w:p w14:paraId="39592726" w14:textId="77777777" w:rsidR="00C5469A" w:rsidRDefault="00C5469A" w:rsidP="00C5469A">
      <w:r>
        <w:t>&lt;ESMA_QUESTION_SETT_5&gt;</w:t>
      </w:r>
    </w:p>
    <w:p w14:paraId="2C3FAB8E" w14:textId="77777777" w:rsidR="00C5469A" w:rsidRDefault="00C5469A" w:rsidP="00C5469A"/>
    <w:p w14:paraId="21A53CC1" w14:textId="77777777" w:rsidR="00C5469A" w:rsidRDefault="00C5469A" w:rsidP="00C5469A">
      <w:pPr>
        <w:pStyle w:val="Questionstyle"/>
        <w:numPr>
          <w:ilvl w:val="0"/>
          <w:numId w:val="14"/>
        </w:numPr>
      </w:pPr>
      <w:r>
        <w:t>: In your view, by how much would settlement fails increase if T+1 would be required in the short, medium and long term? What about T+0? Please provide estimates where possible.</w:t>
      </w:r>
    </w:p>
    <w:p w14:paraId="5B188D9B" w14:textId="77777777" w:rsidR="00C5469A" w:rsidRDefault="00C5469A" w:rsidP="00C5469A">
      <w:r>
        <w:t>&lt;ESMA_QUESTION_SETT_6&gt;</w:t>
      </w:r>
    </w:p>
    <w:p w14:paraId="62809B0A"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permStart w:id="367399486" w:edGrp="everyone"/>
      <w:r>
        <w:rPr>
          <w:rStyle w:val="normaltextrun"/>
          <w:rFonts w:ascii="Calibri" w:eastAsiaTheme="majorEastAsia" w:hAnsi="Calibri" w:cs="Calibri"/>
          <w:sz w:val="22"/>
          <w:szCs w:val="22"/>
        </w:rPr>
        <w:lastRenderedPageBreak/>
        <w:t>Data collected from ISLA members to illustrate the extent to which settlement fails may increase for SLB activity in a T+1 environment.</w:t>
      </w:r>
      <w:r>
        <w:rPr>
          <w:rStyle w:val="eop"/>
          <w:rFonts w:ascii="Calibri" w:eastAsiaTheme="majorEastAsia" w:hAnsi="Calibri" w:cs="Calibri"/>
          <w:sz w:val="22"/>
          <w:szCs w:val="22"/>
        </w:rPr>
        <w:t> </w:t>
      </w:r>
    </w:p>
    <w:p w14:paraId="7AC8BF19" w14:textId="77777777" w:rsidR="00BB4315" w:rsidRDefault="00BB4315" w:rsidP="00BB4315">
      <w:pPr>
        <w:pStyle w:val="paragraph"/>
        <w:numPr>
          <w:ilvl w:val="0"/>
          <w:numId w:val="4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Data request 1: “How much of your new loan activity occur on T0, T1 and T2 today respectively?” This data point was requested to understand how much of the new loan activity would need to take place the previous day to operate in a T+1 settlement cycle.</w:t>
      </w:r>
      <w:r>
        <w:rPr>
          <w:rStyle w:val="eop"/>
          <w:rFonts w:ascii="Calibri" w:eastAsiaTheme="majorEastAsia" w:hAnsi="Calibri" w:cs="Calibri"/>
          <w:sz w:val="22"/>
          <w:szCs w:val="22"/>
        </w:rPr>
        <w:t> </w:t>
      </w:r>
    </w:p>
    <w:p w14:paraId="02581494" w14:textId="77777777" w:rsidR="00BB4315" w:rsidRDefault="00BB4315" w:rsidP="00BB4315">
      <w:pPr>
        <w:pStyle w:val="paragraph"/>
        <w:numPr>
          <w:ilvl w:val="0"/>
          <w:numId w:val="44"/>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Data response noted that approximately </w:t>
      </w:r>
      <w:r>
        <w:rPr>
          <w:rStyle w:val="normaltextrun"/>
          <w:rFonts w:ascii="Calibri" w:eastAsiaTheme="majorEastAsia" w:hAnsi="Calibri" w:cs="Calibri"/>
          <w:b/>
          <w:bCs/>
          <w:sz w:val="22"/>
          <w:szCs w:val="22"/>
        </w:rPr>
        <w:t xml:space="preserve">27% </w:t>
      </w:r>
      <w:r>
        <w:rPr>
          <w:rStyle w:val="normaltextrun"/>
          <w:rFonts w:ascii="Calibri" w:eastAsiaTheme="majorEastAsia" w:hAnsi="Calibri" w:cs="Calibri"/>
          <w:sz w:val="22"/>
          <w:szCs w:val="22"/>
        </w:rPr>
        <w:t xml:space="preserve">of </w:t>
      </w:r>
      <w:r>
        <w:rPr>
          <w:rStyle w:val="normaltextrun"/>
          <w:rFonts w:ascii="Calibri" w:eastAsiaTheme="majorEastAsia" w:hAnsi="Calibri" w:cs="Calibri"/>
          <w:b/>
          <w:bCs/>
          <w:sz w:val="22"/>
          <w:szCs w:val="22"/>
        </w:rPr>
        <w:t xml:space="preserve">new loan activity occurs on T+0 </w:t>
      </w:r>
      <w:r>
        <w:rPr>
          <w:rStyle w:val="normaltextrun"/>
          <w:rFonts w:ascii="Calibri" w:eastAsiaTheme="majorEastAsia" w:hAnsi="Calibri" w:cs="Calibri"/>
          <w:sz w:val="22"/>
          <w:szCs w:val="22"/>
        </w:rPr>
        <w:t xml:space="preserve">and </w:t>
      </w:r>
      <w:r>
        <w:rPr>
          <w:rStyle w:val="normaltextrun"/>
          <w:rFonts w:ascii="Calibri" w:eastAsiaTheme="majorEastAsia" w:hAnsi="Calibri" w:cs="Calibri"/>
          <w:b/>
          <w:bCs/>
          <w:sz w:val="22"/>
          <w:szCs w:val="22"/>
        </w:rPr>
        <w:t xml:space="preserve">69% </w:t>
      </w:r>
      <w:r>
        <w:rPr>
          <w:rStyle w:val="normaltextrun"/>
          <w:rFonts w:ascii="Calibri" w:eastAsiaTheme="majorEastAsia" w:hAnsi="Calibri" w:cs="Calibri"/>
          <w:sz w:val="22"/>
          <w:szCs w:val="22"/>
        </w:rPr>
        <w:t xml:space="preserve">of </w:t>
      </w:r>
      <w:r>
        <w:rPr>
          <w:rStyle w:val="normaltextrun"/>
          <w:rFonts w:ascii="Calibri" w:eastAsiaTheme="majorEastAsia" w:hAnsi="Calibri" w:cs="Calibri"/>
          <w:b/>
          <w:bCs/>
          <w:sz w:val="22"/>
          <w:szCs w:val="22"/>
        </w:rPr>
        <w:t>new loan activity occurs on T+1</w:t>
      </w:r>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081A13DD"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B78AB33" w14:textId="77777777" w:rsidR="00BB4315" w:rsidRDefault="00BB4315" w:rsidP="00BB4315">
      <w:pPr>
        <w:pStyle w:val="paragraph"/>
        <w:numPr>
          <w:ilvl w:val="0"/>
          <w:numId w:val="4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Data request 2: “Based on current market cut off, % of sales that are received late”. This data point was requested to understand the percentage of sale notifications that are received late in a T+2 settlement cycle. The definition of late notification is challenging because there are no regulations or best market practice as to when sale notifications are sent by.</w:t>
      </w:r>
      <w:r>
        <w:rPr>
          <w:rStyle w:val="eop"/>
          <w:rFonts w:ascii="Calibri" w:eastAsiaTheme="majorEastAsia" w:hAnsi="Calibri" w:cs="Calibri"/>
          <w:sz w:val="22"/>
          <w:szCs w:val="22"/>
        </w:rPr>
        <w:t> </w:t>
      </w:r>
    </w:p>
    <w:p w14:paraId="0F4CB0EB" w14:textId="77777777" w:rsidR="00BB4315" w:rsidRDefault="00BB4315" w:rsidP="00BB4315">
      <w:pPr>
        <w:pStyle w:val="paragraph"/>
        <w:numPr>
          <w:ilvl w:val="0"/>
          <w:numId w:val="46"/>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Data response noted that approximately </w:t>
      </w:r>
      <w:r>
        <w:rPr>
          <w:rStyle w:val="normaltextrun"/>
          <w:rFonts w:ascii="Calibri" w:eastAsiaTheme="majorEastAsia" w:hAnsi="Calibri" w:cs="Calibri"/>
          <w:b/>
          <w:bCs/>
          <w:sz w:val="22"/>
          <w:szCs w:val="22"/>
        </w:rPr>
        <w:t>33%</w:t>
      </w:r>
      <w:r>
        <w:rPr>
          <w:rStyle w:val="normaltextrun"/>
          <w:rFonts w:ascii="Calibri" w:eastAsiaTheme="majorEastAsia" w:hAnsi="Calibri" w:cs="Calibri"/>
          <w:sz w:val="22"/>
          <w:szCs w:val="22"/>
        </w:rPr>
        <w:t xml:space="preserve"> of sales are received late.</w:t>
      </w:r>
      <w:r>
        <w:rPr>
          <w:rStyle w:val="eop"/>
          <w:rFonts w:ascii="Calibri" w:eastAsiaTheme="majorEastAsia" w:hAnsi="Calibri" w:cs="Calibri"/>
          <w:sz w:val="22"/>
          <w:szCs w:val="22"/>
        </w:rPr>
        <w:t> </w:t>
      </w:r>
    </w:p>
    <w:p w14:paraId="0C2BD335"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85255B3" w14:textId="77777777" w:rsidR="00BB4315" w:rsidRDefault="00BB4315" w:rsidP="00BB4315">
      <w:pPr>
        <w:pStyle w:val="paragraph"/>
        <w:numPr>
          <w:ilvl w:val="0"/>
          <w:numId w:val="4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Data request 3: “For EU markets, % of transactions that have Borrower pre-collateralization before settlement”. The data point was requested to understand whether the reason for settlement fails may be related to late collateral receipts for new loans.</w:t>
      </w:r>
      <w:r>
        <w:rPr>
          <w:rStyle w:val="eop"/>
          <w:rFonts w:ascii="Calibri" w:eastAsiaTheme="majorEastAsia" w:hAnsi="Calibri" w:cs="Calibri"/>
          <w:sz w:val="22"/>
          <w:szCs w:val="22"/>
        </w:rPr>
        <w:t> </w:t>
      </w:r>
    </w:p>
    <w:p w14:paraId="59AE6567" w14:textId="77777777" w:rsidR="00BB4315" w:rsidRDefault="00BB4315" w:rsidP="00BB4315">
      <w:pPr>
        <w:pStyle w:val="paragraph"/>
        <w:numPr>
          <w:ilvl w:val="0"/>
          <w:numId w:val="48"/>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Data response noted that </w:t>
      </w:r>
      <w:r>
        <w:rPr>
          <w:rStyle w:val="normaltextrun"/>
          <w:rFonts w:ascii="Calibri" w:eastAsiaTheme="majorEastAsia" w:hAnsi="Calibri" w:cs="Calibri"/>
          <w:b/>
          <w:bCs/>
          <w:sz w:val="22"/>
          <w:szCs w:val="22"/>
        </w:rPr>
        <w:t xml:space="preserve">100% </w:t>
      </w:r>
      <w:r>
        <w:rPr>
          <w:rStyle w:val="normaltextrun"/>
          <w:rFonts w:ascii="Calibri" w:eastAsiaTheme="majorEastAsia" w:hAnsi="Calibri" w:cs="Calibri"/>
          <w:sz w:val="22"/>
          <w:szCs w:val="22"/>
        </w:rPr>
        <w:t>of new loans are pre-collateralized as loans would not be released without collateral.</w:t>
      </w:r>
      <w:r>
        <w:rPr>
          <w:rStyle w:val="eop"/>
          <w:rFonts w:ascii="Calibri" w:eastAsiaTheme="majorEastAsia" w:hAnsi="Calibri" w:cs="Calibri"/>
          <w:sz w:val="22"/>
          <w:szCs w:val="22"/>
        </w:rPr>
        <w:t> </w:t>
      </w:r>
    </w:p>
    <w:p w14:paraId="12751529"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0B97939"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In the short term, there may be an increase in settlement fails until the market adapts to the “new routine”. As noted in the in the data request 1, most new loan activity occurs on or before T+1. In polling our members, their response was that 27% occur within T+0 and 69% on T+1.  However, it is key to note that SLB activity may be required to occur before the cash market settles. Therefore, the lending and borrowing activity may need to operate on a T+0 settlement cycle for the cash market to meet the T+1 settlement cycle deadline. In this specific example, the cash market has used the SLB market to borrow a security to settle. This would mean that the 69% of the new loan activity that occurs on T+1 would need to shift to T+0.</w:t>
      </w:r>
      <w:r>
        <w:rPr>
          <w:rStyle w:val="eop"/>
          <w:rFonts w:ascii="Calibri" w:eastAsiaTheme="majorEastAsia" w:hAnsi="Calibri" w:cs="Calibri"/>
          <w:sz w:val="22"/>
          <w:szCs w:val="22"/>
        </w:rPr>
        <w:t> </w:t>
      </w:r>
    </w:p>
    <w:p w14:paraId="566C4371"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In addition, T+1 settlement cycle significantly reduces the ability to complete pre-settlement activities. Currently, some members perform pre-matching on T+0 (Settlement Date –1) from 11AM to 6PM with a further window on Settlement Date from 8AM to 3PM. However, this pre-matching window would be reduced to a time frame of 11AM to 3PM on T+0. Pre-matching may not be feasible in all instances, leading to increased unmatched trades and settlement fails.</w:t>
      </w:r>
      <w:r>
        <w:rPr>
          <w:rStyle w:val="eop"/>
          <w:rFonts w:ascii="Calibri" w:eastAsiaTheme="majorEastAsia" w:hAnsi="Calibri" w:cs="Calibri"/>
          <w:sz w:val="22"/>
          <w:szCs w:val="22"/>
        </w:rPr>
        <w:t> </w:t>
      </w:r>
    </w:p>
    <w:p w14:paraId="126427AF"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above circumstance could mean securities lending and borrowing (SLB) may experience a higher settlement fail percentage initially than other transaction types and processes.</w:t>
      </w:r>
      <w:r>
        <w:rPr>
          <w:rStyle w:val="eop"/>
          <w:rFonts w:ascii="Calibri" w:eastAsiaTheme="majorEastAsia" w:hAnsi="Calibri" w:cs="Calibri"/>
          <w:sz w:val="22"/>
          <w:szCs w:val="22"/>
        </w:rPr>
        <w:t> </w:t>
      </w:r>
    </w:p>
    <w:p w14:paraId="2753320D"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Dependent on the SLB market segments’ investment in technology solutions, it may be anticipated that a small decrease in settlement fails in the medium term. Similar to when CSDR cash penalties were adopted, improvements of settlement efficiency may be expected. Then in the long term, settlement fails may regulate with some fails existing.</w:t>
      </w:r>
      <w:r>
        <w:rPr>
          <w:rStyle w:val="eop"/>
          <w:rFonts w:ascii="Calibri" w:eastAsiaTheme="majorEastAsia" w:hAnsi="Calibri" w:cs="Calibri"/>
          <w:sz w:val="22"/>
          <w:szCs w:val="22"/>
        </w:rPr>
        <w:t> </w:t>
      </w:r>
    </w:p>
    <w:p w14:paraId="3DB3EF85" w14:textId="77777777" w:rsidR="00BB4315" w:rsidRDefault="00BB4315" w:rsidP="00BB431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42424"/>
          <w:sz w:val="22"/>
          <w:szCs w:val="22"/>
        </w:rPr>
        <w:t>As this question related to T+0, please refer to the joint association letter in Annex 1.</w:t>
      </w:r>
    </w:p>
    <w:permEnd w:id="367399486"/>
    <w:p w14:paraId="2CF84BCC" w14:textId="77777777" w:rsidR="00C5469A" w:rsidRDefault="00C5469A" w:rsidP="00C5469A">
      <w:r>
        <w:t>&lt;ESMA_QUESTION_SETT_6&gt;</w:t>
      </w:r>
    </w:p>
    <w:p w14:paraId="4C80899B" w14:textId="77777777" w:rsidR="00C5469A" w:rsidRDefault="00C5469A" w:rsidP="00C5469A"/>
    <w:p w14:paraId="7A2BD77F" w14:textId="77777777" w:rsidR="00C5469A" w:rsidRDefault="00C5469A" w:rsidP="00C5469A">
      <w:pPr>
        <w:pStyle w:val="Questionstyle"/>
        <w:numPr>
          <w:ilvl w:val="0"/>
          <w:numId w:val="14"/>
        </w:numPr>
      </w:pPr>
      <w:r>
        <w:t>: In your opinion, would the increase in settlement fails/cash penalties remain permanent or would you expect settlement efficiency to come back to higher rates with time? Please elaborate.</w:t>
      </w:r>
    </w:p>
    <w:p w14:paraId="7EF71B51" w14:textId="77777777" w:rsidR="00C5469A" w:rsidRDefault="00C5469A" w:rsidP="00C5469A">
      <w:r>
        <w:t>&lt;ESMA_QUESTION_SETT_7&gt;</w:t>
      </w:r>
    </w:p>
    <w:p w14:paraId="1D744077"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permStart w:id="1217420632" w:edGrp="everyone"/>
      <w:r>
        <w:rPr>
          <w:rStyle w:val="normaltextrun"/>
          <w:rFonts w:ascii="Calibri" w:eastAsiaTheme="majorEastAsia" w:hAnsi="Calibri" w:cs="Calibri"/>
          <w:sz w:val="22"/>
          <w:szCs w:val="22"/>
        </w:rPr>
        <w:t>In continuation of Question 6, the increase in settlement fails may be anticipated in a T+1 environment and could be anticipated in the long-term dependent on market participants’ preparation to operate in a shorter settlement cycle. It is important to note that transactions in equities and debt involve two parties (the buyer and the seller). Therefore, it is conceivable that an unprepared market participant could negatively impact the settlement efficiency of their counterparty.</w:t>
      </w:r>
      <w:r>
        <w:rPr>
          <w:rStyle w:val="eop"/>
          <w:rFonts w:ascii="Calibri" w:eastAsiaTheme="majorEastAsia" w:hAnsi="Calibri" w:cs="Calibri"/>
          <w:sz w:val="22"/>
          <w:szCs w:val="22"/>
        </w:rPr>
        <w:t> </w:t>
      </w:r>
    </w:p>
    <w:p w14:paraId="0FD9DF90" w14:textId="28C8BA53"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ISLA members noted initial increase in settlement failures may not be permanent, but concerns remain on the duration of any rise. This higher rate of settlement failures may be observable in the U.S., </w:t>
      </w:r>
      <w:r w:rsidR="00D94F01">
        <w:rPr>
          <w:rStyle w:val="normaltextrun"/>
          <w:rFonts w:ascii="Calibri" w:eastAsiaTheme="majorEastAsia" w:hAnsi="Calibri" w:cs="Calibri"/>
          <w:sz w:val="22"/>
          <w:szCs w:val="22"/>
        </w:rPr>
        <w:t>Canada,</w:t>
      </w:r>
      <w:r>
        <w:rPr>
          <w:rStyle w:val="normaltextrun"/>
          <w:rFonts w:ascii="Calibri" w:eastAsiaTheme="majorEastAsia" w:hAnsi="Calibri" w:cs="Calibri"/>
          <w:sz w:val="22"/>
          <w:szCs w:val="22"/>
        </w:rPr>
        <w:t xml:space="preserve"> </w:t>
      </w:r>
      <w:r w:rsidR="001E4166">
        <w:rPr>
          <w:rStyle w:val="normaltextrun"/>
          <w:rFonts w:ascii="Calibri" w:eastAsiaTheme="majorEastAsia" w:hAnsi="Calibri" w:cs="Calibri"/>
          <w:sz w:val="22"/>
          <w:szCs w:val="22"/>
        </w:rPr>
        <w:t>and</w:t>
      </w:r>
      <w:r>
        <w:rPr>
          <w:rStyle w:val="normaltextrun"/>
          <w:rFonts w:ascii="Calibri" w:eastAsiaTheme="majorEastAsia" w:hAnsi="Calibri" w:cs="Calibri"/>
          <w:sz w:val="22"/>
          <w:szCs w:val="22"/>
        </w:rPr>
        <w:t xml:space="preserve"> Mexico, after their move to T+1 in 2024 (please also see further points on this matter in the response to Question 25).</w:t>
      </w:r>
    </w:p>
    <w:permEnd w:id="1217420632"/>
    <w:p w14:paraId="747144F4" w14:textId="77777777" w:rsidR="00C5469A" w:rsidRDefault="00C5469A" w:rsidP="00C5469A">
      <w:r>
        <w:t>&lt;ESMA_QUESTION_SETT_7&gt;</w:t>
      </w:r>
    </w:p>
    <w:p w14:paraId="386F3E7A" w14:textId="23022D63" w:rsidR="00C5469A" w:rsidRDefault="00C5469A" w:rsidP="00C5469A"/>
    <w:p w14:paraId="2593F09B" w14:textId="77777777" w:rsidR="00C5469A" w:rsidRDefault="00C5469A" w:rsidP="00C5469A"/>
    <w:p w14:paraId="1EBC8F49" w14:textId="77777777" w:rsidR="00C5469A" w:rsidRDefault="00C5469A" w:rsidP="00C5469A">
      <w:pPr>
        <w:pStyle w:val="Questionstyle"/>
        <w:numPr>
          <w:ilvl w:val="0"/>
          <w:numId w:val="14"/>
        </w:numPr>
        <w:ind w:left="0"/>
      </w:pPr>
      <w:r>
        <w:t>: Is there any other cost (in particular those resulting from potential impacts to trading identified in the previous section) that ESMA should take into consideration? If yes, please describe the type of cost and provide estimates.</w:t>
      </w:r>
    </w:p>
    <w:p w14:paraId="42D1A981" w14:textId="77777777" w:rsidR="00C5469A" w:rsidRDefault="00C5469A" w:rsidP="00C5469A">
      <w:r>
        <w:t>&lt;ESMA_QUESTION_SETT_8&gt;</w:t>
      </w:r>
    </w:p>
    <w:p w14:paraId="78CE2F4E" w14:textId="77777777" w:rsidR="00647D97" w:rsidRDefault="00647D97" w:rsidP="00647D97">
      <w:pPr>
        <w:pStyle w:val="paragraph"/>
        <w:spacing w:before="0" w:beforeAutospacing="0" w:after="0" w:afterAutospacing="0"/>
        <w:textAlignment w:val="baseline"/>
        <w:rPr>
          <w:rFonts w:ascii="Calibri" w:hAnsi="Calibri" w:cs="Calibri"/>
          <w:sz w:val="22"/>
          <w:szCs w:val="22"/>
        </w:rPr>
      </w:pPr>
      <w:permStart w:id="736563321" w:edGrp="everyone"/>
      <w:r>
        <w:rPr>
          <w:rStyle w:val="normaltextrun"/>
          <w:rFonts w:ascii="Calibri" w:eastAsiaTheme="majorEastAsia" w:hAnsi="Calibri" w:cs="Calibri"/>
          <w:sz w:val="22"/>
          <w:szCs w:val="22"/>
        </w:rPr>
        <w:t>In continuation of Question 5, many firms believe T+1 related development costs will predominantly relate to increased vendor platform usage, internal infrastructure upgrade and workforce expansion. </w:t>
      </w:r>
      <w:r>
        <w:rPr>
          <w:rStyle w:val="eop"/>
          <w:rFonts w:ascii="Calibri" w:eastAsiaTheme="majorEastAsia" w:hAnsi="Calibri" w:cs="Calibri"/>
          <w:sz w:val="22"/>
          <w:szCs w:val="22"/>
        </w:rPr>
        <w:t> </w:t>
      </w:r>
    </w:p>
    <w:p w14:paraId="18F9C663" w14:textId="77777777" w:rsidR="00647D97" w:rsidRDefault="00647D97" w:rsidP="00647D97">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Firms with a global presence may adopt T+1 functionality in EMEA as a result of their upgrade from the U.S. move, including equivalent use of vendor platforms (e.g., services relating to recalls). As such, the implementation costs may not be specifically associated with any accelerated settlement action within the EU.</w:t>
      </w:r>
      <w:r>
        <w:rPr>
          <w:rStyle w:val="eop"/>
          <w:rFonts w:ascii="Calibri" w:eastAsiaTheme="majorEastAsia" w:hAnsi="Calibri" w:cs="Calibri"/>
          <w:sz w:val="22"/>
          <w:szCs w:val="22"/>
        </w:rPr>
        <w:t> </w:t>
      </w:r>
    </w:p>
    <w:p w14:paraId="413C91F7" w14:textId="77777777" w:rsidR="00647D97" w:rsidRDefault="00647D97" w:rsidP="00647D97">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Other costs should be taken into consideration, such as:</w:t>
      </w:r>
      <w:r>
        <w:rPr>
          <w:rStyle w:val="eop"/>
          <w:rFonts w:ascii="Calibri" w:eastAsiaTheme="majorEastAsia" w:hAnsi="Calibri" w:cs="Calibri"/>
          <w:sz w:val="22"/>
          <w:szCs w:val="22"/>
        </w:rPr>
        <w:t> </w:t>
      </w:r>
    </w:p>
    <w:p w14:paraId="4BB88DF1" w14:textId="77777777" w:rsidR="00647D97" w:rsidRDefault="00647D97" w:rsidP="00647D97">
      <w:pPr>
        <w:pStyle w:val="paragraph"/>
        <w:numPr>
          <w:ilvl w:val="0"/>
          <w:numId w:val="4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For firms to adapt to T+1 settlement, it is important to note that all dependencies must be addressed, including a firm’s clients, which introduces costs associated with client outreach.</w:t>
      </w:r>
      <w:r>
        <w:rPr>
          <w:rStyle w:val="eop"/>
          <w:rFonts w:ascii="Calibri" w:eastAsiaTheme="majorEastAsia" w:hAnsi="Calibri" w:cs="Calibri"/>
          <w:sz w:val="22"/>
          <w:szCs w:val="22"/>
        </w:rPr>
        <w:t> </w:t>
      </w:r>
    </w:p>
    <w:p w14:paraId="022A2EE5" w14:textId="77777777" w:rsidR="00647D97" w:rsidRDefault="00647D97" w:rsidP="00647D97">
      <w:pPr>
        <w:pStyle w:val="paragraph"/>
        <w:numPr>
          <w:ilvl w:val="0"/>
          <w:numId w:val="50"/>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Any legal documentation between firms that specifies timing of sale notifications, cut-off or trading times will need to be updated. This been noted by U.S. firms as a major undertaking. </w:t>
      </w:r>
      <w:r>
        <w:rPr>
          <w:rStyle w:val="eop"/>
          <w:rFonts w:ascii="Calibri" w:eastAsiaTheme="majorEastAsia" w:hAnsi="Calibri" w:cs="Calibri"/>
          <w:sz w:val="22"/>
          <w:szCs w:val="22"/>
        </w:rPr>
        <w:t> </w:t>
      </w:r>
    </w:p>
    <w:p w14:paraId="2755C097" w14:textId="77777777" w:rsidR="00647D97" w:rsidRDefault="00647D97" w:rsidP="00647D97">
      <w:pPr>
        <w:pStyle w:val="paragraph"/>
        <w:numPr>
          <w:ilvl w:val="0"/>
          <w:numId w:val="5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lastRenderedPageBreak/>
        <w:t>When considering longer term impacts, technology solutions will need to evolve further through the adoption of Distributed Ledger Technologies (DLT). As of 2023, we understand that many firms are undertaking proof-of-concept work in this area, and we note that there are multiple small use-case projects that provide benefit from this technology. However, for DLT to provide real industry-wide benefits, there must be wide-scale adoption throughout the entire pre- and post-trade arena, including CSDs, custody networks, legal and reference data sources.</w:t>
      </w:r>
      <w:r>
        <w:rPr>
          <w:rStyle w:val="eop"/>
          <w:rFonts w:ascii="Calibri" w:eastAsiaTheme="majorEastAsia" w:hAnsi="Calibri" w:cs="Calibri"/>
          <w:sz w:val="22"/>
          <w:szCs w:val="22"/>
        </w:rPr>
        <w:t> </w:t>
      </w:r>
    </w:p>
    <w:permEnd w:id="736563321"/>
    <w:p w14:paraId="120F8916" w14:textId="77777777" w:rsidR="00C5469A" w:rsidRDefault="00C5469A" w:rsidP="00C5469A">
      <w:r>
        <w:t>&lt;ESMA_QUESTION_SETT_8&gt;</w:t>
      </w:r>
    </w:p>
    <w:p w14:paraId="790AC8AA" w14:textId="77777777" w:rsidR="00C5469A" w:rsidRDefault="00C5469A" w:rsidP="00C5469A"/>
    <w:p w14:paraId="2DC10864" w14:textId="77777777" w:rsidR="00C5469A" w:rsidRDefault="00C5469A" w:rsidP="00C5469A">
      <w:pPr>
        <w:pStyle w:val="Questionstyle"/>
        <w:numPr>
          <w:ilvl w:val="0"/>
          <w:numId w:val="14"/>
        </w:numPr>
        <w:ind w:left="0"/>
      </w:pPr>
      <w:r>
        <w:t>: Do you agree with the mentioned benefits? Are there other benefits that should be accounted for in the assessment of an eventual shortening of the securities settlement cycle?</w:t>
      </w:r>
    </w:p>
    <w:p w14:paraId="616BC043" w14:textId="77777777" w:rsidR="00C5469A" w:rsidRDefault="00C5469A" w:rsidP="00C5469A">
      <w:r>
        <w:t>&lt;ESMA_QUESTION_SETT_9&gt;</w:t>
      </w:r>
    </w:p>
    <w:p w14:paraId="332DC9B9"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permStart w:id="1982556193" w:edGrp="everyone"/>
      <w:r>
        <w:rPr>
          <w:rStyle w:val="normaltextrun"/>
          <w:rFonts w:ascii="Calibri" w:eastAsiaTheme="majorEastAsia" w:hAnsi="Calibri" w:cs="Calibri"/>
          <w:sz w:val="22"/>
          <w:szCs w:val="22"/>
        </w:rPr>
        <w:t>The benefits mentioned in question 9 have been generally accepted by our members with a few exceptions:</w:t>
      </w:r>
      <w:r>
        <w:rPr>
          <w:rStyle w:val="eop"/>
          <w:rFonts w:ascii="Calibri" w:eastAsiaTheme="majorEastAsia" w:hAnsi="Calibri" w:cs="Calibri"/>
          <w:sz w:val="22"/>
          <w:szCs w:val="22"/>
        </w:rPr>
        <w:t> </w:t>
      </w:r>
    </w:p>
    <w:p w14:paraId="7EA09379" w14:textId="77777777" w:rsidR="00647D97" w:rsidRDefault="00647D97" w:rsidP="00647D97">
      <w:pPr>
        <w:pStyle w:val="paragraph"/>
        <w:numPr>
          <w:ilvl w:val="0"/>
          <w:numId w:val="5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It is not anticipated that there would be a reduction in collateral requirement as SLB is a secured market requiring full collateralisation for the duration of any loan. Indeed, with the T+1 settlement cycle creating more demand to improve settlement efficiency in other markets, there will be an increase in overall collateral requirements associated with that larger SLB volume. </w:t>
      </w:r>
      <w:r>
        <w:rPr>
          <w:rStyle w:val="eop"/>
          <w:rFonts w:ascii="Calibri" w:eastAsiaTheme="majorEastAsia" w:hAnsi="Calibri" w:cs="Calibri"/>
          <w:sz w:val="22"/>
          <w:szCs w:val="22"/>
        </w:rPr>
        <w:t> </w:t>
      </w:r>
    </w:p>
    <w:p w14:paraId="71467DEB"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In considering your question, ISLA members believe any potential reduced collateral requirement may be associated with posting gross initial margin (IM) to a CCP (central counterparty) which includes a horizon timeline. This calculation, if over less days, could be assumed to reduce the collateral requirement.</w:t>
      </w:r>
      <w:r>
        <w:rPr>
          <w:rStyle w:val="eop"/>
          <w:rFonts w:ascii="Calibri" w:eastAsiaTheme="majorEastAsia" w:hAnsi="Calibri" w:cs="Calibri"/>
          <w:sz w:val="22"/>
          <w:szCs w:val="22"/>
        </w:rPr>
        <w:t> </w:t>
      </w:r>
    </w:p>
    <w:permEnd w:id="1982556193"/>
    <w:p w14:paraId="279B3093" w14:textId="77777777" w:rsidR="00C5469A" w:rsidRDefault="00C5469A" w:rsidP="00C5469A">
      <w:r>
        <w:t>&lt;ESMA_QUESTION_SETT_9&gt;</w:t>
      </w:r>
    </w:p>
    <w:p w14:paraId="07A35032" w14:textId="77777777" w:rsidR="00C5469A" w:rsidRDefault="00C5469A" w:rsidP="00C5469A"/>
    <w:p w14:paraId="1F484B02" w14:textId="70286B38" w:rsidR="00C5469A" w:rsidRDefault="00C5469A" w:rsidP="00C5469A">
      <w:pPr>
        <w:pStyle w:val="Questionstyle"/>
        <w:numPr>
          <w:ilvl w:val="0"/>
          <w:numId w:val="14"/>
        </w:numPr>
        <w:ind w:left="0"/>
      </w:pPr>
      <w:r>
        <w:t>:Please quantify the expected savings from an eventual reduction of collateral requirements derived from T+1 and T+0 (for cleared transactions as well as for non-cleared transactions subject to margin requirements).</w:t>
      </w:r>
    </w:p>
    <w:p w14:paraId="33725216" w14:textId="77777777" w:rsidR="00C5469A" w:rsidRDefault="00C5469A" w:rsidP="00C5469A">
      <w:r>
        <w:t>&lt;ESMA_QUESTION_SETT_10&gt;</w:t>
      </w:r>
    </w:p>
    <w:p w14:paraId="12B81E4B"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permStart w:id="639642393" w:edGrp="everyone"/>
      <w:r>
        <w:rPr>
          <w:rStyle w:val="normaltextrun"/>
          <w:rFonts w:ascii="Calibri" w:eastAsiaTheme="majorEastAsia" w:hAnsi="Calibri" w:cs="Calibri"/>
          <w:sz w:val="22"/>
          <w:szCs w:val="22"/>
        </w:rPr>
        <w:t>As noted in Question 9, the reduction of collateral requirements derived from the move to T+1 may not be present for SLB activity. In continuation of Question 4 and 9, borrowers may be required to increase collateral requirements if SLB activity increases in the market – either to cover for settlement fails or to mitigate liquidity challenges (this will be further discussed in Question 12).</w:t>
      </w:r>
      <w:r>
        <w:rPr>
          <w:rStyle w:val="eop"/>
          <w:rFonts w:ascii="Calibri" w:eastAsiaTheme="majorEastAsia" w:hAnsi="Calibri" w:cs="Calibri"/>
          <w:sz w:val="22"/>
          <w:szCs w:val="22"/>
        </w:rPr>
        <w:t> </w:t>
      </w:r>
    </w:p>
    <w:p w14:paraId="3C6EE45C"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Member feedback received is that the reduction in the settlement cycle may not provide a reduction in funding cost. In a T+1 environment, borrowers would have a shortened window to forecast </w:t>
      </w:r>
      <w:r>
        <w:rPr>
          <w:rStyle w:val="normaltextrun"/>
          <w:rFonts w:ascii="Calibri" w:eastAsiaTheme="majorEastAsia" w:hAnsi="Calibri" w:cs="Calibri"/>
          <w:sz w:val="22"/>
          <w:szCs w:val="22"/>
        </w:rPr>
        <w:lastRenderedPageBreak/>
        <w:t>funding and collateralisation requirements. Therefore, borrowers may need to hold larger buffers of collateral (as discussed in Question 4). Additionally, if collateral buffers are not sufficient, additional credit may need to be required to collateralise same day borrows. This increases costs rather than provide any potential savings.</w:t>
      </w:r>
      <w:r>
        <w:rPr>
          <w:rStyle w:val="eop"/>
          <w:rFonts w:ascii="Calibri" w:eastAsiaTheme="majorEastAsia" w:hAnsi="Calibri" w:cs="Calibri"/>
          <w:sz w:val="22"/>
          <w:szCs w:val="22"/>
        </w:rPr>
        <w:t> </w:t>
      </w:r>
    </w:p>
    <w:p w14:paraId="053B7158"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From an agent lender perspective, there is no anticipated change from collateralisation and loan release due to a change from T+2 to T+1.</w:t>
      </w:r>
      <w:r>
        <w:rPr>
          <w:rStyle w:val="eop"/>
          <w:rFonts w:ascii="Calibri" w:eastAsiaTheme="majorEastAsia" w:hAnsi="Calibri" w:cs="Calibri"/>
          <w:sz w:val="22"/>
          <w:szCs w:val="22"/>
        </w:rPr>
        <w:t> </w:t>
      </w:r>
    </w:p>
    <w:p w14:paraId="5478013A"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42424"/>
          <w:sz w:val="22"/>
          <w:szCs w:val="22"/>
        </w:rPr>
        <w:t>As this question related to T+0, please refer to the joint association letter in Annex 1.</w:t>
      </w:r>
      <w:r>
        <w:rPr>
          <w:rStyle w:val="eop"/>
          <w:rFonts w:ascii="Calibri" w:eastAsiaTheme="majorEastAsia" w:hAnsi="Calibri" w:cs="Calibri"/>
          <w:color w:val="242424"/>
          <w:sz w:val="22"/>
          <w:szCs w:val="22"/>
        </w:rPr>
        <w:t> </w:t>
      </w:r>
    </w:p>
    <w:permEnd w:id="639642393"/>
    <w:p w14:paraId="4C4DCD26" w14:textId="77777777" w:rsidR="00C5469A" w:rsidRDefault="00C5469A" w:rsidP="00C5469A">
      <w:r>
        <w:t>&lt;ESMA_QUESTION_SETT_10&gt;</w:t>
      </w:r>
    </w:p>
    <w:p w14:paraId="5FC40AB6" w14:textId="30F37AE7" w:rsidR="00C5469A" w:rsidRDefault="00C5469A" w:rsidP="00C5469A"/>
    <w:p w14:paraId="07BEC62A" w14:textId="3CC4EF5B" w:rsidR="00C5469A" w:rsidRDefault="00C5469A" w:rsidP="00C5469A"/>
    <w:p w14:paraId="6A1F5571" w14:textId="4F1DB2A8" w:rsidR="00C5469A" w:rsidRDefault="00C5469A" w:rsidP="00C5469A"/>
    <w:p w14:paraId="415BB25E" w14:textId="77777777" w:rsidR="00C5469A" w:rsidRDefault="00C5469A" w:rsidP="00C5469A"/>
    <w:p w14:paraId="7EDBD522" w14:textId="77777777" w:rsidR="00C5469A" w:rsidRDefault="00C5469A" w:rsidP="00C5469A">
      <w:pPr>
        <w:pStyle w:val="Questionstyle"/>
        <w:numPr>
          <w:ilvl w:val="0"/>
          <w:numId w:val="14"/>
        </w:numPr>
        <w:ind w:left="0"/>
      </w:pPr>
      <w:r>
        <w:t>: If possible, please provide estimates of the benefits that you would expect from T+1 and from T+0, for example the on-going savings of potentially more automated processes.</w:t>
      </w:r>
    </w:p>
    <w:p w14:paraId="528C8491" w14:textId="77777777" w:rsidR="00C5469A" w:rsidRDefault="00C5469A" w:rsidP="00C5469A">
      <w:r>
        <w:t>&lt;ESMA_QUESTION_SETT_11&gt;</w:t>
      </w:r>
    </w:p>
    <w:p w14:paraId="08BCE8B9"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permStart w:id="78006216" w:edGrp="everyone"/>
      <w:r>
        <w:rPr>
          <w:rStyle w:val="normaltextrun"/>
          <w:rFonts w:ascii="Calibri" w:eastAsiaTheme="majorEastAsia" w:hAnsi="Calibri" w:cs="Calibri"/>
          <w:sz w:val="22"/>
          <w:szCs w:val="22"/>
        </w:rPr>
        <w:t>As noted in response to question 9 and 10, any benefits relating to the introduction of T+1 may not outweigh the costs incurred by such an environment. The costs introduced in Question 5 and 8 detail the various steps associated with the SLB process. As clarified in response to question 10, T+1’s impact on collateral reduction is not projected for SLB activities.</w:t>
      </w:r>
      <w:r>
        <w:rPr>
          <w:rStyle w:val="eop"/>
          <w:rFonts w:ascii="Calibri" w:eastAsiaTheme="majorEastAsia" w:hAnsi="Calibri" w:cs="Calibri"/>
          <w:sz w:val="22"/>
          <w:szCs w:val="22"/>
        </w:rPr>
        <w:t> </w:t>
      </w:r>
    </w:p>
    <w:p w14:paraId="5238C8D6"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Any “eventual” savings is not obvious enough to estimate. When settlement performance has improved, by leveraging existing functionality and automation opportunities, on-going savings may then be calculated.</w:t>
      </w:r>
      <w:r>
        <w:rPr>
          <w:rStyle w:val="eop"/>
          <w:rFonts w:ascii="Calibri" w:eastAsiaTheme="majorEastAsia" w:hAnsi="Calibri" w:cs="Calibri"/>
          <w:sz w:val="22"/>
          <w:szCs w:val="22"/>
        </w:rPr>
        <w:t> </w:t>
      </w:r>
    </w:p>
    <w:p w14:paraId="677DAC75"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42424"/>
          <w:sz w:val="22"/>
          <w:szCs w:val="22"/>
        </w:rPr>
        <w:t>As this question related to T+0, please refer to the joint association letter in Annex 1.</w:t>
      </w:r>
    </w:p>
    <w:permEnd w:id="78006216"/>
    <w:p w14:paraId="25446109" w14:textId="77777777" w:rsidR="00C5469A" w:rsidRDefault="00C5469A" w:rsidP="00C5469A">
      <w:r>
        <w:t>&lt;ESMA_QUESTION_SETT_11&gt;</w:t>
      </w:r>
    </w:p>
    <w:p w14:paraId="4B4B6D1C" w14:textId="77777777" w:rsidR="00C5469A" w:rsidRDefault="00C5469A" w:rsidP="00C5469A"/>
    <w:p w14:paraId="27A5B905" w14:textId="77777777" w:rsidR="00C5469A" w:rsidRDefault="00C5469A" w:rsidP="00C5469A">
      <w:pPr>
        <w:pStyle w:val="Questionstyle"/>
        <w:numPr>
          <w:ilvl w:val="0"/>
          <w:numId w:val="14"/>
        </w:numPr>
        <w:ind w:left="0"/>
      </w:pPr>
      <w:r>
        <w:t>: How do you assess the impact that a shorter settlement cycle could have on the liquidity for EU markets (from your perspective and for the market in general)? Please differentiate between T+1 and T+0 where possible.</w:t>
      </w:r>
    </w:p>
    <w:p w14:paraId="1BB7B33C" w14:textId="77777777" w:rsidR="00C5469A" w:rsidRDefault="00C5469A" w:rsidP="00C5469A">
      <w:r>
        <w:t>&lt;ESMA_QUESTION_SETT_12&gt;</w:t>
      </w:r>
    </w:p>
    <w:p w14:paraId="2342C01E"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permStart w:id="27267923" w:edGrp="everyone"/>
      <w:r>
        <w:rPr>
          <w:rStyle w:val="normaltextrun"/>
          <w:rFonts w:ascii="Calibri" w:eastAsiaTheme="majorEastAsia" w:hAnsi="Calibri" w:cs="Calibri"/>
          <w:color w:val="000000"/>
          <w:sz w:val="22"/>
          <w:szCs w:val="22"/>
        </w:rPr>
        <w:t>Responses to question 1, 3.2, 4 and 10 identifies where liquidity may be impacted due to SLB transactions. </w:t>
      </w:r>
      <w:r>
        <w:rPr>
          <w:rStyle w:val="eop"/>
          <w:rFonts w:ascii="Calibri" w:eastAsiaTheme="majorEastAsia" w:hAnsi="Calibri" w:cs="Calibri"/>
          <w:color w:val="000000"/>
          <w:sz w:val="22"/>
          <w:szCs w:val="22"/>
        </w:rPr>
        <w:t> </w:t>
      </w:r>
    </w:p>
    <w:p w14:paraId="52D0FD9D"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lastRenderedPageBreak/>
        <w:t>Our response to question 1 outlines the complex collateral choreography that may lead borrowers to keep additional buffers of collateral. Additionally, as providers of liquidity in the market, agent lenders may need to keep additional buffers to cover late sale notifications. These increased lending buffers would reduce market liquidity</w:t>
      </w:r>
      <w:r>
        <w:rPr>
          <w:rStyle w:val="normaltextrun"/>
          <w:rFonts w:ascii="Calibri" w:eastAsiaTheme="majorEastAsia" w:hAnsi="Calibri" w:cs="Calibri"/>
          <w:sz w:val="22"/>
          <w:szCs w:val="22"/>
        </w:rPr>
        <w:t>, with 93% of our member poll highlighting the negative impact to due to these increased buffers by both agent lenders (lendable assets) and borrowers (collateral).</w:t>
      </w:r>
      <w:r>
        <w:rPr>
          <w:rStyle w:val="eop"/>
          <w:rFonts w:ascii="Calibri" w:eastAsiaTheme="majorEastAsia" w:hAnsi="Calibri" w:cs="Calibri"/>
          <w:sz w:val="22"/>
          <w:szCs w:val="22"/>
        </w:rPr>
        <w:t> </w:t>
      </w:r>
    </w:p>
    <w:p w14:paraId="369E4B26"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Our response to question 4 describes related SLB changes driven by a T+1 move, i.e. the increase in SLB activity related to support of other market’s settlement failures. Members have noted that the increased demand for SLB activity could potentially increase costs to beneficial owners (buy-side lenders), custodians or agent lenders. This cost would be realised through late return of borrowed securities specifically where a loan recall for sale occurs. As it relates to custodians, some offer contractual settlement through the compensation of sale proceeds, this compensation would need to be funded by the custodian who may pass the cost onto the agent lender. Should a beneficial owner not have access to this contractual settlement, there may be a cost versus benefit consideration that make securities lending inviable, reducing lending liquidity. Additionally, from the perspective of both agent lenders and borrowers, associated SLB cost(s) (as outlined in Question 5 and 8) may impact the commercial approach of operating in SLB markets.</w:t>
      </w:r>
      <w:r>
        <w:rPr>
          <w:rStyle w:val="eop"/>
          <w:rFonts w:ascii="Calibri" w:eastAsiaTheme="majorEastAsia" w:hAnsi="Calibri" w:cs="Calibri"/>
          <w:color w:val="000000"/>
          <w:sz w:val="22"/>
          <w:szCs w:val="22"/>
        </w:rPr>
        <w:t> </w:t>
      </w:r>
    </w:p>
    <w:p w14:paraId="71B5C5D8"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Our response to question 10 identifies that in a T+1 environment, SLB activity may increase to support collateral requirements. This highlights the limitation in providing liquidity to the market as increased collateral buffers would reduce liquidity and therefore the ability to transact new borrows.</w:t>
      </w:r>
      <w:r>
        <w:rPr>
          <w:rStyle w:val="eop"/>
          <w:rFonts w:ascii="Calibri" w:eastAsiaTheme="majorEastAsia" w:hAnsi="Calibri" w:cs="Calibri"/>
          <w:color w:val="000000"/>
          <w:sz w:val="22"/>
          <w:szCs w:val="22"/>
        </w:rPr>
        <w:t> </w:t>
      </w:r>
    </w:p>
    <w:p w14:paraId="6573F5E3"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Throughout our responses to questions on T+1 impacts to SLB, it is key to note that securities lending may be the solution to provide liquidity in the market but also the challenges faced in SLB activity may create further challenges for EU liquidity.</w:t>
      </w:r>
      <w:r>
        <w:rPr>
          <w:rStyle w:val="eop"/>
          <w:rFonts w:ascii="Calibri" w:eastAsiaTheme="majorEastAsia" w:hAnsi="Calibri" w:cs="Calibri"/>
          <w:color w:val="000000"/>
          <w:sz w:val="22"/>
          <w:szCs w:val="22"/>
        </w:rPr>
        <w:t> </w:t>
      </w:r>
    </w:p>
    <w:p w14:paraId="2CAD0093"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42424"/>
          <w:sz w:val="22"/>
          <w:szCs w:val="22"/>
        </w:rPr>
        <w:t>As this question related to T+0, please refer to the joint association letter in Annex 1.</w:t>
      </w:r>
      <w:r>
        <w:rPr>
          <w:rStyle w:val="eop"/>
          <w:rFonts w:ascii="Calibri" w:eastAsiaTheme="majorEastAsia" w:hAnsi="Calibri" w:cs="Calibri"/>
          <w:color w:val="242424"/>
          <w:sz w:val="22"/>
          <w:szCs w:val="22"/>
        </w:rPr>
        <w:t> </w:t>
      </w:r>
    </w:p>
    <w:permEnd w:id="27267923"/>
    <w:p w14:paraId="1B6472CD" w14:textId="77777777" w:rsidR="00C5469A" w:rsidRDefault="00C5469A" w:rsidP="00C5469A">
      <w:r>
        <w:t>&lt;ESMA_QUESTION_SETT_12&gt;</w:t>
      </w:r>
    </w:p>
    <w:p w14:paraId="7794DABE" w14:textId="77777777" w:rsidR="00C5469A" w:rsidRDefault="00C5469A" w:rsidP="00C5469A"/>
    <w:p w14:paraId="249894AD" w14:textId="77777777" w:rsidR="00C5469A" w:rsidRDefault="00C5469A" w:rsidP="00C5469A">
      <w:pPr>
        <w:pStyle w:val="Questionstyle"/>
        <w:numPr>
          <w:ilvl w:val="0"/>
          <w:numId w:val="14"/>
        </w:numPr>
        <w:ind w:left="0"/>
      </w:pPr>
      <w:r>
        <w:t>: What would be the benefits for retail clients?</w:t>
      </w:r>
    </w:p>
    <w:p w14:paraId="0C8C68D3" w14:textId="77777777" w:rsidR="00C5469A" w:rsidRDefault="00C5469A" w:rsidP="00C5469A">
      <w:r>
        <w:t>&lt;ESMA_QUESTION_SETT_13&gt;</w:t>
      </w:r>
    </w:p>
    <w:p w14:paraId="062D5BD4"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permStart w:id="75696228" w:edGrp="everyone"/>
      <w:r>
        <w:rPr>
          <w:rStyle w:val="normaltextrun"/>
          <w:rFonts w:ascii="Calibri" w:eastAsiaTheme="majorEastAsia" w:hAnsi="Calibri" w:cs="Calibri"/>
          <w:color w:val="000000"/>
          <w:sz w:val="22"/>
          <w:szCs w:val="22"/>
        </w:rPr>
        <w:t>As noted in our response to question 4, ISLA members representing the buy-side (lenders) do not have retail clients in their lending portfolio. As such, there was limited feedback that might identify how retail clients may be impacted by a move to T+1 settlement cycle. </w:t>
      </w:r>
      <w:r>
        <w:rPr>
          <w:rStyle w:val="eop"/>
          <w:rFonts w:ascii="Calibri" w:eastAsiaTheme="majorEastAsia" w:hAnsi="Calibri" w:cs="Calibri"/>
          <w:color w:val="000000"/>
          <w:sz w:val="22"/>
          <w:szCs w:val="22"/>
        </w:rPr>
        <w:t> </w:t>
      </w:r>
    </w:p>
    <w:p w14:paraId="15287669"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However, through member polling, 57% of our members believe that T+1 would not create any benefits to retail clients as the settlement cycle is largely invisible to them.</w:t>
      </w:r>
    </w:p>
    <w:permEnd w:id="75696228"/>
    <w:p w14:paraId="278E6A7C" w14:textId="77777777" w:rsidR="00C5469A" w:rsidRDefault="00C5469A" w:rsidP="00C5469A">
      <w:r>
        <w:t>&lt;ESMA_QUESTION_SETT_13&gt;</w:t>
      </w:r>
    </w:p>
    <w:p w14:paraId="1D97D564" w14:textId="77777777" w:rsidR="00C5469A" w:rsidRDefault="00C5469A" w:rsidP="00C5469A"/>
    <w:p w14:paraId="64E22119" w14:textId="77777777" w:rsidR="00C5469A" w:rsidRDefault="00C5469A" w:rsidP="00C5469A">
      <w:pPr>
        <w:pStyle w:val="Questionstyle"/>
        <w:numPr>
          <w:ilvl w:val="0"/>
          <w:numId w:val="14"/>
        </w:numPr>
        <w:ind w:left="0"/>
      </w:pPr>
      <w:r>
        <w:t>: How would you weigh the benefits against the costs of moving to a shorter settlement cycle? Please differentiate between a potential move to T+1 and to T+0.</w:t>
      </w:r>
    </w:p>
    <w:p w14:paraId="521CB461" w14:textId="77777777" w:rsidR="00C5469A" w:rsidRDefault="00C5469A" w:rsidP="00C5469A">
      <w:r>
        <w:t>&lt;ESMA_QUESTION_SETT_14&gt;</w:t>
      </w:r>
    </w:p>
    <w:p w14:paraId="59706CB6"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permStart w:id="1702320082" w:edGrp="everyone"/>
      <w:r>
        <w:rPr>
          <w:rStyle w:val="normaltextrun"/>
          <w:rFonts w:ascii="Calibri" w:eastAsiaTheme="majorEastAsia" w:hAnsi="Calibri" w:cs="Calibri"/>
          <w:sz w:val="22"/>
          <w:szCs w:val="22"/>
        </w:rPr>
        <w:lastRenderedPageBreak/>
        <w:t>Our response to questions 5 and 8 outlines the costs resulting from a move to a shorter settlement cycle. Responses to questions 9, 10 and 11 highlight the limited benefits anticipated in moving to a shorter settlement cycle.</w:t>
      </w:r>
      <w:r>
        <w:rPr>
          <w:rStyle w:val="eop"/>
          <w:rFonts w:ascii="Calibri" w:eastAsiaTheme="majorEastAsia" w:hAnsi="Calibri" w:cs="Calibri"/>
          <w:sz w:val="22"/>
          <w:szCs w:val="22"/>
        </w:rPr>
        <w:t> </w:t>
      </w:r>
    </w:p>
    <w:p w14:paraId="49075C55"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1F1F1F"/>
          <w:sz w:val="22"/>
          <w:szCs w:val="22"/>
          <w:shd w:val="clear" w:color="auto" w:fill="FFFFFF"/>
        </w:rPr>
        <w:t>Notwithstanding the incremental expenses associated with the transition to T+1 settlement, there exist indirect benefits of a qualitative nature. For instance, firms are actively exploring the implementation of enhanced technological solutions to curtail operating costs pertaining to Know Your Customer (KYC) procedures, client onboarding, and the digitization of legal documentation.</w:t>
      </w:r>
      <w:r>
        <w:rPr>
          <w:rStyle w:val="eop"/>
          <w:rFonts w:ascii="Calibri" w:eastAsiaTheme="majorEastAsia" w:hAnsi="Calibri" w:cs="Calibri"/>
          <w:color w:val="1F1F1F"/>
          <w:sz w:val="22"/>
          <w:szCs w:val="22"/>
        </w:rPr>
        <w:t> </w:t>
      </w:r>
    </w:p>
    <w:p w14:paraId="3A6DF708"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42424"/>
          <w:sz w:val="22"/>
          <w:szCs w:val="22"/>
        </w:rPr>
        <w:t>As this question related to T+0, please refer to the joint association letter in Annex 1.</w:t>
      </w:r>
      <w:r>
        <w:rPr>
          <w:rStyle w:val="eop"/>
          <w:rFonts w:ascii="Calibri" w:eastAsiaTheme="majorEastAsia" w:hAnsi="Calibri" w:cs="Calibri"/>
          <w:color w:val="242424"/>
          <w:sz w:val="22"/>
          <w:szCs w:val="22"/>
        </w:rPr>
        <w:t> </w:t>
      </w:r>
    </w:p>
    <w:permEnd w:id="1702320082"/>
    <w:p w14:paraId="2CEAAEB1" w14:textId="67273781" w:rsidR="00C5469A" w:rsidRDefault="00C5469A" w:rsidP="00C5469A">
      <w:r>
        <w:t>&lt;ESMA_QUESTION_SETT_14&gt;</w:t>
      </w:r>
    </w:p>
    <w:p w14:paraId="423C7BC4" w14:textId="77777777" w:rsidR="00C5469A" w:rsidRDefault="00C5469A" w:rsidP="00C5469A">
      <w:pPr>
        <w:pStyle w:val="Questionstyle"/>
        <w:numPr>
          <w:ilvl w:val="0"/>
          <w:numId w:val="14"/>
        </w:numPr>
        <w:ind w:left="0"/>
      </w:pPr>
      <w:r>
        <w:t>: Please describe the main steps that you would envisage to achieve an eventual shorter securities settlement cycle. In particular, specify: (i) the regulatory and industry milestones; and (ii) the time needed for each milestone and the proposed ultimate deadline.</w:t>
      </w:r>
    </w:p>
    <w:p w14:paraId="2564E246" w14:textId="77777777" w:rsidR="00C5469A" w:rsidRDefault="00C5469A" w:rsidP="00C5469A">
      <w:r>
        <w:t>&lt;ESMA_QUESTION_SETT_15&gt;</w:t>
      </w:r>
    </w:p>
    <w:p w14:paraId="4E97353C" w14:textId="77777777" w:rsidR="00647D97" w:rsidRDefault="00647D97" w:rsidP="00647D97">
      <w:pPr>
        <w:pStyle w:val="paragraph"/>
        <w:spacing w:before="0" w:beforeAutospacing="0" w:after="0" w:afterAutospacing="0"/>
        <w:textAlignment w:val="baseline"/>
        <w:rPr>
          <w:rFonts w:ascii="Calibri" w:hAnsi="Calibri" w:cs="Calibri"/>
          <w:sz w:val="22"/>
          <w:szCs w:val="22"/>
        </w:rPr>
      </w:pPr>
      <w:permStart w:id="1673478500" w:edGrp="everyone"/>
      <w:r>
        <w:rPr>
          <w:rStyle w:val="normaltextrun"/>
          <w:rFonts w:ascii="Calibri" w:eastAsiaTheme="majorEastAsia" w:hAnsi="Calibri" w:cs="Calibri"/>
          <w:color w:val="000000"/>
          <w:sz w:val="22"/>
          <w:szCs w:val="22"/>
        </w:rPr>
        <w:t>As we consider accelerated settlement adoption in the EU and the various milestones that could be implemented, it is right to consider the approach taken in the U.S. </w:t>
      </w:r>
      <w:r>
        <w:rPr>
          <w:rStyle w:val="eop"/>
          <w:rFonts w:ascii="Calibri" w:eastAsiaTheme="majorEastAsia" w:hAnsi="Calibri" w:cs="Calibri"/>
          <w:color w:val="000000"/>
          <w:sz w:val="22"/>
          <w:szCs w:val="22"/>
        </w:rPr>
        <w:t> </w:t>
      </w:r>
    </w:p>
    <w:p w14:paraId="19E21C76" w14:textId="77777777" w:rsidR="00647D97" w:rsidRDefault="00647D97" w:rsidP="00647D97">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color w:val="000000"/>
          <w:sz w:val="22"/>
          <w:szCs w:val="22"/>
        </w:rPr>
        <w:t>We note that discussions in the U.S. began in early 2021 resulting in final rules being published by the SEC 2 years later. After their publication, the financial industry was given 15 months to prepare. In those plans, adoption occurred over three and a half years with specific milestones, such as impact assessment, regulatory finalisation, testing and going live.</w:t>
      </w:r>
      <w:r>
        <w:rPr>
          <w:rStyle w:val="eop"/>
          <w:rFonts w:ascii="Calibri" w:eastAsiaTheme="majorEastAsia" w:hAnsi="Calibri" w:cs="Calibri"/>
          <w:color w:val="000000"/>
          <w:sz w:val="22"/>
          <w:szCs w:val="22"/>
        </w:rPr>
        <w:t> </w:t>
      </w:r>
    </w:p>
    <w:p w14:paraId="126A904B" w14:textId="77777777" w:rsidR="00647D97" w:rsidRDefault="00647D97" w:rsidP="00647D97">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color w:val="000000"/>
          <w:sz w:val="22"/>
          <w:szCs w:val="22"/>
        </w:rPr>
        <w:t>Our members have pointed to the above U.S. plan when identifying potential EU milestones to a shorter settlement cycle:</w:t>
      </w:r>
      <w:r>
        <w:rPr>
          <w:rStyle w:val="eop"/>
          <w:rFonts w:ascii="Calibri" w:eastAsiaTheme="majorEastAsia" w:hAnsi="Calibri" w:cs="Calibri"/>
          <w:color w:val="000000"/>
          <w:sz w:val="22"/>
          <w:szCs w:val="22"/>
        </w:rPr>
        <w:t> </w:t>
      </w:r>
    </w:p>
    <w:p w14:paraId="1D2E5448" w14:textId="77777777" w:rsidR="00647D97" w:rsidRDefault="00647D97" w:rsidP="00647D97">
      <w:pPr>
        <w:pStyle w:val="paragraph"/>
        <w:numPr>
          <w:ilvl w:val="0"/>
          <w:numId w:val="5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rPr>
        <w:t>Industry being given appropriate lead time to prepare for T+1.</w:t>
      </w:r>
      <w:r>
        <w:rPr>
          <w:rStyle w:val="eop"/>
          <w:rFonts w:ascii="Calibri" w:eastAsiaTheme="majorEastAsia" w:hAnsi="Calibri" w:cs="Calibri"/>
          <w:color w:val="000000"/>
          <w:sz w:val="22"/>
          <w:szCs w:val="22"/>
        </w:rPr>
        <w:t> </w:t>
      </w:r>
    </w:p>
    <w:p w14:paraId="15640921" w14:textId="77777777" w:rsidR="00647D97" w:rsidRDefault="00647D97" w:rsidP="00647D97">
      <w:pPr>
        <w:pStyle w:val="paragraph"/>
        <w:numPr>
          <w:ilvl w:val="0"/>
          <w:numId w:val="54"/>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rPr>
        <w:t>A clear cost versus benefit analysis should be produced to justify any settlement cycle reduction.</w:t>
      </w:r>
      <w:r>
        <w:rPr>
          <w:rStyle w:val="eop"/>
          <w:rFonts w:ascii="Calibri" w:eastAsiaTheme="majorEastAsia" w:hAnsi="Calibri" w:cs="Calibri"/>
          <w:color w:val="000000"/>
          <w:sz w:val="22"/>
          <w:szCs w:val="22"/>
        </w:rPr>
        <w:t> </w:t>
      </w:r>
    </w:p>
    <w:p w14:paraId="39BEE897" w14:textId="77777777" w:rsidR="00647D97" w:rsidRDefault="00647D97" w:rsidP="00647D97">
      <w:pPr>
        <w:pStyle w:val="paragraph"/>
        <w:numPr>
          <w:ilvl w:val="0"/>
          <w:numId w:val="5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rPr>
        <w:t>Legislation must be clear and concise to ensure all market participants and dependant services take appropriate steps in a transition to T+1.</w:t>
      </w:r>
      <w:r>
        <w:rPr>
          <w:rStyle w:val="eop"/>
          <w:rFonts w:ascii="Calibri" w:eastAsiaTheme="majorEastAsia" w:hAnsi="Calibri" w:cs="Calibri"/>
          <w:color w:val="000000"/>
          <w:sz w:val="22"/>
          <w:szCs w:val="22"/>
        </w:rPr>
        <w:t> </w:t>
      </w:r>
    </w:p>
    <w:p w14:paraId="6BEDCC22" w14:textId="77777777" w:rsidR="00647D97" w:rsidRDefault="00647D97" w:rsidP="00647D97">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Through member polling, 80% of our members believe the “impact assessment phase”, “testing phase” and “going live” are appropriate milestones to move to T+1. It was further noted that: </w:t>
      </w:r>
      <w:r>
        <w:rPr>
          <w:rStyle w:val="eop"/>
          <w:rFonts w:ascii="Calibri" w:eastAsiaTheme="majorEastAsia" w:hAnsi="Calibri" w:cs="Calibri"/>
          <w:sz w:val="22"/>
          <w:szCs w:val="22"/>
        </w:rPr>
        <w:t> </w:t>
      </w:r>
    </w:p>
    <w:p w14:paraId="1CBD280B" w14:textId="77777777" w:rsidR="00647D97" w:rsidRDefault="00647D97" w:rsidP="00647D97">
      <w:pPr>
        <w:pStyle w:val="paragraph"/>
        <w:numPr>
          <w:ilvl w:val="0"/>
          <w:numId w:val="56"/>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60% of the members believe “impact assessment” should last for less than 1 year,</w:t>
      </w:r>
      <w:r>
        <w:rPr>
          <w:rStyle w:val="eop"/>
          <w:rFonts w:ascii="Calibri" w:eastAsiaTheme="majorEastAsia" w:hAnsi="Calibri" w:cs="Calibri"/>
          <w:sz w:val="22"/>
          <w:szCs w:val="22"/>
        </w:rPr>
        <w:t> </w:t>
      </w:r>
    </w:p>
    <w:p w14:paraId="1FB5F2DC" w14:textId="77777777" w:rsidR="00647D97" w:rsidRDefault="00647D97" w:rsidP="00647D97">
      <w:pPr>
        <w:pStyle w:val="paragraph"/>
        <w:numPr>
          <w:ilvl w:val="0"/>
          <w:numId w:val="56"/>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50% of the members believe “testing” should last for less than 1 year,</w:t>
      </w:r>
      <w:r>
        <w:rPr>
          <w:rStyle w:val="eop"/>
          <w:rFonts w:ascii="Calibri" w:eastAsiaTheme="majorEastAsia" w:hAnsi="Calibri" w:cs="Calibri"/>
          <w:sz w:val="22"/>
          <w:szCs w:val="22"/>
        </w:rPr>
        <w:t> </w:t>
      </w:r>
    </w:p>
    <w:p w14:paraId="223292A1" w14:textId="77777777" w:rsidR="00647D97" w:rsidRDefault="00647D97" w:rsidP="00647D97">
      <w:pPr>
        <w:pStyle w:val="paragraph"/>
        <w:numPr>
          <w:ilvl w:val="0"/>
          <w:numId w:val="56"/>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90% of the members believe the “go live date” should be between 1 – 5 years from the initial proposal. Results from this poll were further clarified with 43% of the members suggesting go-live between 2 – 3 years and 36% of the members noted between 3 – 4 years. </w:t>
      </w:r>
      <w:r>
        <w:rPr>
          <w:rStyle w:val="eop"/>
          <w:rFonts w:ascii="Calibri" w:eastAsiaTheme="majorEastAsia" w:hAnsi="Calibri" w:cs="Calibri"/>
          <w:sz w:val="22"/>
          <w:szCs w:val="22"/>
        </w:rPr>
        <w:t> </w:t>
      </w:r>
    </w:p>
    <w:p w14:paraId="092FE084" w14:textId="77777777" w:rsidR="00647D97" w:rsidRDefault="00647D97" w:rsidP="00647D97">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The above poll results and consequent discussions support a plan that:</w:t>
      </w:r>
      <w:r>
        <w:rPr>
          <w:rStyle w:val="eop"/>
          <w:rFonts w:ascii="Calibri" w:eastAsiaTheme="majorEastAsia" w:hAnsi="Calibri" w:cs="Calibri"/>
          <w:sz w:val="22"/>
          <w:szCs w:val="22"/>
        </w:rPr>
        <w:t> </w:t>
      </w:r>
    </w:p>
    <w:p w14:paraId="0CC4DA02" w14:textId="77777777" w:rsidR="00647D97" w:rsidRDefault="00647D97" w:rsidP="00647D97">
      <w:pPr>
        <w:pStyle w:val="paragraph"/>
        <w:numPr>
          <w:ilvl w:val="0"/>
          <w:numId w:val="5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Focusses on the challenge of EU settlement efficiency, finding solutions to the fragmented nature of EU markets through adoption of EU wide data communications and standards.</w:t>
      </w:r>
      <w:r>
        <w:rPr>
          <w:rStyle w:val="eop"/>
          <w:rFonts w:ascii="Calibri" w:eastAsiaTheme="majorEastAsia" w:hAnsi="Calibri" w:cs="Calibri"/>
          <w:sz w:val="22"/>
          <w:szCs w:val="22"/>
        </w:rPr>
        <w:t> </w:t>
      </w:r>
    </w:p>
    <w:p w14:paraId="76EC3F16" w14:textId="77777777" w:rsidR="00647D97" w:rsidRDefault="00647D97" w:rsidP="00647D97">
      <w:pPr>
        <w:pStyle w:val="paragraph"/>
        <w:numPr>
          <w:ilvl w:val="0"/>
          <w:numId w:val="5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Review of the CSDR penalties, which we understand is anyway planned over the coming months.</w:t>
      </w:r>
      <w:r>
        <w:rPr>
          <w:rStyle w:val="eop"/>
          <w:rFonts w:ascii="Calibri" w:eastAsiaTheme="majorEastAsia" w:hAnsi="Calibri" w:cs="Calibri"/>
          <w:sz w:val="22"/>
          <w:szCs w:val="22"/>
        </w:rPr>
        <w:t> </w:t>
      </w:r>
    </w:p>
    <w:p w14:paraId="603D3051" w14:textId="77777777" w:rsidR="00647D97" w:rsidRDefault="00647D97" w:rsidP="00647D97">
      <w:pPr>
        <w:pStyle w:val="paragraph"/>
        <w:numPr>
          <w:ilvl w:val="0"/>
          <w:numId w:val="5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lastRenderedPageBreak/>
        <w:t>Observing outcomes of the U.S. T+1 migration in mid-2024, specifically noting any internal challenges that may not yet have been identified, but also impacts to non-U.S. markets.</w:t>
      </w:r>
      <w:r>
        <w:rPr>
          <w:rStyle w:val="eop"/>
          <w:rFonts w:ascii="Calibri" w:eastAsiaTheme="majorEastAsia" w:hAnsi="Calibri" w:cs="Calibri"/>
          <w:sz w:val="22"/>
          <w:szCs w:val="22"/>
        </w:rPr>
        <w:t> </w:t>
      </w:r>
    </w:p>
    <w:p w14:paraId="2673810C" w14:textId="77777777" w:rsidR="00647D97" w:rsidRDefault="00647D97" w:rsidP="00647D97">
      <w:pPr>
        <w:pStyle w:val="paragraph"/>
        <w:numPr>
          <w:ilvl w:val="0"/>
          <w:numId w:val="60"/>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Should the cost/benefit then show a benefit, reduction in frictions/challenges or removal of risk(s) to EU, a T+1 migration proposal could be considered.</w:t>
      </w:r>
      <w:r>
        <w:rPr>
          <w:rStyle w:val="eop"/>
          <w:rFonts w:ascii="Calibri" w:eastAsiaTheme="majorEastAsia" w:hAnsi="Calibri" w:cs="Calibri"/>
          <w:sz w:val="22"/>
          <w:szCs w:val="22"/>
        </w:rPr>
        <w:t> </w:t>
      </w:r>
    </w:p>
    <w:p w14:paraId="382A793C" w14:textId="7C408822" w:rsidR="00647D97" w:rsidRDefault="00647D97" w:rsidP="00647D97">
      <w:pPr>
        <w:pStyle w:val="paragraph"/>
        <w:numPr>
          <w:ilvl w:val="0"/>
          <w:numId w:val="6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The timeline to migration would then be created with recognition of associated costs, large scale development and testing.</w:t>
      </w:r>
    </w:p>
    <w:permEnd w:id="1673478500"/>
    <w:p w14:paraId="5D6602EE" w14:textId="77777777" w:rsidR="00C5469A" w:rsidRDefault="00C5469A" w:rsidP="00C5469A">
      <w:r>
        <w:t>&lt;ESMA_QUESTION_SETT_15&gt;</w:t>
      </w:r>
    </w:p>
    <w:p w14:paraId="2D8B3C34" w14:textId="77777777" w:rsidR="00C5469A" w:rsidRDefault="00C5469A" w:rsidP="00C5469A"/>
    <w:p w14:paraId="51916544" w14:textId="77777777" w:rsidR="00C5469A" w:rsidRDefault="00C5469A" w:rsidP="00C5469A">
      <w:pPr>
        <w:pStyle w:val="Questionstyle"/>
        <w:numPr>
          <w:ilvl w:val="0"/>
          <w:numId w:val="14"/>
        </w:numPr>
        <w:ind w:left="0"/>
      </w:pPr>
      <w:r>
        <w:t>: Assuming that the EU institutions would decide to shorten the securities settlement cycle in the EU, how long would you need to adapt to the new settlement cycle? And in the case of a move to T+0?</w:t>
      </w:r>
    </w:p>
    <w:p w14:paraId="51E6BB64" w14:textId="77777777" w:rsidR="00C5469A" w:rsidRDefault="00C5469A" w:rsidP="00C5469A">
      <w:r>
        <w:t>&lt;ESMA_QUESTION_SETT_16&gt;</w:t>
      </w:r>
    </w:p>
    <w:p w14:paraId="7E24D1FF"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permStart w:id="1134712045" w:edGrp="everyone"/>
      <w:r>
        <w:rPr>
          <w:rStyle w:val="normaltextrun"/>
          <w:rFonts w:ascii="Calibri" w:eastAsiaTheme="majorEastAsia" w:hAnsi="Calibri" w:cs="Calibri"/>
          <w:sz w:val="22"/>
          <w:szCs w:val="22"/>
        </w:rPr>
        <w:t>Member polling reveals that there are different levels of preparedness across SLB markets.</w:t>
      </w:r>
      <w:r>
        <w:rPr>
          <w:rStyle w:val="eop"/>
          <w:rFonts w:ascii="Calibri" w:eastAsiaTheme="majorEastAsia" w:hAnsi="Calibri" w:cs="Calibri"/>
          <w:sz w:val="22"/>
          <w:szCs w:val="22"/>
        </w:rPr>
        <w:t> </w:t>
      </w:r>
    </w:p>
    <w:p w14:paraId="6599288F" w14:textId="77777777" w:rsidR="00647D97" w:rsidRDefault="00647D97" w:rsidP="00647D97">
      <w:pPr>
        <w:pStyle w:val="paragraph"/>
        <w:numPr>
          <w:ilvl w:val="0"/>
          <w:numId w:val="6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20% of the members, including the vendor community, noted that they were “Already Ready”.</w:t>
      </w:r>
      <w:r>
        <w:rPr>
          <w:rStyle w:val="eop"/>
          <w:rFonts w:ascii="Calibri" w:eastAsiaTheme="majorEastAsia" w:hAnsi="Calibri" w:cs="Calibri"/>
          <w:sz w:val="22"/>
          <w:szCs w:val="22"/>
        </w:rPr>
        <w:t> </w:t>
      </w:r>
    </w:p>
    <w:p w14:paraId="3FB5D8C8" w14:textId="77777777" w:rsidR="00647D97" w:rsidRDefault="00647D97" w:rsidP="00647D97">
      <w:pPr>
        <w:pStyle w:val="paragraph"/>
        <w:numPr>
          <w:ilvl w:val="0"/>
          <w:numId w:val="6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40% of the members, including borrowers and lender, noted that they could be ready in less than 1 year.</w:t>
      </w:r>
      <w:r>
        <w:rPr>
          <w:rStyle w:val="eop"/>
          <w:rFonts w:ascii="Calibri" w:eastAsiaTheme="majorEastAsia" w:hAnsi="Calibri" w:cs="Calibri"/>
          <w:sz w:val="22"/>
          <w:szCs w:val="22"/>
        </w:rPr>
        <w:t> </w:t>
      </w:r>
    </w:p>
    <w:p w14:paraId="3E4A3A89" w14:textId="77777777" w:rsidR="00647D97" w:rsidRDefault="00647D97" w:rsidP="00647D97">
      <w:pPr>
        <w:pStyle w:val="paragraph"/>
        <w:numPr>
          <w:ilvl w:val="0"/>
          <w:numId w:val="6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40% of the members, including buy-side participants and their agents, noted that they could be ready for a T+1 migration in 1 – 5 years.</w:t>
      </w:r>
      <w:r>
        <w:rPr>
          <w:rStyle w:val="eop"/>
          <w:rFonts w:ascii="Calibri" w:eastAsiaTheme="majorEastAsia" w:hAnsi="Calibri" w:cs="Calibri"/>
          <w:sz w:val="22"/>
          <w:szCs w:val="22"/>
        </w:rPr>
        <w:t> </w:t>
      </w:r>
    </w:p>
    <w:p w14:paraId="40B4775B"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42424"/>
          <w:sz w:val="22"/>
          <w:szCs w:val="22"/>
        </w:rPr>
        <w:t>As this question related to T+0, please refer to the joint association letter in Annex 1.</w:t>
      </w:r>
      <w:r>
        <w:rPr>
          <w:rStyle w:val="eop"/>
          <w:rFonts w:ascii="Calibri" w:eastAsiaTheme="majorEastAsia" w:hAnsi="Calibri" w:cs="Calibri"/>
          <w:color w:val="242424"/>
          <w:sz w:val="22"/>
          <w:szCs w:val="22"/>
        </w:rPr>
        <w:t> </w:t>
      </w:r>
    </w:p>
    <w:permEnd w:id="1134712045"/>
    <w:p w14:paraId="439B983B" w14:textId="77777777" w:rsidR="00C5469A" w:rsidRDefault="00C5469A" w:rsidP="00C5469A">
      <w:r>
        <w:t>&lt;ESMA_QUESTION_SETT_16&gt;</w:t>
      </w:r>
    </w:p>
    <w:p w14:paraId="432BDCE9" w14:textId="77777777" w:rsidR="00C5469A" w:rsidRDefault="00C5469A" w:rsidP="00C5469A"/>
    <w:p w14:paraId="04C6A972" w14:textId="77777777" w:rsidR="00C5469A" w:rsidRDefault="00C5469A" w:rsidP="00C5469A">
      <w:pPr>
        <w:pStyle w:val="Questionstyle"/>
        <w:numPr>
          <w:ilvl w:val="0"/>
          <w:numId w:val="14"/>
        </w:numPr>
        <w:ind w:left="0"/>
      </w:pPr>
      <w:r>
        <w:t>: Do you think that the CSDR scope of financial instruments is adequate for a shorter settlement cycle? If not, what would be in your views a more adequate scope?</w:t>
      </w:r>
    </w:p>
    <w:p w14:paraId="545F22E0" w14:textId="77777777" w:rsidR="00C5469A" w:rsidRDefault="00C5469A" w:rsidP="00C5469A">
      <w:r>
        <w:t>&lt;ESMA_QUESTION_SETT_17&gt;</w:t>
      </w:r>
    </w:p>
    <w:p w14:paraId="4A2A99A8" w14:textId="73ED38CD" w:rsidR="00647D97" w:rsidRDefault="00647D97" w:rsidP="00C5469A">
      <w:pPr>
        <w:rPr>
          <w:rStyle w:val="eop"/>
          <w:rFonts w:ascii="Calibri" w:hAnsi="Calibri" w:cs="Calibri"/>
          <w:color w:val="000000"/>
          <w:szCs w:val="22"/>
          <w:shd w:val="clear" w:color="auto" w:fill="FFFFFF"/>
        </w:rPr>
      </w:pPr>
      <w:permStart w:id="1013345542" w:edGrp="everyone"/>
      <w:r>
        <w:rPr>
          <w:rStyle w:val="normaltextrun"/>
          <w:rFonts w:ascii="Calibri" w:hAnsi="Calibri" w:cs="Calibri"/>
          <w:color w:val="000000"/>
          <w:szCs w:val="22"/>
          <w:shd w:val="clear" w:color="auto" w:fill="FFFFFF"/>
        </w:rPr>
        <w:t>Based on responses from ISLA members, respondents believed that the scope of CSDR is sufficient for T+1.</w:t>
      </w:r>
    </w:p>
    <w:permEnd w:id="1013345542"/>
    <w:p w14:paraId="381E1AF6" w14:textId="2687FE11" w:rsidR="00C5469A" w:rsidRDefault="00C5469A" w:rsidP="00C5469A">
      <w:r>
        <w:t>&lt;ESMA_QUESTION_SETT_17&gt;</w:t>
      </w:r>
    </w:p>
    <w:p w14:paraId="75FD333E" w14:textId="20661BD4" w:rsidR="00C5469A" w:rsidRDefault="00C5469A" w:rsidP="00C5469A"/>
    <w:p w14:paraId="0846611F" w14:textId="0F089238" w:rsidR="00C5469A" w:rsidRDefault="00C5469A" w:rsidP="00C5469A"/>
    <w:p w14:paraId="56DE2B69" w14:textId="24343669" w:rsidR="00C5469A" w:rsidRDefault="00C5469A" w:rsidP="00C5469A"/>
    <w:p w14:paraId="021816C4" w14:textId="77777777" w:rsidR="00C5469A" w:rsidRDefault="00C5469A" w:rsidP="00C5469A"/>
    <w:p w14:paraId="0DA3D699" w14:textId="77777777" w:rsidR="00C5469A" w:rsidRDefault="00C5469A" w:rsidP="00C5469A">
      <w:pPr>
        <w:pStyle w:val="Questionstyle"/>
        <w:numPr>
          <w:ilvl w:val="0"/>
          <w:numId w:val="14"/>
        </w:numPr>
        <w:ind w:left="0"/>
      </w:pPr>
      <w:r>
        <w:t>: Is it feasible to have different settlement cycles across different instruments? Which are the ones that would benefit most? Which least?</w:t>
      </w:r>
    </w:p>
    <w:p w14:paraId="616C75D6" w14:textId="77777777" w:rsidR="00C5469A" w:rsidRDefault="00C5469A" w:rsidP="00C5469A">
      <w:r>
        <w:t>&lt;ESMA_QUESTION_SETT_18&gt;</w:t>
      </w:r>
    </w:p>
    <w:p w14:paraId="4039C34F"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permStart w:id="254495919" w:edGrp="everyone"/>
      <w:r>
        <w:rPr>
          <w:rStyle w:val="normaltextrun"/>
          <w:rFonts w:ascii="Calibri" w:eastAsiaTheme="majorEastAsia" w:hAnsi="Calibri" w:cs="Calibri"/>
          <w:sz w:val="22"/>
          <w:szCs w:val="22"/>
        </w:rPr>
        <w:t>ISLA polled members on this question and note that 70% of responding members believe it is feasible, though not necessarily desirable, to operate different settlement cycles across different instruments. Examples of this can be observed in the U.K. market as of 2023, with Gilts and UK treasuries already settling on a T+1 settlement cycle. Members noted, although feasible, it is not preferable for different instruments to have different settlement cycles. Concerns to consider are the negative impacts of misalignment between the borrowed securities and their collateralisation, specifically where the collateral moves on the longer cycle compared to borrowed securities. </w:t>
      </w:r>
      <w:r>
        <w:rPr>
          <w:rStyle w:val="eop"/>
          <w:rFonts w:ascii="Calibri" w:eastAsiaTheme="majorEastAsia" w:hAnsi="Calibri" w:cs="Calibri"/>
          <w:sz w:val="22"/>
          <w:szCs w:val="22"/>
        </w:rPr>
        <w:t> </w:t>
      </w:r>
    </w:p>
    <w:p w14:paraId="03067722" w14:textId="697164C0"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We asked members to comment on whether this answer would differ if the UK and EU were on different settlement cycles. From that question, 86% of responding members noted that the answer would not change.</w:t>
      </w:r>
    </w:p>
    <w:permEnd w:id="254495919"/>
    <w:p w14:paraId="00E8016B" w14:textId="77777777" w:rsidR="00C5469A" w:rsidRDefault="00C5469A" w:rsidP="00C5469A">
      <w:r>
        <w:t>&lt;ESMA_QUESTION_SETT_18&gt;</w:t>
      </w:r>
    </w:p>
    <w:p w14:paraId="5F8B0C88" w14:textId="77777777" w:rsidR="00C5469A" w:rsidRDefault="00C5469A" w:rsidP="00C5469A"/>
    <w:p w14:paraId="746CB31E" w14:textId="77777777" w:rsidR="00C5469A" w:rsidRDefault="00C5469A" w:rsidP="00C5469A">
      <w:pPr>
        <w:pStyle w:val="Questionstyle"/>
        <w:numPr>
          <w:ilvl w:val="0"/>
          <w:numId w:val="14"/>
        </w:numPr>
        <w:ind w:left="0"/>
      </w:pPr>
      <w:r>
        <w:t>: Which financial instruments/ transaction types are easier to migrate to a shorter settlement period in the EU capital markets? Does the answer differ by asset class? Should it be feasible/advisable to have different migration times for different products/markets/assets? If yes, please elaborate.</w:t>
      </w:r>
    </w:p>
    <w:p w14:paraId="092078EB" w14:textId="77777777" w:rsidR="00C5469A" w:rsidRDefault="00C5469A" w:rsidP="00C5469A">
      <w:r>
        <w:t>&lt;ESMA_QUESTION_SETT_19&gt;</w:t>
      </w:r>
    </w:p>
    <w:p w14:paraId="38AEB9D6" w14:textId="0DE09854" w:rsidR="00647D97" w:rsidRDefault="00647D97" w:rsidP="00C5469A">
      <w:pPr>
        <w:rPr>
          <w:rStyle w:val="normaltextrun"/>
          <w:rFonts w:ascii="Calibri" w:hAnsi="Calibri" w:cs="Calibri"/>
          <w:color w:val="000000"/>
          <w:shd w:val="clear" w:color="auto" w:fill="FFFFFF"/>
        </w:rPr>
      </w:pPr>
      <w:permStart w:id="1982605857" w:edGrp="everyone"/>
      <w:r>
        <w:rPr>
          <w:rStyle w:val="normaltextrun"/>
          <w:rFonts w:ascii="Calibri" w:hAnsi="Calibri" w:cs="Calibri"/>
          <w:color w:val="000000"/>
          <w:shd w:val="clear" w:color="auto" w:fill="FFFFFF"/>
        </w:rPr>
        <w:t>Our members believe that there may be some instruments / transactions that could be easier to migrate to a shorter settlement period, but all asset classes and instruments should move together to reduce any confusion when T+1 goes live. This would help to decrease any possible unintended consequences.</w:t>
      </w:r>
    </w:p>
    <w:permEnd w:id="1982605857"/>
    <w:p w14:paraId="425F1C67" w14:textId="6B4B0940" w:rsidR="00C5469A" w:rsidRDefault="00C5469A" w:rsidP="00C5469A">
      <w:r>
        <w:t>&lt;ESMA_QUESTION_SETT_19&gt;</w:t>
      </w:r>
    </w:p>
    <w:p w14:paraId="55D17050" w14:textId="77777777" w:rsidR="00C5469A" w:rsidRDefault="00C5469A" w:rsidP="00C5469A"/>
    <w:p w14:paraId="5ECE7F2F" w14:textId="77777777" w:rsidR="00C5469A" w:rsidRDefault="00C5469A" w:rsidP="00C5469A">
      <w:pPr>
        <w:pStyle w:val="Questionstyle"/>
        <w:numPr>
          <w:ilvl w:val="0"/>
          <w:numId w:val="14"/>
        </w:numPr>
        <w:ind w:left="0"/>
      </w:pPr>
      <w:r>
        <w:t>: Do you think that the settlement cycle for transactions currently excluded by Article 5 of CSDR should be regulated? If you think that the settlement cycle of some or all of these transactions should be regulated, what would be in your view an appropriate length for their settlement cycle?</w:t>
      </w:r>
    </w:p>
    <w:p w14:paraId="32F20AE9" w14:textId="77777777" w:rsidR="00C5469A" w:rsidRDefault="00C5469A" w:rsidP="00C5469A">
      <w:r>
        <w:t>&lt;ESMA_QUESTION_SETT_20&gt;</w:t>
      </w:r>
    </w:p>
    <w:p w14:paraId="7E32B474" w14:textId="77777777" w:rsidR="00647D97" w:rsidRDefault="00647D97" w:rsidP="00C5469A">
      <w:pPr>
        <w:rPr>
          <w:rStyle w:val="normaltextrun"/>
          <w:rFonts w:ascii="Calibri" w:hAnsi="Calibri" w:cs="Calibri"/>
          <w:color w:val="000000"/>
          <w:shd w:val="clear" w:color="auto" w:fill="FFFFFF"/>
        </w:rPr>
      </w:pPr>
      <w:permStart w:id="558774206" w:edGrp="everyone"/>
      <w:r>
        <w:rPr>
          <w:rStyle w:val="normaltextrun"/>
          <w:rFonts w:ascii="Calibri" w:hAnsi="Calibri" w:cs="Calibri"/>
          <w:color w:val="000000"/>
          <w:shd w:val="clear" w:color="auto" w:fill="FFFFFF"/>
        </w:rPr>
        <w:lastRenderedPageBreak/>
        <w:t>Our members believe that the exclusion noted in Article 5 of CSDR would not require further regulation. Please also refer to question 1.2 where we provide details from our members regarding potential legislative actions to address settlement efficiency pain points.</w:t>
      </w:r>
    </w:p>
    <w:permEnd w:id="558774206"/>
    <w:p w14:paraId="3A4B113A" w14:textId="711643C4" w:rsidR="00C5469A" w:rsidRDefault="00C5469A" w:rsidP="00C5469A">
      <w:r>
        <w:t>&lt;ESMA_QUESTION_SETT_20&gt;</w:t>
      </w:r>
    </w:p>
    <w:p w14:paraId="6CE0BB47" w14:textId="31BA3366" w:rsidR="00C5469A" w:rsidRDefault="00C5469A" w:rsidP="00C5469A"/>
    <w:p w14:paraId="4F52A1CD" w14:textId="301615D5" w:rsidR="00C5469A" w:rsidRDefault="00C5469A" w:rsidP="00C5469A"/>
    <w:p w14:paraId="5A50567B" w14:textId="57129F2C" w:rsidR="00C5469A" w:rsidRDefault="00C5469A" w:rsidP="00C5469A"/>
    <w:p w14:paraId="007149CF" w14:textId="77777777" w:rsidR="00C5469A" w:rsidRDefault="00C5469A" w:rsidP="00C5469A"/>
    <w:p w14:paraId="047D9180" w14:textId="77777777" w:rsidR="00C5469A" w:rsidRDefault="00C5469A" w:rsidP="00C5469A">
      <w:pPr>
        <w:pStyle w:val="Questionstyle"/>
        <w:numPr>
          <w:ilvl w:val="0"/>
          <w:numId w:val="14"/>
        </w:numPr>
        <w:ind w:left="0"/>
      </w:pPr>
      <w:r>
        <w:t>: Please describe the impact(s) that the transition to T+1 in other jurisdictions has had or will have on your operations, assuming the EU remains on a T+2 cycle.</w:t>
      </w:r>
    </w:p>
    <w:p w14:paraId="604394F8" w14:textId="77777777" w:rsidR="00C5469A" w:rsidRDefault="00C5469A" w:rsidP="00C5469A">
      <w:r>
        <w:t>&lt;ESMA_QUESTION_SETT_21&gt;</w:t>
      </w:r>
    </w:p>
    <w:p w14:paraId="0660E3E1" w14:textId="77777777" w:rsidR="00647D97" w:rsidRDefault="00647D97" w:rsidP="00647D97">
      <w:pPr>
        <w:pStyle w:val="paragraph"/>
        <w:spacing w:before="0" w:beforeAutospacing="0" w:after="0" w:afterAutospacing="0"/>
        <w:textAlignment w:val="baseline"/>
        <w:rPr>
          <w:rFonts w:ascii="Calibri" w:hAnsi="Calibri" w:cs="Calibri"/>
          <w:sz w:val="22"/>
          <w:szCs w:val="22"/>
        </w:rPr>
      </w:pPr>
      <w:permStart w:id="6054277" w:edGrp="everyone"/>
      <w:r>
        <w:rPr>
          <w:rStyle w:val="normaltextrun"/>
          <w:rFonts w:ascii="Calibri" w:eastAsiaTheme="majorEastAsia" w:hAnsi="Calibri" w:cs="Calibri"/>
          <w:sz w:val="22"/>
          <w:szCs w:val="22"/>
        </w:rPr>
        <w:t>Further to our response to question 8, we understand that firms with a global presence have undertaken global impact assessments of various migrations to T+1. These could be leveraged towards any EU transition with feedback indicating settlement process impacts do differ by jurisdiction. </w:t>
      </w:r>
      <w:r>
        <w:rPr>
          <w:rStyle w:val="eop"/>
          <w:rFonts w:ascii="Calibri" w:eastAsiaTheme="majorEastAsia" w:hAnsi="Calibri" w:cs="Calibri"/>
          <w:sz w:val="22"/>
          <w:szCs w:val="22"/>
        </w:rPr>
        <w:t> </w:t>
      </w:r>
    </w:p>
    <w:p w14:paraId="4E12DD1E" w14:textId="77777777" w:rsidR="00647D97" w:rsidRDefault="00647D97" w:rsidP="00647D97">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Global inconsistencies in settlement cycles could cause an increased delta between securities movements and related funding/FX cycles, introducing considerable operational risks. There are also challenges raised in relation to dual-listed instruments and, depending on where the security is traded, different settlement cycle rules may apply. There are concerns regarding potential increased challenges associated with cross-border transactions, with these challenges resulting in a decrease in EU market engagement.</w:t>
      </w:r>
      <w:r>
        <w:rPr>
          <w:rStyle w:val="eop"/>
          <w:rFonts w:ascii="Calibri" w:eastAsiaTheme="majorEastAsia" w:hAnsi="Calibri" w:cs="Calibri"/>
          <w:sz w:val="22"/>
          <w:szCs w:val="22"/>
        </w:rPr>
        <w:t> </w:t>
      </w:r>
    </w:p>
    <w:p w14:paraId="44B9B272" w14:textId="77777777" w:rsidR="00647D97" w:rsidRDefault="00647D97" w:rsidP="00647D97">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The trade association EU taskforce has noted SLB impacts to EU markets from the US migration to T+1, with excerpts listed below as:</w:t>
      </w:r>
      <w:r>
        <w:rPr>
          <w:rStyle w:val="eop"/>
          <w:rFonts w:ascii="Calibri" w:eastAsiaTheme="majorEastAsia" w:hAnsi="Calibri" w:cs="Calibri"/>
          <w:sz w:val="22"/>
          <w:szCs w:val="22"/>
        </w:rPr>
        <w:t> </w:t>
      </w:r>
    </w:p>
    <w:p w14:paraId="22FFA47F" w14:textId="77777777" w:rsidR="00647D97" w:rsidRDefault="00647D97" w:rsidP="00647D97">
      <w:pPr>
        <w:pStyle w:val="paragraph"/>
        <w:numPr>
          <w:ilvl w:val="0"/>
          <w:numId w:val="6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Firms managing their inventory of securities in today’s financial market rely heavily on the ability to move securities across borders in an efficient and timely manner. In this context, managing shorter settlement cycles is especially challenging, as it involves managing differences in settlement cycles across jurisdictions. </w:t>
      </w:r>
      <w:r>
        <w:rPr>
          <w:rStyle w:val="eop"/>
          <w:rFonts w:ascii="Calibri" w:eastAsiaTheme="majorEastAsia" w:hAnsi="Calibri" w:cs="Calibri"/>
          <w:sz w:val="22"/>
          <w:szCs w:val="22"/>
        </w:rPr>
        <w:t> </w:t>
      </w:r>
    </w:p>
    <w:p w14:paraId="445650E3" w14:textId="77777777" w:rsidR="00647D97" w:rsidRDefault="00647D97" w:rsidP="00647D97">
      <w:pPr>
        <w:pStyle w:val="paragraph"/>
        <w:numPr>
          <w:ilvl w:val="0"/>
          <w:numId w:val="6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Securities financing transactions (SFTs), such as repo and securities lending, are key functions of inventory management. SFTs are essential for funding purposes, allowing dealers to manage their trading positions, which is critical for market making. As a result, SFTs often settle on a shorter cycle than the underlying cash trades, which means that a shortening of the cash market settlement cycle puts additional strain on those activities.</w:t>
      </w:r>
      <w:r>
        <w:rPr>
          <w:rStyle w:val="eop"/>
          <w:rFonts w:ascii="Calibri" w:eastAsiaTheme="majorEastAsia" w:hAnsi="Calibri" w:cs="Calibri"/>
          <w:sz w:val="22"/>
          <w:szCs w:val="22"/>
        </w:rPr>
        <w:t> </w:t>
      </w:r>
    </w:p>
    <w:p w14:paraId="3E69E982" w14:textId="77777777" w:rsidR="00647D97" w:rsidRDefault="00647D97" w:rsidP="00647D97">
      <w:pPr>
        <w:pStyle w:val="paragraph"/>
        <w:numPr>
          <w:ilvl w:val="0"/>
          <w:numId w:val="6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European market participants engaged in US securities lending and repo will have a narrower window to initiate and complete transactions, potentially affecting their ability to find suitable counterparties on appropriate terms, and complete settlement on time.</w:t>
      </w:r>
      <w:r>
        <w:rPr>
          <w:rStyle w:val="eop"/>
          <w:rFonts w:ascii="Calibri" w:eastAsiaTheme="majorEastAsia" w:hAnsi="Calibri" w:cs="Calibri"/>
          <w:sz w:val="22"/>
          <w:szCs w:val="22"/>
        </w:rPr>
        <w:t> </w:t>
      </w:r>
    </w:p>
    <w:p w14:paraId="0030004A" w14:textId="77777777" w:rsidR="00647D97" w:rsidRDefault="00647D97" w:rsidP="00647D97">
      <w:pPr>
        <w:pStyle w:val="paragraph"/>
        <w:numPr>
          <w:ilvl w:val="0"/>
          <w:numId w:val="6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lastRenderedPageBreak/>
        <w:t>In particular, with US securities settling on a T+1 cycle, European firms may find that stock recalls are not completed in time to satisfy the shorter settlement cycle. This is most likely to be a problem for trades later in the day, in view of current standard industry practice for agency lenders to enforce a cut-off time 2 hours before markets close. </w:t>
      </w:r>
      <w:r>
        <w:rPr>
          <w:rStyle w:val="eop"/>
          <w:rFonts w:ascii="Calibri" w:eastAsiaTheme="majorEastAsia" w:hAnsi="Calibri" w:cs="Calibri"/>
          <w:sz w:val="22"/>
          <w:szCs w:val="22"/>
        </w:rPr>
        <w:t> </w:t>
      </w:r>
    </w:p>
    <w:p w14:paraId="4C87C51D" w14:textId="77777777" w:rsidR="00647D97" w:rsidRDefault="00647D97" w:rsidP="00647D97">
      <w:pPr>
        <w:pStyle w:val="paragraph"/>
        <w:numPr>
          <w:ilvl w:val="0"/>
          <w:numId w:val="6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The compressed settlement timeframe will require enhanced operational efficiency in securities lending activities. Lenders and borrowers must streamline their processes, improve communication channels, and ensure seamless coordination to meet tighter settlement deadlines.</w:t>
      </w:r>
      <w:r>
        <w:rPr>
          <w:rStyle w:val="eop"/>
          <w:rFonts w:ascii="Calibri" w:eastAsiaTheme="majorEastAsia" w:hAnsi="Calibri" w:cs="Calibri"/>
          <w:sz w:val="22"/>
          <w:szCs w:val="22"/>
        </w:rPr>
        <w:t> </w:t>
      </w:r>
    </w:p>
    <w:p w14:paraId="1BB6D426" w14:textId="6AEE0714" w:rsidR="00C5469A" w:rsidRPr="00647D97" w:rsidRDefault="00647D97" w:rsidP="00C5469A">
      <w:pPr>
        <w:pStyle w:val="paragraph"/>
        <w:numPr>
          <w:ilvl w:val="0"/>
          <w:numId w:val="6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The shorter settlement cycle can impact collateral management. Borrowers will need to ensure the timely availability of acceptable collateral to secure borrowed securities, while lenders would need to efficiently manage collateral receipts and returns within the compressed timeframe.</w:t>
      </w:r>
    </w:p>
    <w:permEnd w:id="6054277"/>
    <w:p w14:paraId="4FF5786A" w14:textId="77777777" w:rsidR="00C5469A" w:rsidRDefault="00C5469A" w:rsidP="00C5469A">
      <w:r>
        <w:t>&lt;ESMA_QUESTION_SETT_21&gt;</w:t>
      </w:r>
    </w:p>
    <w:p w14:paraId="171966B5" w14:textId="77777777" w:rsidR="00C5469A" w:rsidRDefault="00C5469A" w:rsidP="00C5469A"/>
    <w:p w14:paraId="4485EC52" w14:textId="77777777" w:rsidR="00C5469A" w:rsidRDefault="00C5469A" w:rsidP="00C5469A">
      <w:pPr>
        <w:pStyle w:val="Questionstyle"/>
        <w:numPr>
          <w:ilvl w:val="0"/>
          <w:numId w:val="14"/>
        </w:numPr>
        <w:ind w:left="0"/>
      </w:pPr>
      <w:r>
        <w:t>: Can you identify any EU legislative or regulatory action that would reduce the impact of the move to T+1 in third countries for EU market participants? Please specify the content of the regulatory action and justify why it would be necessary. In particular, please clarify whether those regulatory actions would be necessary in the event of a transition of the EU to a shorter settlement cycle, or they would be specific only to address the misaligned cycles.</w:t>
      </w:r>
    </w:p>
    <w:p w14:paraId="60C7D2F7" w14:textId="77777777" w:rsidR="00C5469A" w:rsidRDefault="00C5469A" w:rsidP="00C5469A">
      <w:r>
        <w:t>&lt;ESMA_QUESTION_SETT_22&gt;</w:t>
      </w:r>
    </w:p>
    <w:p w14:paraId="4711881B" w14:textId="5145D78A" w:rsidR="00647D97" w:rsidRDefault="00647D97" w:rsidP="00C5469A">
      <w:pPr>
        <w:rPr>
          <w:rStyle w:val="eop"/>
          <w:rFonts w:ascii="Calibri" w:hAnsi="Calibri" w:cs="Calibri"/>
          <w:color w:val="000000"/>
          <w:szCs w:val="22"/>
          <w:shd w:val="clear" w:color="auto" w:fill="FFFFFF"/>
        </w:rPr>
      </w:pPr>
      <w:permStart w:id="1778254877" w:edGrp="everyone"/>
      <w:r>
        <w:rPr>
          <w:rStyle w:val="normaltextrun"/>
          <w:rFonts w:ascii="Calibri" w:hAnsi="Calibri" w:cs="Calibri"/>
          <w:color w:val="000000"/>
          <w:szCs w:val="22"/>
          <w:shd w:val="clear" w:color="auto" w:fill="FFFFFF"/>
        </w:rPr>
        <w:t>Our members have noted that the synchronisation of the FOP (Free of Payment) and DVP (Delivery versus Payment) settlement deadlines would be helpful to reduce the impact of the move to T+1. The continued misalignment of these settlement deadlines could create additional friction and operational risk within a potential transition of T+1. For further details on the impact of legislative or regulatory actions that could be helpful in a T+1 environment, please refer to Question 1.2.</w:t>
      </w:r>
    </w:p>
    <w:permEnd w:id="1778254877"/>
    <w:p w14:paraId="148017C4" w14:textId="52ACB7BC" w:rsidR="00C5469A" w:rsidRDefault="00C5469A" w:rsidP="00C5469A">
      <w:r>
        <w:t>&lt;ESMA_QUESTION_SETT_22&gt;</w:t>
      </w:r>
    </w:p>
    <w:p w14:paraId="111C6F7B" w14:textId="77777777" w:rsidR="00C5469A" w:rsidRDefault="00C5469A" w:rsidP="00C5469A"/>
    <w:p w14:paraId="0AED7AC8" w14:textId="77777777" w:rsidR="00C5469A" w:rsidRDefault="00C5469A" w:rsidP="00C5469A">
      <w:pPr>
        <w:pStyle w:val="Questionstyle"/>
        <w:numPr>
          <w:ilvl w:val="0"/>
          <w:numId w:val="14"/>
        </w:numPr>
        <w:ind w:left="142"/>
      </w:pPr>
      <w:r>
        <w:t>: Do you see benefits in the harmonisation of settlement cycles with other non-EU jurisdictions?</w:t>
      </w:r>
    </w:p>
    <w:p w14:paraId="538C0DDE" w14:textId="77777777" w:rsidR="00C5469A" w:rsidRDefault="00C5469A" w:rsidP="00C5469A">
      <w:r>
        <w:t>&lt;ESMA_QUESTION_SETT_23&gt;</w:t>
      </w:r>
    </w:p>
    <w:p w14:paraId="19A842FC" w14:textId="41870483" w:rsidR="00647D97" w:rsidRDefault="00647D97" w:rsidP="00647D97">
      <w:pPr>
        <w:pStyle w:val="paragraph"/>
        <w:spacing w:before="0" w:beforeAutospacing="0" w:after="0" w:afterAutospacing="0"/>
        <w:textAlignment w:val="baseline"/>
        <w:rPr>
          <w:rFonts w:ascii="Segoe UI" w:hAnsi="Segoe UI" w:cs="Segoe UI"/>
          <w:sz w:val="18"/>
          <w:szCs w:val="18"/>
        </w:rPr>
      </w:pPr>
      <w:permStart w:id="1174998131" w:edGrp="everyone"/>
      <w:r>
        <w:rPr>
          <w:rStyle w:val="normaltextrun"/>
          <w:rFonts w:ascii="Calibri" w:eastAsiaTheme="majorEastAsia" w:hAnsi="Calibri" w:cs="Calibri"/>
          <w:sz w:val="22"/>
          <w:szCs w:val="22"/>
        </w:rPr>
        <w:lastRenderedPageBreak/>
        <w:t>As noted in our response to question 21, there are challenges associated with the EU being on a different settlement cycle to other jurisdictions. These challenges may be reduced in a harmonised settlement cycle.</w:t>
      </w:r>
      <w:r>
        <w:rPr>
          <w:rStyle w:val="eop"/>
          <w:rFonts w:ascii="Calibri" w:eastAsiaTheme="majorEastAsia" w:hAnsi="Calibri" w:cs="Calibri"/>
          <w:sz w:val="22"/>
          <w:szCs w:val="22"/>
        </w:rPr>
        <w:t> </w:t>
      </w:r>
    </w:p>
    <w:permEnd w:id="1174998131"/>
    <w:p w14:paraId="047F0C9D" w14:textId="77777777" w:rsidR="00C5469A" w:rsidRDefault="00C5469A" w:rsidP="00C5469A">
      <w:r>
        <w:t>&lt;ESMA_QUESTION_SETT_23&gt;</w:t>
      </w:r>
    </w:p>
    <w:p w14:paraId="19138CD9" w14:textId="7D5E3157" w:rsidR="00C5469A" w:rsidRDefault="00C5469A" w:rsidP="00C5469A"/>
    <w:p w14:paraId="2197C700" w14:textId="56BA1028" w:rsidR="00C5469A" w:rsidRDefault="00C5469A" w:rsidP="00C5469A"/>
    <w:p w14:paraId="3B0AC179" w14:textId="26AD0ADC" w:rsidR="00C5469A" w:rsidRDefault="00C5469A" w:rsidP="00C5469A"/>
    <w:p w14:paraId="578673D6" w14:textId="77777777" w:rsidR="00C5469A" w:rsidRDefault="00C5469A" w:rsidP="00C5469A"/>
    <w:p w14:paraId="1E0F21F2" w14:textId="77777777" w:rsidR="00C5469A" w:rsidRDefault="00C5469A" w:rsidP="00C5469A">
      <w:pPr>
        <w:pStyle w:val="Questionstyle"/>
        <w:numPr>
          <w:ilvl w:val="0"/>
          <w:numId w:val="14"/>
        </w:numPr>
        <w:ind w:left="0"/>
      </w:pPr>
      <w:r>
        <w:t>: Would reducing the settlement cycle bring any other indirect benefits to the Capital Markets Union and the EU's position internationally?</w:t>
      </w:r>
    </w:p>
    <w:p w14:paraId="459614D5" w14:textId="77777777" w:rsidR="00C5469A" w:rsidRDefault="00C5469A" w:rsidP="00C5469A">
      <w:r>
        <w:t>&lt;ESMA_QUESTION_SETT_24&gt;</w:t>
      </w:r>
    </w:p>
    <w:p w14:paraId="3D5E0A03" w14:textId="5BB2F1DA" w:rsidR="00647D97" w:rsidRDefault="00647D97" w:rsidP="00C5469A">
      <w:pPr>
        <w:rPr>
          <w:rStyle w:val="eop"/>
          <w:rFonts w:ascii="Calibri" w:hAnsi="Calibri" w:cs="Calibri"/>
          <w:color w:val="000000"/>
          <w:szCs w:val="22"/>
          <w:shd w:val="clear" w:color="auto" w:fill="FFFFFF"/>
        </w:rPr>
      </w:pPr>
      <w:permStart w:id="2138049322" w:edGrp="everyone"/>
      <w:r>
        <w:rPr>
          <w:rStyle w:val="normaltextrun"/>
          <w:rFonts w:ascii="Calibri" w:hAnsi="Calibri" w:cs="Calibri"/>
          <w:color w:val="000000"/>
          <w:szCs w:val="22"/>
          <w:shd w:val="clear" w:color="auto" w:fill="FFFFFF"/>
        </w:rPr>
        <w:t>Our response to questions 9, 10 and 11 note the limited benefits that could be estimated as of 2023.</w:t>
      </w:r>
    </w:p>
    <w:permEnd w:id="2138049322"/>
    <w:p w14:paraId="7DB45E0B" w14:textId="5D346044" w:rsidR="00C5469A" w:rsidRDefault="00C5469A" w:rsidP="00C5469A">
      <w:r>
        <w:t>&lt;ESMA_QUESTION_SETT_24&gt;</w:t>
      </w:r>
    </w:p>
    <w:p w14:paraId="0B88C95B" w14:textId="77777777" w:rsidR="00C5469A" w:rsidRDefault="00C5469A" w:rsidP="00C5469A"/>
    <w:p w14:paraId="19A15731" w14:textId="77777777" w:rsidR="00C5469A" w:rsidRDefault="00C5469A" w:rsidP="00C5469A">
      <w:pPr>
        <w:pStyle w:val="Questionstyle"/>
        <w:numPr>
          <w:ilvl w:val="0"/>
          <w:numId w:val="14"/>
        </w:numPr>
        <w:ind w:left="0"/>
      </w:pPr>
      <w:r>
        <w:t>: Do you consider that the adaptation of EU market participants to the shorter settlement cycles in other jurisdictions could facilitate the adoption of T+1 or T+0 in the EU? Please elaborate.</w:t>
      </w:r>
    </w:p>
    <w:p w14:paraId="5D9AAFF1" w14:textId="77777777" w:rsidR="00C5469A" w:rsidRDefault="00C5469A" w:rsidP="00C5469A">
      <w:r>
        <w:t>&lt;ESMA_QUESTION_SETT_25&gt;</w:t>
      </w:r>
    </w:p>
    <w:p w14:paraId="6D218221"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permStart w:id="1765815298" w:edGrp="everyone"/>
      <w:r>
        <w:rPr>
          <w:rStyle w:val="normaltextrun"/>
          <w:rFonts w:ascii="Calibri" w:eastAsiaTheme="majorEastAsia" w:hAnsi="Calibri" w:cs="Calibri"/>
          <w:sz w:val="22"/>
          <w:szCs w:val="22"/>
        </w:rPr>
        <w:t>Our members have noted that lessons must be learnt from other markets adopting shorter settlement cycles. However, the complex nature of the EU calls for a different approach to manage those unique features.</w:t>
      </w:r>
      <w:r>
        <w:rPr>
          <w:rStyle w:val="eop"/>
          <w:rFonts w:ascii="Calibri" w:eastAsiaTheme="majorEastAsia" w:hAnsi="Calibri" w:cs="Calibri"/>
          <w:sz w:val="22"/>
          <w:szCs w:val="22"/>
        </w:rPr>
        <w:t> </w:t>
      </w:r>
    </w:p>
    <w:p w14:paraId="398A114B" w14:textId="77777777" w:rsidR="00647D97" w:rsidRDefault="00647D97" w:rsidP="00647D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normaltextrun"/>
          <w:rFonts w:ascii="Calibri" w:eastAsiaTheme="majorEastAsia" w:hAnsi="Calibri" w:cs="Calibri"/>
          <w:color w:val="242424"/>
          <w:sz w:val="22"/>
          <w:szCs w:val="22"/>
        </w:rPr>
        <w:t>As this question related to T+0, please refer to the joint association letter in Annex 1.</w:t>
      </w:r>
    </w:p>
    <w:permEnd w:id="1765815298"/>
    <w:p w14:paraId="0477E185" w14:textId="77777777" w:rsidR="00C5469A" w:rsidRDefault="00C5469A" w:rsidP="00C5469A">
      <w:r>
        <w:t>&lt;ESMA_QUESTION_SETT_25&gt;</w:t>
      </w:r>
    </w:p>
    <w:p w14:paraId="06135D26" w14:textId="77777777" w:rsidR="00C5469A" w:rsidRDefault="00C5469A" w:rsidP="00C5469A"/>
    <w:p w14:paraId="2FE92644" w14:textId="77777777" w:rsidR="00C5469A" w:rsidRDefault="00C5469A" w:rsidP="00C5469A">
      <w:pPr>
        <w:pStyle w:val="Questionstyle"/>
        <w:numPr>
          <w:ilvl w:val="0"/>
          <w:numId w:val="14"/>
        </w:numPr>
        <w:ind w:left="0"/>
      </w:pPr>
      <w:r>
        <w:t>: Would different settlement cycles in the EU and other non-EU jurisdictions be a viable option?</w:t>
      </w:r>
    </w:p>
    <w:p w14:paraId="1E6DBFAB" w14:textId="77777777" w:rsidR="00C5469A" w:rsidRDefault="00C5469A" w:rsidP="00C5469A">
      <w:r>
        <w:t>&lt;ESMA_QUESTION_SETT_26&gt;</w:t>
      </w:r>
    </w:p>
    <w:p w14:paraId="5CAA9E1C" w14:textId="6689D88F" w:rsidR="00647D97" w:rsidRDefault="00647D97" w:rsidP="00C5469A">
      <w:pPr>
        <w:rPr>
          <w:rStyle w:val="eop"/>
          <w:rFonts w:ascii="Calibri" w:hAnsi="Calibri" w:cs="Calibri"/>
          <w:color w:val="000000"/>
          <w:szCs w:val="22"/>
          <w:shd w:val="clear" w:color="auto" w:fill="FFFFFF"/>
        </w:rPr>
      </w:pPr>
      <w:permStart w:id="1934034529" w:edGrp="everyone"/>
      <w:r>
        <w:rPr>
          <w:rStyle w:val="normaltextrun"/>
          <w:rFonts w:ascii="Calibri" w:hAnsi="Calibri" w:cs="Calibri"/>
          <w:color w:val="000000"/>
          <w:szCs w:val="22"/>
          <w:shd w:val="clear" w:color="auto" w:fill="FFFFFF"/>
        </w:rPr>
        <w:lastRenderedPageBreak/>
        <w:t>Please refer to our response to question 18.</w:t>
      </w:r>
    </w:p>
    <w:permEnd w:id="1934034529"/>
    <w:p w14:paraId="1655DD50" w14:textId="2DCAEB1E" w:rsidR="00C5469A" w:rsidRDefault="00C5469A" w:rsidP="00C5469A">
      <w:r>
        <w:t>&lt;ESMA_QUESTION_SETT_26&gt;</w:t>
      </w:r>
    </w:p>
    <w:p w14:paraId="77180B12" w14:textId="77777777" w:rsidR="00C5469A" w:rsidRDefault="00C5469A" w:rsidP="00C5469A"/>
    <w:p w14:paraId="706D968A" w14:textId="77777777" w:rsidR="00C5469A" w:rsidRDefault="00C5469A" w:rsidP="00C5469A">
      <w:pPr>
        <w:pStyle w:val="Questionstyle"/>
        <w:numPr>
          <w:ilvl w:val="0"/>
          <w:numId w:val="14"/>
        </w:numPr>
        <w:ind w:left="0"/>
      </w:pPr>
      <w:r>
        <w:t>: Please elaborate about any other issue in relation to the shortening of the securities settlement cycle in the EU or in third-country jurisdictions not previously addressed in the Call for Evidence.</w:t>
      </w:r>
    </w:p>
    <w:p w14:paraId="373526A4" w14:textId="77777777" w:rsidR="00C5469A" w:rsidRDefault="00C5469A" w:rsidP="00C5469A">
      <w:r>
        <w:t>&lt;ESMA_QUESTION_SETT_27&gt;</w:t>
      </w:r>
    </w:p>
    <w:p w14:paraId="37C8EBB7" w14:textId="32078BC5" w:rsidR="00647D97" w:rsidRDefault="00647D97" w:rsidP="00B15C0B">
      <w:pPr>
        <w:rPr>
          <w:rStyle w:val="eop"/>
          <w:rFonts w:ascii="Calibri" w:hAnsi="Calibri" w:cs="Calibri"/>
          <w:color w:val="000000"/>
          <w:szCs w:val="22"/>
          <w:shd w:val="clear" w:color="auto" w:fill="FFFFFF"/>
        </w:rPr>
      </w:pPr>
      <w:permStart w:id="1617899118" w:edGrp="everyone"/>
      <w:r>
        <w:rPr>
          <w:rStyle w:val="normaltextrun"/>
          <w:rFonts w:ascii="Calibri" w:hAnsi="Calibri" w:cs="Calibri"/>
          <w:color w:val="000000"/>
          <w:szCs w:val="22"/>
          <w:shd w:val="clear" w:color="auto" w:fill="FFFFFF"/>
        </w:rPr>
        <w:t>Our members believe that our response to the Call for Evidence questions cover most of the issues relating to the shortening of the securities settlement cycle in the EU.</w:t>
      </w:r>
    </w:p>
    <w:permEnd w:id="1617899118"/>
    <w:p w14:paraId="04595985" w14:textId="534922CD" w:rsidR="00B15C0B" w:rsidRPr="00C5469A" w:rsidRDefault="00C5469A" w:rsidP="00B15C0B">
      <w:r>
        <w:t>&lt;ESMA_QUESTION_SETT_27&gt;</w:t>
      </w:r>
    </w:p>
    <w:sectPr w:rsidR="00B15C0B" w:rsidRPr="00C5469A" w:rsidSect="00AD0B10">
      <w:headerReference w:type="default" r:id="rId22"/>
      <w:footerReference w:type="default" r:id="rId23"/>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60D94" w14:textId="77777777" w:rsidR="00752E39" w:rsidRDefault="00752E39" w:rsidP="007E7997">
      <w:pPr>
        <w:spacing w:line="240" w:lineRule="auto"/>
      </w:pPr>
      <w:r>
        <w:separator/>
      </w:r>
    </w:p>
  </w:endnote>
  <w:endnote w:type="continuationSeparator" w:id="0">
    <w:p w14:paraId="1B58F55E" w14:textId="77777777" w:rsidR="00752E39" w:rsidRDefault="00752E39" w:rsidP="007E7997">
      <w:pPr>
        <w:spacing w:line="240" w:lineRule="auto"/>
      </w:pPr>
      <w:r>
        <w:continuationSeparator/>
      </w:r>
    </w:p>
  </w:endnote>
  <w:endnote w:type="continuationNotice" w:id="1">
    <w:p w14:paraId="6085D5BE" w14:textId="77777777" w:rsidR="00752E39" w:rsidRDefault="00752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1B4F" w:themeColor="text1" w:themeShade="80"/>
        <w:sz w:val="16"/>
      </w:rPr>
      <w:id w:val="-1421483652"/>
      <w:docPartObj>
        <w:docPartGallery w:val="Page Numbers (Bottom of Page)"/>
        <w:docPartUnique/>
      </w:docPartObj>
    </w:sdtPr>
    <w:sdtEndPr>
      <w:rPr>
        <w:noProof/>
      </w:rPr>
    </w:sdtEnd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B7DDA" w14:textId="77777777" w:rsidR="00752E39" w:rsidRDefault="00752E39" w:rsidP="007E7997">
      <w:pPr>
        <w:spacing w:line="240" w:lineRule="auto"/>
      </w:pPr>
      <w:r>
        <w:separator/>
      </w:r>
    </w:p>
  </w:footnote>
  <w:footnote w:type="continuationSeparator" w:id="0">
    <w:p w14:paraId="4515CCB2" w14:textId="77777777" w:rsidR="00752E39" w:rsidRDefault="00752E39" w:rsidP="007E7997">
      <w:pPr>
        <w:spacing w:line="240" w:lineRule="auto"/>
      </w:pPr>
      <w:r>
        <w:continuationSeparator/>
      </w:r>
    </w:p>
  </w:footnote>
  <w:footnote w:type="continuationNotice" w:id="1">
    <w:p w14:paraId="60D997DE" w14:textId="77777777" w:rsidR="00752E39" w:rsidRDefault="00752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2FE584B9"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A3E0A">
      <w:t>5</w:t>
    </w:r>
    <w:r w:rsidR="00282901">
      <w:t xml:space="preserve"> </w:t>
    </w:r>
    <w:r w:rsidR="007A3E0A">
      <w:t>October</w:t>
    </w:r>
    <w:r w:rsidR="00282901">
      <w:t xml:space="preserve"> 2023</w:t>
    </w:r>
  </w:p>
  <w:p w14:paraId="2AC4487A" w14:textId="49B7B31C" w:rsidR="00D77369" w:rsidRPr="00D77369" w:rsidRDefault="00B03969" w:rsidP="00D77369">
    <w:pPr>
      <w:pStyle w:val="Header"/>
    </w:pPr>
    <w:r w:rsidRPr="00B03969">
      <w:t>ESMA74-2119945925-1689</w:t>
    </w:r>
  </w:p>
  <w:p w14:paraId="471D4524" w14:textId="77777777" w:rsidR="004E5FF8" w:rsidRDefault="004E5FF8" w:rsidP="004E5FF8"/>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AC1"/>
    <w:multiLevelType w:val="multilevel"/>
    <w:tmpl w:val="EEC0EC0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1E0A6C"/>
    <w:multiLevelType w:val="multilevel"/>
    <w:tmpl w:val="E5F2F5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CD5999"/>
    <w:multiLevelType w:val="multilevel"/>
    <w:tmpl w:val="2F68010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B42CA"/>
    <w:multiLevelType w:val="multilevel"/>
    <w:tmpl w:val="1306483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C36211E"/>
    <w:multiLevelType w:val="multilevel"/>
    <w:tmpl w:val="7C34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66660A"/>
    <w:multiLevelType w:val="multilevel"/>
    <w:tmpl w:val="941E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03457A"/>
    <w:multiLevelType w:val="multilevel"/>
    <w:tmpl w:val="599083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2D05D9C"/>
    <w:multiLevelType w:val="multilevel"/>
    <w:tmpl w:val="F5AEDD5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C91A90"/>
    <w:multiLevelType w:val="multilevel"/>
    <w:tmpl w:val="5366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340A88"/>
    <w:multiLevelType w:val="multilevel"/>
    <w:tmpl w:val="7E9C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555121"/>
    <w:multiLevelType w:val="multilevel"/>
    <w:tmpl w:val="41326A3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CFA5349"/>
    <w:multiLevelType w:val="multilevel"/>
    <w:tmpl w:val="D9C886C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3F77E5A"/>
    <w:multiLevelType w:val="multilevel"/>
    <w:tmpl w:val="36FCEF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55559BD"/>
    <w:multiLevelType w:val="multilevel"/>
    <w:tmpl w:val="0614B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4302D3"/>
    <w:multiLevelType w:val="multilevel"/>
    <w:tmpl w:val="24B4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2C0F025D"/>
    <w:multiLevelType w:val="multilevel"/>
    <w:tmpl w:val="C8D8888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2FAE74FD"/>
    <w:multiLevelType w:val="multilevel"/>
    <w:tmpl w:val="C9008BF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2FBC6AF2"/>
    <w:multiLevelType w:val="multilevel"/>
    <w:tmpl w:val="0C5EB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C130E3"/>
    <w:multiLevelType w:val="multilevel"/>
    <w:tmpl w:val="45CC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670239B"/>
    <w:multiLevelType w:val="multilevel"/>
    <w:tmpl w:val="613EEB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3B0B4CF6"/>
    <w:multiLevelType w:val="multilevel"/>
    <w:tmpl w:val="6DCA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C92F7F"/>
    <w:multiLevelType w:val="multilevel"/>
    <w:tmpl w:val="AC6AE0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30" w15:restartNumberingAfterBreak="0">
    <w:nsid w:val="3EF04FFF"/>
    <w:multiLevelType w:val="multilevel"/>
    <w:tmpl w:val="560C5F9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40D61B2D"/>
    <w:multiLevelType w:val="multilevel"/>
    <w:tmpl w:val="97C83D5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41F63E5D"/>
    <w:multiLevelType w:val="multilevel"/>
    <w:tmpl w:val="6C38140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4608595C"/>
    <w:multiLevelType w:val="multilevel"/>
    <w:tmpl w:val="DB6C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282A61"/>
    <w:multiLevelType w:val="multilevel"/>
    <w:tmpl w:val="040466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417C55"/>
    <w:multiLevelType w:val="multilevel"/>
    <w:tmpl w:val="54DA8B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DE60E1"/>
    <w:multiLevelType w:val="multilevel"/>
    <w:tmpl w:val="E034BB1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4A143014"/>
    <w:multiLevelType w:val="multilevel"/>
    <w:tmpl w:val="3E24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16000E"/>
    <w:multiLevelType w:val="multilevel"/>
    <w:tmpl w:val="7242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E02ED9"/>
    <w:multiLevelType w:val="multilevel"/>
    <w:tmpl w:val="E0E2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B647B98"/>
    <w:multiLevelType w:val="multilevel"/>
    <w:tmpl w:val="7818C7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4E0265BC"/>
    <w:multiLevelType w:val="multilevel"/>
    <w:tmpl w:val="5DCCF70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5C44660C"/>
    <w:multiLevelType w:val="multilevel"/>
    <w:tmpl w:val="5DF8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DFD0A63"/>
    <w:multiLevelType w:val="multilevel"/>
    <w:tmpl w:val="5FA6CAE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5F0B717B"/>
    <w:multiLevelType w:val="multilevel"/>
    <w:tmpl w:val="AD5AF04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602358F1"/>
    <w:multiLevelType w:val="multilevel"/>
    <w:tmpl w:val="9C16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C9187F"/>
    <w:multiLevelType w:val="multilevel"/>
    <w:tmpl w:val="CB6684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62A64A8D"/>
    <w:multiLevelType w:val="multilevel"/>
    <w:tmpl w:val="8398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2D53EA2"/>
    <w:multiLevelType w:val="multilevel"/>
    <w:tmpl w:val="36B6729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63A31E1A"/>
    <w:multiLevelType w:val="multilevel"/>
    <w:tmpl w:val="E20436E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64D51699"/>
    <w:multiLevelType w:val="multilevel"/>
    <w:tmpl w:val="41B6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BE2AE6"/>
    <w:multiLevelType w:val="multilevel"/>
    <w:tmpl w:val="C520E2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993061E"/>
    <w:multiLevelType w:val="multilevel"/>
    <w:tmpl w:val="DB68D75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7"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C3293A"/>
    <w:multiLevelType w:val="multilevel"/>
    <w:tmpl w:val="C1CC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BAB2E70"/>
    <w:multiLevelType w:val="multilevel"/>
    <w:tmpl w:val="860AD7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7C51146D"/>
    <w:multiLevelType w:val="multilevel"/>
    <w:tmpl w:val="A536B76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071421525">
    <w:abstractNumId w:val="56"/>
  </w:num>
  <w:num w:numId="2" w16cid:durableId="270287514">
    <w:abstractNumId w:val="19"/>
  </w:num>
  <w:num w:numId="3" w16cid:durableId="1675497260">
    <w:abstractNumId w:val="43"/>
  </w:num>
  <w:num w:numId="4" w16cid:durableId="1146706333">
    <w:abstractNumId w:val="18"/>
  </w:num>
  <w:num w:numId="5" w16cid:durableId="1502348752">
    <w:abstractNumId w:val="3"/>
  </w:num>
  <w:num w:numId="6" w16cid:durableId="1544101585">
    <w:abstractNumId w:val="24"/>
  </w:num>
  <w:num w:numId="7" w16cid:durableId="896626050">
    <w:abstractNumId w:val="57"/>
  </w:num>
  <w:num w:numId="8" w16cid:durableId="806780153">
    <w:abstractNumId w:val="10"/>
  </w:num>
  <w:num w:numId="9" w16cid:durableId="1677002603">
    <w:abstractNumId w:val="53"/>
  </w:num>
  <w:num w:numId="10" w16cid:durableId="22487393">
    <w:abstractNumId w:val="42"/>
  </w:num>
  <w:num w:numId="11" w16cid:durableId="270942799">
    <w:abstractNumId w:val="29"/>
  </w:num>
  <w:num w:numId="12" w16cid:durableId="10230698">
    <w:abstractNumId w:val="29"/>
    <w:lvlOverride w:ilvl="0">
      <w:startOverride w:val="1"/>
    </w:lvlOverride>
  </w:num>
  <w:num w:numId="13" w16cid:durableId="1914856611">
    <w:abstractNumId w:val="7"/>
  </w:num>
  <w:num w:numId="14" w16cid:durableId="2976140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483770">
    <w:abstractNumId w:val="15"/>
  </w:num>
  <w:num w:numId="17" w16cid:durableId="77558207">
    <w:abstractNumId w:val="21"/>
  </w:num>
  <w:num w:numId="18" w16cid:durableId="690716662">
    <w:abstractNumId w:val="32"/>
  </w:num>
  <w:num w:numId="19" w16cid:durableId="555434588">
    <w:abstractNumId w:val="45"/>
  </w:num>
  <w:num w:numId="20" w16cid:durableId="1879582409">
    <w:abstractNumId w:val="0"/>
  </w:num>
  <w:num w:numId="21" w16cid:durableId="1367172828">
    <w:abstractNumId w:val="20"/>
  </w:num>
  <w:num w:numId="22" w16cid:durableId="1865092460">
    <w:abstractNumId w:val="9"/>
  </w:num>
  <w:num w:numId="23" w16cid:durableId="827207247">
    <w:abstractNumId w:val="13"/>
  </w:num>
  <w:num w:numId="24" w16cid:durableId="1780710746">
    <w:abstractNumId w:val="41"/>
  </w:num>
  <w:num w:numId="25" w16cid:durableId="1953897835">
    <w:abstractNumId w:val="50"/>
  </w:num>
  <w:num w:numId="26" w16cid:durableId="496111697">
    <w:abstractNumId w:val="16"/>
  </w:num>
  <w:num w:numId="27" w16cid:durableId="1775325472">
    <w:abstractNumId w:val="38"/>
  </w:num>
  <w:num w:numId="28" w16cid:durableId="163205204">
    <w:abstractNumId w:val="22"/>
  </w:num>
  <w:num w:numId="29" w16cid:durableId="496774290">
    <w:abstractNumId w:val="6"/>
  </w:num>
  <w:num w:numId="30" w16cid:durableId="1098907969">
    <w:abstractNumId w:val="37"/>
  </w:num>
  <w:num w:numId="31" w16cid:durableId="1197042483">
    <w:abstractNumId w:val="5"/>
  </w:num>
  <w:num w:numId="32" w16cid:durableId="1920871730">
    <w:abstractNumId w:val="40"/>
  </w:num>
  <w:num w:numId="33" w16cid:durableId="340737416">
    <w:abstractNumId w:val="2"/>
  </w:num>
  <w:num w:numId="34" w16cid:durableId="2038114223">
    <w:abstractNumId w:val="30"/>
  </w:num>
  <w:num w:numId="35" w16cid:durableId="117771033">
    <w:abstractNumId w:val="14"/>
  </w:num>
  <w:num w:numId="36" w16cid:durableId="992872693">
    <w:abstractNumId w:val="51"/>
  </w:num>
  <w:num w:numId="37" w16cid:durableId="649166430">
    <w:abstractNumId w:val="49"/>
  </w:num>
  <w:num w:numId="38" w16cid:durableId="1508865123">
    <w:abstractNumId w:val="23"/>
  </w:num>
  <w:num w:numId="39" w16cid:durableId="990908883">
    <w:abstractNumId w:val="44"/>
  </w:num>
  <w:num w:numId="40" w16cid:durableId="905183805">
    <w:abstractNumId w:val="59"/>
  </w:num>
  <w:num w:numId="41" w16cid:durableId="805392367">
    <w:abstractNumId w:val="46"/>
  </w:num>
  <w:num w:numId="42" w16cid:durableId="207232269">
    <w:abstractNumId w:val="47"/>
  </w:num>
  <w:num w:numId="43" w16cid:durableId="405079336">
    <w:abstractNumId w:val="17"/>
  </w:num>
  <w:num w:numId="44" w16cid:durableId="449012097">
    <w:abstractNumId w:val="11"/>
  </w:num>
  <w:num w:numId="45" w16cid:durableId="2067949337">
    <w:abstractNumId w:val="35"/>
  </w:num>
  <w:num w:numId="46" w16cid:durableId="214779848">
    <w:abstractNumId w:val="52"/>
  </w:num>
  <w:num w:numId="47" w16cid:durableId="1673677385">
    <w:abstractNumId w:val="34"/>
  </w:num>
  <w:num w:numId="48" w16cid:durableId="1153065281">
    <w:abstractNumId w:val="39"/>
  </w:num>
  <w:num w:numId="49" w16cid:durableId="538515236">
    <w:abstractNumId w:val="31"/>
  </w:num>
  <w:num w:numId="50" w16cid:durableId="740831270">
    <w:abstractNumId w:val="4"/>
  </w:num>
  <w:num w:numId="51" w16cid:durableId="1287543435">
    <w:abstractNumId w:val="55"/>
  </w:num>
  <w:num w:numId="52" w16cid:durableId="1856770060">
    <w:abstractNumId w:val="33"/>
  </w:num>
  <w:num w:numId="53" w16cid:durableId="459496433">
    <w:abstractNumId w:val="48"/>
  </w:num>
  <w:num w:numId="54" w16cid:durableId="1392459540">
    <w:abstractNumId w:val="60"/>
  </w:num>
  <w:num w:numId="55" w16cid:durableId="539174453">
    <w:abstractNumId w:val="36"/>
  </w:num>
  <w:num w:numId="56" w16cid:durableId="909534249">
    <w:abstractNumId w:val="12"/>
  </w:num>
  <w:num w:numId="57" w16cid:durableId="260072444">
    <w:abstractNumId w:val="54"/>
  </w:num>
  <w:num w:numId="58" w16cid:durableId="1552766859">
    <w:abstractNumId w:val="28"/>
  </w:num>
  <w:num w:numId="59" w16cid:durableId="1477340021">
    <w:abstractNumId w:val="25"/>
  </w:num>
  <w:num w:numId="60" w16cid:durableId="897860268">
    <w:abstractNumId w:val="1"/>
  </w:num>
  <w:num w:numId="61" w16cid:durableId="1412046357">
    <w:abstractNumId w:val="8"/>
  </w:num>
  <w:num w:numId="62" w16cid:durableId="838691454">
    <w:abstractNumId w:val="27"/>
  </w:num>
  <w:num w:numId="63" w16cid:durableId="1281456893">
    <w:abstractNumId w:val="5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5uyYP9Qt12JhtK4kcsncJVBSDNe0AQtl1obLTf8RRciZEevZlltaHqJyF9S/UQ8pp3cFBIW5yKtULaKwtL8EA==" w:salt="svTIoqUPkfkNdJVwAuj2S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9D2"/>
    <w:rsid w:val="00047270"/>
    <w:rsid w:val="000504AC"/>
    <w:rsid w:val="000509A0"/>
    <w:rsid w:val="00050C75"/>
    <w:rsid w:val="0005116F"/>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3148"/>
    <w:rsid w:val="000F3473"/>
    <w:rsid w:val="000F4BF0"/>
    <w:rsid w:val="000F4C18"/>
    <w:rsid w:val="000F52DD"/>
    <w:rsid w:val="000F541A"/>
    <w:rsid w:val="000F57B6"/>
    <w:rsid w:val="000F5B7D"/>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166"/>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5FEC"/>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B8"/>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1756"/>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03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C0F"/>
    <w:rsid w:val="00646CE6"/>
    <w:rsid w:val="00646D3F"/>
    <w:rsid w:val="00647198"/>
    <w:rsid w:val="00647237"/>
    <w:rsid w:val="006475F6"/>
    <w:rsid w:val="006479D7"/>
    <w:rsid w:val="00647D9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C26"/>
    <w:rsid w:val="0067523C"/>
    <w:rsid w:val="00675955"/>
    <w:rsid w:val="00675B83"/>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05"/>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2E39"/>
    <w:rsid w:val="007531C1"/>
    <w:rsid w:val="00753542"/>
    <w:rsid w:val="00753870"/>
    <w:rsid w:val="007549AC"/>
    <w:rsid w:val="00754C78"/>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37B"/>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582"/>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0E2"/>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4DF2"/>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31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0A22"/>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949"/>
    <w:rsid w:val="00CD5A4A"/>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4F01"/>
    <w:rsid w:val="00D95897"/>
    <w:rsid w:val="00D959D6"/>
    <w:rsid w:val="00D95C5B"/>
    <w:rsid w:val="00D96154"/>
    <w:rsid w:val="00D96243"/>
    <w:rsid w:val="00D964FE"/>
    <w:rsid w:val="00D968BA"/>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6D77"/>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4EE4"/>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C91F6894-4AFA-465B-9950-CD181466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graph">
    <w:name w:val="paragraph"/>
    <w:basedOn w:val="Normal"/>
    <w:rsid w:val="00BB4315"/>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BB4315"/>
  </w:style>
  <w:style w:type="character" w:customStyle="1" w:styleId="eop">
    <w:name w:val="eop"/>
    <w:basedOn w:val="DefaultParagraphFont"/>
    <w:rsid w:val="00BB4315"/>
  </w:style>
  <w:style w:type="character" w:customStyle="1" w:styleId="tabchar">
    <w:name w:val="tabchar"/>
    <w:basedOn w:val="DefaultParagraphFont"/>
    <w:rsid w:val="00BB4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370">
      <w:bodyDiv w:val="1"/>
      <w:marLeft w:val="0"/>
      <w:marRight w:val="0"/>
      <w:marTop w:val="0"/>
      <w:marBottom w:val="0"/>
      <w:divBdr>
        <w:top w:val="none" w:sz="0" w:space="0" w:color="auto"/>
        <w:left w:val="none" w:sz="0" w:space="0" w:color="auto"/>
        <w:bottom w:val="none" w:sz="0" w:space="0" w:color="auto"/>
        <w:right w:val="none" w:sz="0" w:space="0" w:color="auto"/>
      </w:divBdr>
      <w:divsChild>
        <w:div w:id="807429771">
          <w:marLeft w:val="0"/>
          <w:marRight w:val="0"/>
          <w:marTop w:val="0"/>
          <w:marBottom w:val="0"/>
          <w:divBdr>
            <w:top w:val="none" w:sz="0" w:space="0" w:color="auto"/>
            <w:left w:val="none" w:sz="0" w:space="0" w:color="auto"/>
            <w:bottom w:val="none" w:sz="0" w:space="0" w:color="auto"/>
            <w:right w:val="none" w:sz="0" w:space="0" w:color="auto"/>
          </w:divBdr>
        </w:div>
        <w:div w:id="2108885853">
          <w:marLeft w:val="0"/>
          <w:marRight w:val="0"/>
          <w:marTop w:val="0"/>
          <w:marBottom w:val="0"/>
          <w:divBdr>
            <w:top w:val="none" w:sz="0" w:space="0" w:color="auto"/>
            <w:left w:val="none" w:sz="0" w:space="0" w:color="auto"/>
            <w:bottom w:val="none" w:sz="0" w:space="0" w:color="auto"/>
            <w:right w:val="none" w:sz="0" w:space="0" w:color="auto"/>
          </w:divBdr>
        </w:div>
        <w:div w:id="1875927056">
          <w:marLeft w:val="0"/>
          <w:marRight w:val="0"/>
          <w:marTop w:val="0"/>
          <w:marBottom w:val="0"/>
          <w:divBdr>
            <w:top w:val="none" w:sz="0" w:space="0" w:color="auto"/>
            <w:left w:val="none" w:sz="0" w:space="0" w:color="auto"/>
            <w:bottom w:val="none" w:sz="0" w:space="0" w:color="auto"/>
            <w:right w:val="none" w:sz="0" w:space="0" w:color="auto"/>
          </w:divBdr>
        </w:div>
        <w:div w:id="2137408506">
          <w:marLeft w:val="0"/>
          <w:marRight w:val="0"/>
          <w:marTop w:val="0"/>
          <w:marBottom w:val="0"/>
          <w:divBdr>
            <w:top w:val="none" w:sz="0" w:space="0" w:color="auto"/>
            <w:left w:val="none" w:sz="0" w:space="0" w:color="auto"/>
            <w:bottom w:val="none" w:sz="0" w:space="0" w:color="auto"/>
            <w:right w:val="none" w:sz="0" w:space="0" w:color="auto"/>
          </w:divBdr>
        </w:div>
        <w:div w:id="279070967">
          <w:marLeft w:val="0"/>
          <w:marRight w:val="0"/>
          <w:marTop w:val="0"/>
          <w:marBottom w:val="0"/>
          <w:divBdr>
            <w:top w:val="none" w:sz="0" w:space="0" w:color="auto"/>
            <w:left w:val="none" w:sz="0" w:space="0" w:color="auto"/>
            <w:bottom w:val="none" w:sz="0" w:space="0" w:color="auto"/>
            <w:right w:val="none" w:sz="0" w:space="0" w:color="auto"/>
          </w:divBdr>
        </w:div>
        <w:div w:id="2067219899">
          <w:marLeft w:val="0"/>
          <w:marRight w:val="0"/>
          <w:marTop w:val="0"/>
          <w:marBottom w:val="0"/>
          <w:divBdr>
            <w:top w:val="none" w:sz="0" w:space="0" w:color="auto"/>
            <w:left w:val="none" w:sz="0" w:space="0" w:color="auto"/>
            <w:bottom w:val="none" w:sz="0" w:space="0" w:color="auto"/>
            <w:right w:val="none" w:sz="0" w:space="0" w:color="auto"/>
          </w:divBdr>
        </w:div>
        <w:div w:id="565997419">
          <w:marLeft w:val="0"/>
          <w:marRight w:val="0"/>
          <w:marTop w:val="0"/>
          <w:marBottom w:val="0"/>
          <w:divBdr>
            <w:top w:val="none" w:sz="0" w:space="0" w:color="auto"/>
            <w:left w:val="none" w:sz="0" w:space="0" w:color="auto"/>
            <w:bottom w:val="none" w:sz="0" w:space="0" w:color="auto"/>
            <w:right w:val="none" w:sz="0" w:space="0" w:color="auto"/>
          </w:divBdr>
        </w:div>
        <w:div w:id="1015959055">
          <w:marLeft w:val="0"/>
          <w:marRight w:val="0"/>
          <w:marTop w:val="0"/>
          <w:marBottom w:val="0"/>
          <w:divBdr>
            <w:top w:val="none" w:sz="0" w:space="0" w:color="auto"/>
            <w:left w:val="none" w:sz="0" w:space="0" w:color="auto"/>
            <w:bottom w:val="none" w:sz="0" w:space="0" w:color="auto"/>
            <w:right w:val="none" w:sz="0" w:space="0" w:color="auto"/>
          </w:divBdr>
        </w:div>
        <w:div w:id="895316409">
          <w:marLeft w:val="0"/>
          <w:marRight w:val="0"/>
          <w:marTop w:val="0"/>
          <w:marBottom w:val="0"/>
          <w:divBdr>
            <w:top w:val="none" w:sz="0" w:space="0" w:color="auto"/>
            <w:left w:val="none" w:sz="0" w:space="0" w:color="auto"/>
            <w:bottom w:val="none" w:sz="0" w:space="0" w:color="auto"/>
            <w:right w:val="none" w:sz="0" w:space="0" w:color="auto"/>
          </w:divBdr>
        </w:div>
        <w:div w:id="356003064">
          <w:marLeft w:val="0"/>
          <w:marRight w:val="0"/>
          <w:marTop w:val="0"/>
          <w:marBottom w:val="0"/>
          <w:divBdr>
            <w:top w:val="none" w:sz="0" w:space="0" w:color="auto"/>
            <w:left w:val="none" w:sz="0" w:space="0" w:color="auto"/>
            <w:bottom w:val="none" w:sz="0" w:space="0" w:color="auto"/>
            <w:right w:val="none" w:sz="0" w:space="0" w:color="auto"/>
          </w:divBdr>
        </w:div>
        <w:div w:id="955673956">
          <w:marLeft w:val="0"/>
          <w:marRight w:val="0"/>
          <w:marTop w:val="0"/>
          <w:marBottom w:val="0"/>
          <w:divBdr>
            <w:top w:val="none" w:sz="0" w:space="0" w:color="auto"/>
            <w:left w:val="none" w:sz="0" w:space="0" w:color="auto"/>
            <w:bottom w:val="none" w:sz="0" w:space="0" w:color="auto"/>
            <w:right w:val="none" w:sz="0" w:space="0" w:color="auto"/>
          </w:divBdr>
        </w:div>
        <w:div w:id="1022976440">
          <w:marLeft w:val="0"/>
          <w:marRight w:val="0"/>
          <w:marTop w:val="0"/>
          <w:marBottom w:val="0"/>
          <w:divBdr>
            <w:top w:val="none" w:sz="0" w:space="0" w:color="auto"/>
            <w:left w:val="none" w:sz="0" w:space="0" w:color="auto"/>
            <w:bottom w:val="none" w:sz="0" w:space="0" w:color="auto"/>
            <w:right w:val="none" w:sz="0" w:space="0" w:color="auto"/>
          </w:divBdr>
        </w:div>
        <w:div w:id="2036227846">
          <w:marLeft w:val="0"/>
          <w:marRight w:val="0"/>
          <w:marTop w:val="0"/>
          <w:marBottom w:val="0"/>
          <w:divBdr>
            <w:top w:val="none" w:sz="0" w:space="0" w:color="auto"/>
            <w:left w:val="none" w:sz="0" w:space="0" w:color="auto"/>
            <w:bottom w:val="none" w:sz="0" w:space="0" w:color="auto"/>
            <w:right w:val="none" w:sz="0" w:space="0" w:color="auto"/>
          </w:divBdr>
        </w:div>
        <w:div w:id="1137650297">
          <w:marLeft w:val="0"/>
          <w:marRight w:val="0"/>
          <w:marTop w:val="0"/>
          <w:marBottom w:val="0"/>
          <w:divBdr>
            <w:top w:val="none" w:sz="0" w:space="0" w:color="auto"/>
            <w:left w:val="none" w:sz="0" w:space="0" w:color="auto"/>
            <w:bottom w:val="none" w:sz="0" w:space="0" w:color="auto"/>
            <w:right w:val="none" w:sz="0" w:space="0" w:color="auto"/>
          </w:divBdr>
        </w:div>
      </w:divsChild>
    </w:div>
    <w:div w:id="54817375">
      <w:bodyDiv w:val="1"/>
      <w:marLeft w:val="0"/>
      <w:marRight w:val="0"/>
      <w:marTop w:val="0"/>
      <w:marBottom w:val="0"/>
      <w:divBdr>
        <w:top w:val="none" w:sz="0" w:space="0" w:color="auto"/>
        <w:left w:val="none" w:sz="0" w:space="0" w:color="auto"/>
        <w:bottom w:val="none" w:sz="0" w:space="0" w:color="auto"/>
        <w:right w:val="none" w:sz="0" w:space="0" w:color="auto"/>
      </w:divBdr>
      <w:divsChild>
        <w:div w:id="263541547">
          <w:marLeft w:val="0"/>
          <w:marRight w:val="0"/>
          <w:marTop w:val="0"/>
          <w:marBottom w:val="0"/>
          <w:divBdr>
            <w:top w:val="none" w:sz="0" w:space="0" w:color="auto"/>
            <w:left w:val="none" w:sz="0" w:space="0" w:color="auto"/>
            <w:bottom w:val="none" w:sz="0" w:space="0" w:color="auto"/>
            <w:right w:val="none" w:sz="0" w:space="0" w:color="auto"/>
          </w:divBdr>
        </w:div>
        <w:div w:id="1295134795">
          <w:marLeft w:val="0"/>
          <w:marRight w:val="0"/>
          <w:marTop w:val="0"/>
          <w:marBottom w:val="0"/>
          <w:divBdr>
            <w:top w:val="none" w:sz="0" w:space="0" w:color="auto"/>
            <w:left w:val="none" w:sz="0" w:space="0" w:color="auto"/>
            <w:bottom w:val="none" w:sz="0" w:space="0" w:color="auto"/>
            <w:right w:val="none" w:sz="0" w:space="0" w:color="auto"/>
          </w:divBdr>
        </w:div>
        <w:div w:id="816341943">
          <w:marLeft w:val="0"/>
          <w:marRight w:val="0"/>
          <w:marTop w:val="0"/>
          <w:marBottom w:val="0"/>
          <w:divBdr>
            <w:top w:val="none" w:sz="0" w:space="0" w:color="auto"/>
            <w:left w:val="none" w:sz="0" w:space="0" w:color="auto"/>
            <w:bottom w:val="none" w:sz="0" w:space="0" w:color="auto"/>
            <w:right w:val="none" w:sz="0" w:space="0" w:color="auto"/>
          </w:divBdr>
        </w:div>
      </w:divsChild>
    </w:div>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23815315">
      <w:bodyDiv w:val="1"/>
      <w:marLeft w:val="0"/>
      <w:marRight w:val="0"/>
      <w:marTop w:val="0"/>
      <w:marBottom w:val="0"/>
      <w:divBdr>
        <w:top w:val="none" w:sz="0" w:space="0" w:color="auto"/>
        <w:left w:val="none" w:sz="0" w:space="0" w:color="auto"/>
        <w:bottom w:val="none" w:sz="0" w:space="0" w:color="auto"/>
        <w:right w:val="none" w:sz="0" w:space="0" w:color="auto"/>
      </w:divBdr>
      <w:divsChild>
        <w:div w:id="34359106">
          <w:marLeft w:val="0"/>
          <w:marRight w:val="0"/>
          <w:marTop w:val="0"/>
          <w:marBottom w:val="0"/>
          <w:divBdr>
            <w:top w:val="none" w:sz="0" w:space="0" w:color="auto"/>
            <w:left w:val="none" w:sz="0" w:space="0" w:color="auto"/>
            <w:bottom w:val="none" w:sz="0" w:space="0" w:color="auto"/>
            <w:right w:val="none" w:sz="0" w:space="0" w:color="auto"/>
          </w:divBdr>
        </w:div>
        <w:div w:id="1545016942">
          <w:marLeft w:val="0"/>
          <w:marRight w:val="0"/>
          <w:marTop w:val="0"/>
          <w:marBottom w:val="0"/>
          <w:divBdr>
            <w:top w:val="none" w:sz="0" w:space="0" w:color="auto"/>
            <w:left w:val="none" w:sz="0" w:space="0" w:color="auto"/>
            <w:bottom w:val="none" w:sz="0" w:space="0" w:color="auto"/>
            <w:right w:val="none" w:sz="0" w:space="0" w:color="auto"/>
          </w:divBdr>
        </w:div>
      </w:divsChild>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13086204">
      <w:bodyDiv w:val="1"/>
      <w:marLeft w:val="0"/>
      <w:marRight w:val="0"/>
      <w:marTop w:val="0"/>
      <w:marBottom w:val="0"/>
      <w:divBdr>
        <w:top w:val="none" w:sz="0" w:space="0" w:color="auto"/>
        <w:left w:val="none" w:sz="0" w:space="0" w:color="auto"/>
        <w:bottom w:val="none" w:sz="0" w:space="0" w:color="auto"/>
        <w:right w:val="none" w:sz="0" w:space="0" w:color="auto"/>
      </w:divBdr>
      <w:divsChild>
        <w:div w:id="1005327711">
          <w:marLeft w:val="0"/>
          <w:marRight w:val="0"/>
          <w:marTop w:val="0"/>
          <w:marBottom w:val="0"/>
          <w:divBdr>
            <w:top w:val="none" w:sz="0" w:space="0" w:color="auto"/>
            <w:left w:val="none" w:sz="0" w:space="0" w:color="auto"/>
            <w:bottom w:val="none" w:sz="0" w:space="0" w:color="auto"/>
            <w:right w:val="none" w:sz="0" w:space="0" w:color="auto"/>
          </w:divBdr>
        </w:div>
        <w:div w:id="460266185">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23135618">
      <w:bodyDiv w:val="1"/>
      <w:marLeft w:val="0"/>
      <w:marRight w:val="0"/>
      <w:marTop w:val="0"/>
      <w:marBottom w:val="0"/>
      <w:divBdr>
        <w:top w:val="none" w:sz="0" w:space="0" w:color="auto"/>
        <w:left w:val="none" w:sz="0" w:space="0" w:color="auto"/>
        <w:bottom w:val="none" w:sz="0" w:space="0" w:color="auto"/>
        <w:right w:val="none" w:sz="0" w:space="0" w:color="auto"/>
      </w:divBdr>
      <w:divsChild>
        <w:div w:id="35660492">
          <w:marLeft w:val="0"/>
          <w:marRight w:val="0"/>
          <w:marTop w:val="0"/>
          <w:marBottom w:val="0"/>
          <w:divBdr>
            <w:top w:val="none" w:sz="0" w:space="0" w:color="auto"/>
            <w:left w:val="none" w:sz="0" w:space="0" w:color="auto"/>
            <w:bottom w:val="none" w:sz="0" w:space="0" w:color="auto"/>
            <w:right w:val="none" w:sz="0" w:space="0" w:color="auto"/>
          </w:divBdr>
        </w:div>
        <w:div w:id="80874558">
          <w:marLeft w:val="0"/>
          <w:marRight w:val="0"/>
          <w:marTop w:val="0"/>
          <w:marBottom w:val="0"/>
          <w:divBdr>
            <w:top w:val="none" w:sz="0" w:space="0" w:color="auto"/>
            <w:left w:val="none" w:sz="0" w:space="0" w:color="auto"/>
            <w:bottom w:val="none" w:sz="0" w:space="0" w:color="auto"/>
            <w:right w:val="none" w:sz="0" w:space="0" w:color="auto"/>
          </w:divBdr>
        </w:div>
      </w:divsChild>
    </w:div>
    <w:div w:id="591397495">
      <w:bodyDiv w:val="1"/>
      <w:marLeft w:val="0"/>
      <w:marRight w:val="0"/>
      <w:marTop w:val="0"/>
      <w:marBottom w:val="0"/>
      <w:divBdr>
        <w:top w:val="none" w:sz="0" w:space="0" w:color="auto"/>
        <w:left w:val="none" w:sz="0" w:space="0" w:color="auto"/>
        <w:bottom w:val="none" w:sz="0" w:space="0" w:color="auto"/>
        <w:right w:val="none" w:sz="0" w:space="0" w:color="auto"/>
      </w:divBdr>
      <w:divsChild>
        <w:div w:id="207185427">
          <w:marLeft w:val="0"/>
          <w:marRight w:val="0"/>
          <w:marTop w:val="0"/>
          <w:marBottom w:val="0"/>
          <w:divBdr>
            <w:top w:val="none" w:sz="0" w:space="0" w:color="auto"/>
            <w:left w:val="none" w:sz="0" w:space="0" w:color="auto"/>
            <w:bottom w:val="none" w:sz="0" w:space="0" w:color="auto"/>
            <w:right w:val="none" w:sz="0" w:space="0" w:color="auto"/>
          </w:divBdr>
        </w:div>
        <w:div w:id="519315886">
          <w:marLeft w:val="0"/>
          <w:marRight w:val="0"/>
          <w:marTop w:val="0"/>
          <w:marBottom w:val="0"/>
          <w:divBdr>
            <w:top w:val="none" w:sz="0" w:space="0" w:color="auto"/>
            <w:left w:val="none" w:sz="0" w:space="0" w:color="auto"/>
            <w:bottom w:val="none" w:sz="0" w:space="0" w:color="auto"/>
            <w:right w:val="none" w:sz="0" w:space="0" w:color="auto"/>
          </w:divBdr>
        </w:div>
        <w:div w:id="310260006">
          <w:marLeft w:val="0"/>
          <w:marRight w:val="0"/>
          <w:marTop w:val="0"/>
          <w:marBottom w:val="0"/>
          <w:divBdr>
            <w:top w:val="none" w:sz="0" w:space="0" w:color="auto"/>
            <w:left w:val="none" w:sz="0" w:space="0" w:color="auto"/>
            <w:bottom w:val="none" w:sz="0" w:space="0" w:color="auto"/>
            <w:right w:val="none" w:sz="0" w:space="0" w:color="auto"/>
          </w:divBdr>
        </w:div>
      </w:divsChild>
    </w:div>
    <w:div w:id="600719859">
      <w:bodyDiv w:val="1"/>
      <w:marLeft w:val="0"/>
      <w:marRight w:val="0"/>
      <w:marTop w:val="0"/>
      <w:marBottom w:val="0"/>
      <w:divBdr>
        <w:top w:val="none" w:sz="0" w:space="0" w:color="auto"/>
        <w:left w:val="none" w:sz="0" w:space="0" w:color="auto"/>
        <w:bottom w:val="none" w:sz="0" w:space="0" w:color="auto"/>
        <w:right w:val="none" w:sz="0" w:space="0" w:color="auto"/>
      </w:divBdr>
      <w:divsChild>
        <w:div w:id="885265181">
          <w:marLeft w:val="0"/>
          <w:marRight w:val="0"/>
          <w:marTop w:val="0"/>
          <w:marBottom w:val="0"/>
          <w:divBdr>
            <w:top w:val="none" w:sz="0" w:space="0" w:color="auto"/>
            <w:left w:val="none" w:sz="0" w:space="0" w:color="auto"/>
            <w:bottom w:val="none" w:sz="0" w:space="0" w:color="auto"/>
            <w:right w:val="none" w:sz="0" w:space="0" w:color="auto"/>
          </w:divBdr>
        </w:div>
        <w:div w:id="1457330276">
          <w:marLeft w:val="0"/>
          <w:marRight w:val="0"/>
          <w:marTop w:val="0"/>
          <w:marBottom w:val="0"/>
          <w:divBdr>
            <w:top w:val="none" w:sz="0" w:space="0" w:color="auto"/>
            <w:left w:val="none" w:sz="0" w:space="0" w:color="auto"/>
            <w:bottom w:val="none" w:sz="0" w:space="0" w:color="auto"/>
            <w:right w:val="none" w:sz="0" w:space="0" w:color="auto"/>
          </w:divBdr>
        </w:div>
        <w:div w:id="1250776624">
          <w:marLeft w:val="0"/>
          <w:marRight w:val="0"/>
          <w:marTop w:val="0"/>
          <w:marBottom w:val="0"/>
          <w:divBdr>
            <w:top w:val="none" w:sz="0" w:space="0" w:color="auto"/>
            <w:left w:val="none" w:sz="0" w:space="0" w:color="auto"/>
            <w:bottom w:val="none" w:sz="0" w:space="0" w:color="auto"/>
            <w:right w:val="none" w:sz="0" w:space="0" w:color="auto"/>
          </w:divBdr>
        </w:div>
        <w:div w:id="209728500">
          <w:marLeft w:val="0"/>
          <w:marRight w:val="0"/>
          <w:marTop w:val="0"/>
          <w:marBottom w:val="0"/>
          <w:divBdr>
            <w:top w:val="none" w:sz="0" w:space="0" w:color="auto"/>
            <w:left w:val="none" w:sz="0" w:space="0" w:color="auto"/>
            <w:bottom w:val="none" w:sz="0" w:space="0" w:color="auto"/>
            <w:right w:val="none" w:sz="0" w:space="0" w:color="auto"/>
          </w:divBdr>
        </w:div>
        <w:div w:id="498035108">
          <w:marLeft w:val="0"/>
          <w:marRight w:val="0"/>
          <w:marTop w:val="0"/>
          <w:marBottom w:val="0"/>
          <w:divBdr>
            <w:top w:val="none" w:sz="0" w:space="0" w:color="auto"/>
            <w:left w:val="none" w:sz="0" w:space="0" w:color="auto"/>
            <w:bottom w:val="none" w:sz="0" w:space="0" w:color="auto"/>
            <w:right w:val="none" w:sz="0" w:space="0" w:color="auto"/>
          </w:divBdr>
        </w:div>
        <w:div w:id="1789161607">
          <w:marLeft w:val="0"/>
          <w:marRight w:val="0"/>
          <w:marTop w:val="0"/>
          <w:marBottom w:val="0"/>
          <w:divBdr>
            <w:top w:val="none" w:sz="0" w:space="0" w:color="auto"/>
            <w:left w:val="none" w:sz="0" w:space="0" w:color="auto"/>
            <w:bottom w:val="none" w:sz="0" w:space="0" w:color="auto"/>
            <w:right w:val="none" w:sz="0" w:space="0" w:color="auto"/>
          </w:divBdr>
        </w:div>
      </w:divsChild>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29118064">
      <w:bodyDiv w:val="1"/>
      <w:marLeft w:val="0"/>
      <w:marRight w:val="0"/>
      <w:marTop w:val="0"/>
      <w:marBottom w:val="0"/>
      <w:divBdr>
        <w:top w:val="none" w:sz="0" w:space="0" w:color="auto"/>
        <w:left w:val="none" w:sz="0" w:space="0" w:color="auto"/>
        <w:bottom w:val="none" w:sz="0" w:space="0" w:color="auto"/>
        <w:right w:val="none" w:sz="0" w:space="0" w:color="auto"/>
      </w:divBdr>
      <w:divsChild>
        <w:div w:id="155347369">
          <w:marLeft w:val="0"/>
          <w:marRight w:val="0"/>
          <w:marTop w:val="0"/>
          <w:marBottom w:val="0"/>
          <w:divBdr>
            <w:top w:val="none" w:sz="0" w:space="0" w:color="auto"/>
            <w:left w:val="none" w:sz="0" w:space="0" w:color="auto"/>
            <w:bottom w:val="none" w:sz="0" w:space="0" w:color="auto"/>
            <w:right w:val="none" w:sz="0" w:space="0" w:color="auto"/>
          </w:divBdr>
        </w:div>
        <w:div w:id="1820220006">
          <w:marLeft w:val="0"/>
          <w:marRight w:val="0"/>
          <w:marTop w:val="0"/>
          <w:marBottom w:val="0"/>
          <w:divBdr>
            <w:top w:val="none" w:sz="0" w:space="0" w:color="auto"/>
            <w:left w:val="none" w:sz="0" w:space="0" w:color="auto"/>
            <w:bottom w:val="none" w:sz="0" w:space="0" w:color="auto"/>
            <w:right w:val="none" w:sz="0" w:space="0" w:color="auto"/>
          </w:divBdr>
        </w:div>
        <w:div w:id="1536189165">
          <w:marLeft w:val="0"/>
          <w:marRight w:val="0"/>
          <w:marTop w:val="0"/>
          <w:marBottom w:val="0"/>
          <w:divBdr>
            <w:top w:val="none" w:sz="0" w:space="0" w:color="auto"/>
            <w:left w:val="none" w:sz="0" w:space="0" w:color="auto"/>
            <w:bottom w:val="none" w:sz="0" w:space="0" w:color="auto"/>
            <w:right w:val="none" w:sz="0" w:space="0" w:color="auto"/>
          </w:divBdr>
        </w:div>
        <w:div w:id="1124038149">
          <w:marLeft w:val="0"/>
          <w:marRight w:val="0"/>
          <w:marTop w:val="0"/>
          <w:marBottom w:val="0"/>
          <w:divBdr>
            <w:top w:val="none" w:sz="0" w:space="0" w:color="auto"/>
            <w:left w:val="none" w:sz="0" w:space="0" w:color="auto"/>
            <w:bottom w:val="none" w:sz="0" w:space="0" w:color="auto"/>
            <w:right w:val="none" w:sz="0" w:space="0" w:color="auto"/>
          </w:divBdr>
        </w:div>
        <w:div w:id="1746369464">
          <w:marLeft w:val="0"/>
          <w:marRight w:val="0"/>
          <w:marTop w:val="0"/>
          <w:marBottom w:val="0"/>
          <w:divBdr>
            <w:top w:val="none" w:sz="0" w:space="0" w:color="auto"/>
            <w:left w:val="none" w:sz="0" w:space="0" w:color="auto"/>
            <w:bottom w:val="none" w:sz="0" w:space="0" w:color="auto"/>
            <w:right w:val="none" w:sz="0" w:space="0" w:color="auto"/>
          </w:divBdr>
        </w:div>
        <w:div w:id="419985499">
          <w:marLeft w:val="0"/>
          <w:marRight w:val="0"/>
          <w:marTop w:val="0"/>
          <w:marBottom w:val="0"/>
          <w:divBdr>
            <w:top w:val="none" w:sz="0" w:space="0" w:color="auto"/>
            <w:left w:val="none" w:sz="0" w:space="0" w:color="auto"/>
            <w:bottom w:val="none" w:sz="0" w:space="0" w:color="auto"/>
            <w:right w:val="none" w:sz="0" w:space="0" w:color="auto"/>
          </w:divBdr>
        </w:div>
        <w:div w:id="1727146612">
          <w:marLeft w:val="0"/>
          <w:marRight w:val="0"/>
          <w:marTop w:val="0"/>
          <w:marBottom w:val="0"/>
          <w:divBdr>
            <w:top w:val="none" w:sz="0" w:space="0" w:color="auto"/>
            <w:left w:val="none" w:sz="0" w:space="0" w:color="auto"/>
            <w:bottom w:val="none" w:sz="0" w:space="0" w:color="auto"/>
            <w:right w:val="none" w:sz="0" w:space="0" w:color="auto"/>
          </w:divBdr>
        </w:div>
        <w:div w:id="493448752">
          <w:marLeft w:val="0"/>
          <w:marRight w:val="0"/>
          <w:marTop w:val="0"/>
          <w:marBottom w:val="0"/>
          <w:divBdr>
            <w:top w:val="none" w:sz="0" w:space="0" w:color="auto"/>
            <w:left w:val="none" w:sz="0" w:space="0" w:color="auto"/>
            <w:bottom w:val="none" w:sz="0" w:space="0" w:color="auto"/>
            <w:right w:val="none" w:sz="0" w:space="0" w:color="auto"/>
          </w:divBdr>
        </w:div>
        <w:div w:id="1424567510">
          <w:marLeft w:val="0"/>
          <w:marRight w:val="0"/>
          <w:marTop w:val="0"/>
          <w:marBottom w:val="0"/>
          <w:divBdr>
            <w:top w:val="none" w:sz="0" w:space="0" w:color="auto"/>
            <w:left w:val="none" w:sz="0" w:space="0" w:color="auto"/>
            <w:bottom w:val="none" w:sz="0" w:space="0" w:color="auto"/>
            <w:right w:val="none" w:sz="0" w:space="0" w:color="auto"/>
          </w:divBdr>
        </w:div>
        <w:div w:id="405536869">
          <w:marLeft w:val="0"/>
          <w:marRight w:val="0"/>
          <w:marTop w:val="0"/>
          <w:marBottom w:val="0"/>
          <w:divBdr>
            <w:top w:val="none" w:sz="0" w:space="0" w:color="auto"/>
            <w:left w:val="none" w:sz="0" w:space="0" w:color="auto"/>
            <w:bottom w:val="none" w:sz="0" w:space="0" w:color="auto"/>
            <w:right w:val="none" w:sz="0" w:space="0" w:color="auto"/>
          </w:divBdr>
        </w:div>
        <w:div w:id="802231051">
          <w:marLeft w:val="0"/>
          <w:marRight w:val="0"/>
          <w:marTop w:val="0"/>
          <w:marBottom w:val="0"/>
          <w:divBdr>
            <w:top w:val="none" w:sz="0" w:space="0" w:color="auto"/>
            <w:left w:val="none" w:sz="0" w:space="0" w:color="auto"/>
            <w:bottom w:val="none" w:sz="0" w:space="0" w:color="auto"/>
            <w:right w:val="none" w:sz="0" w:space="0" w:color="auto"/>
          </w:divBdr>
        </w:div>
        <w:div w:id="384450901">
          <w:marLeft w:val="0"/>
          <w:marRight w:val="0"/>
          <w:marTop w:val="0"/>
          <w:marBottom w:val="0"/>
          <w:divBdr>
            <w:top w:val="none" w:sz="0" w:space="0" w:color="auto"/>
            <w:left w:val="none" w:sz="0" w:space="0" w:color="auto"/>
            <w:bottom w:val="none" w:sz="0" w:space="0" w:color="auto"/>
            <w:right w:val="none" w:sz="0" w:space="0" w:color="auto"/>
          </w:divBdr>
        </w:div>
        <w:div w:id="2062244023">
          <w:marLeft w:val="0"/>
          <w:marRight w:val="0"/>
          <w:marTop w:val="0"/>
          <w:marBottom w:val="0"/>
          <w:divBdr>
            <w:top w:val="none" w:sz="0" w:space="0" w:color="auto"/>
            <w:left w:val="none" w:sz="0" w:space="0" w:color="auto"/>
            <w:bottom w:val="none" w:sz="0" w:space="0" w:color="auto"/>
            <w:right w:val="none" w:sz="0" w:space="0" w:color="auto"/>
          </w:divBdr>
        </w:div>
        <w:div w:id="271665939">
          <w:marLeft w:val="0"/>
          <w:marRight w:val="0"/>
          <w:marTop w:val="0"/>
          <w:marBottom w:val="0"/>
          <w:divBdr>
            <w:top w:val="none" w:sz="0" w:space="0" w:color="auto"/>
            <w:left w:val="none" w:sz="0" w:space="0" w:color="auto"/>
            <w:bottom w:val="none" w:sz="0" w:space="0" w:color="auto"/>
            <w:right w:val="none" w:sz="0" w:space="0" w:color="auto"/>
          </w:divBdr>
        </w:div>
        <w:div w:id="612203139">
          <w:marLeft w:val="0"/>
          <w:marRight w:val="0"/>
          <w:marTop w:val="0"/>
          <w:marBottom w:val="0"/>
          <w:divBdr>
            <w:top w:val="none" w:sz="0" w:space="0" w:color="auto"/>
            <w:left w:val="none" w:sz="0" w:space="0" w:color="auto"/>
            <w:bottom w:val="none" w:sz="0" w:space="0" w:color="auto"/>
            <w:right w:val="none" w:sz="0" w:space="0" w:color="auto"/>
          </w:divBdr>
        </w:div>
      </w:divsChild>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770511917">
      <w:bodyDiv w:val="1"/>
      <w:marLeft w:val="0"/>
      <w:marRight w:val="0"/>
      <w:marTop w:val="0"/>
      <w:marBottom w:val="0"/>
      <w:divBdr>
        <w:top w:val="none" w:sz="0" w:space="0" w:color="auto"/>
        <w:left w:val="none" w:sz="0" w:space="0" w:color="auto"/>
        <w:bottom w:val="none" w:sz="0" w:space="0" w:color="auto"/>
        <w:right w:val="none" w:sz="0" w:space="0" w:color="auto"/>
      </w:divBdr>
      <w:divsChild>
        <w:div w:id="752434573">
          <w:marLeft w:val="0"/>
          <w:marRight w:val="0"/>
          <w:marTop w:val="0"/>
          <w:marBottom w:val="0"/>
          <w:divBdr>
            <w:top w:val="none" w:sz="0" w:space="0" w:color="auto"/>
            <w:left w:val="none" w:sz="0" w:space="0" w:color="auto"/>
            <w:bottom w:val="none" w:sz="0" w:space="0" w:color="auto"/>
            <w:right w:val="none" w:sz="0" w:space="0" w:color="auto"/>
          </w:divBdr>
        </w:div>
        <w:div w:id="1391617463">
          <w:marLeft w:val="0"/>
          <w:marRight w:val="0"/>
          <w:marTop w:val="0"/>
          <w:marBottom w:val="0"/>
          <w:divBdr>
            <w:top w:val="none" w:sz="0" w:space="0" w:color="auto"/>
            <w:left w:val="none" w:sz="0" w:space="0" w:color="auto"/>
            <w:bottom w:val="none" w:sz="0" w:space="0" w:color="auto"/>
            <w:right w:val="none" w:sz="0" w:space="0" w:color="auto"/>
          </w:divBdr>
        </w:div>
        <w:div w:id="1189493651">
          <w:marLeft w:val="0"/>
          <w:marRight w:val="0"/>
          <w:marTop w:val="0"/>
          <w:marBottom w:val="0"/>
          <w:divBdr>
            <w:top w:val="none" w:sz="0" w:space="0" w:color="auto"/>
            <w:left w:val="none" w:sz="0" w:space="0" w:color="auto"/>
            <w:bottom w:val="none" w:sz="0" w:space="0" w:color="auto"/>
            <w:right w:val="none" w:sz="0" w:space="0" w:color="auto"/>
          </w:divBdr>
        </w:div>
        <w:div w:id="50888030">
          <w:marLeft w:val="0"/>
          <w:marRight w:val="0"/>
          <w:marTop w:val="0"/>
          <w:marBottom w:val="0"/>
          <w:divBdr>
            <w:top w:val="none" w:sz="0" w:space="0" w:color="auto"/>
            <w:left w:val="none" w:sz="0" w:space="0" w:color="auto"/>
            <w:bottom w:val="none" w:sz="0" w:space="0" w:color="auto"/>
            <w:right w:val="none" w:sz="0" w:space="0" w:color="auto"/>
          </w:divBdr>
        </w:div>
      </w:divsChild>
    </w:div>
    <w:div w:id="798647123">
      <w:bodyDiv w:val="1"/>
      <w:marLeft w:val="0"/>
      <w:marRight w:val="0"/>
      <w:marTop w:val="0"/>
      <w:marBottom w:val="0"/>
      <w:divBdr>
        <w:top w:val="none" w:sz="0" w:space="0" w:color="auto"/>
        <w:left w:val="none" w:sz="0" w:space="0" w:color="auto"/>
        <w:bottom w:val="none" w:sz="0" w:space="0" w:color="auto"/>
        <w:right w:val="none" w:sz="0" w:space="0" w:color="auto"/>
      </w:divBdr>
      <w:divsChild>
        <w:div w:id="1006517586">
          <w:marLeft w:val="0"/>
          <w:marRight w:val="0"/>
          <w:marTop w:val="0"/>
          <w:marBottom w:val="0"/>
          <w:divBdr>
            <w:top w:val="none" w:sz="0" w:space="0" w:color="auto"/>
            <w:left w:val="none" w:sz="0" w:space="0" w:color="auto"/>
            <w:bottom w:val="none" w:sz="0" w:space="0" w:color="auto"/>
            <w:right w:val="none" w:sz="0" w:space="0" w:color="auto"/>
          </w:divBdr>
          <w:divsChild>
            <w:div w:id="1804274054">
              <w:marLeft w:val="0"/>
              <w:marRight w:val="0"/>
              <w:marTop w:val="0"/>
              <w:marBottom w:val="0"/>
              <w:divBdr>
                <w:top w:val="none" w:sz="0" w:space="0" w:color="auto"/>
                <w:left w:val="none" w:sz="0" w:space="0" w:color="auto"/>
                <w:bottom w:val="none" w:sz="0" w:space="0" w:color="auto"/>
                <w:right w:val="none" w:sz="0" w:space="0" w:color="auto"/>
              </w:divBdr>
            </w:div>
            <w:div w:id="1937520887">
              <w:marLeft w:val="0"/>
              <w:marRight w:val="0"/>
              <w:marTop w:val="0"/>
              <w:marBottom w:val="0"/>
              <w:divBdr>
                <w:top w:val="none" w:sz="0" w:space="0" w:color="auto"/>
                <w:left w:val="none" w:sz="0" w:space="0" w:color="auto"/>
                <w:bottom w:val="none" w:sz="0" w:space="0" w:color="auto"/>
                <w:right w:val="none" w:sz="0" w:space="0" w:color="auto"/>
              </w:divBdr>
            </w:div>
            <w:div w:id="1049660">
              <w:marLeft w:val="0"/>
              <w:marRight w:val="0"/>
              <w:marTop w:val="0"/>
              <w:marBottom w:val="0"/>
              <w:divBdr>
                <w:top w:val="none" w:sz="0" w:space="0" w:color="auto"/>
                <w:left w:val="none" w:sz="0" w:space="0" w:color="auto"/>
                <w:bottom w:val="none" w:sz="0" w:space="0" w:color="auto"/>
                <w:right w:val="none" w:sz="0" w:space="0" w:color="auto"/>
              </w:divBdr>
            </w:div>
            <w:div w:id="213196511">
              <w:marLeft w:val="0"/>
              <w:marRight w:val="0"/>
              <w:marTop w:val="0"/>
              <w:marBottom w:val="0"/>
              <w:divBdr>
                <w:top w:val="none" w:sz="0" w:space="0" w:color="auto"/>
                <w:left w:val="none" w:sz="0" w:space="0" w:color="auto"/>
                <w:bottom w:val="none" w:sz="0" w:space="0" w:color="auto"/>
                <w:right w:val="none" w:sz="0" w:space="0" w:color="auto"/>
              </w:divBdr>
            </w:div>
            <w:div w:id="817112791">
              <w:marLeft w:val="0"/>
              <w:marRight w:val="0"/>
              <w:marTop w:val="0"/>
              <w:marBottom w:val="0"/>
              <w:divBdr>
                <w:top w:val="none" w:sz="0" w:space="0" w:color="auto"/>
                <w:left w:val="none" w:sz="0" w:space="0" w:color="auto"/>
                <w:bottom w:val="none" w:sz="0" w:space="0" w:color="auto"/>
                <w:right w:val="none" w:sz="0" w:space="0" w:color="auto"/>
              </w:divBdr>
            </w:div>
            <w:div w:id="658121041">
              <w:marLeft w:val="0"/>
              <w:marRight w:val="0"/>
              <w:marTop w:val="0"/>
              <w:marBottom w:val="0"/>
              <w:divBdr>
                <w:top w:val="none" w:sz="0" w:space="0" w:color="auto"/>
                <w:left w:val="none" w:sz="0" w:space="0" w:color="auto"/>
                <w:bottom w:val="none" w:sz="0" w:space="0" w:color="auto"/>
                <w:right w:val="none" w:sz="0" w:space="0" w:color="auto"/>
              </w:divBdr>
            </w:div>
            <w:div w:id="687487794">
              <w:marLeft w:val="0"/>
              <w:marRight w:val="0"/>
              <w:marTop w:val="0"/>
              <w:marBottom w:val="0"/>
              <w:divBdr>
                <w:top w:val="none" w:sz="0" w:space="0" w:color="auto"/>
                <w:left w:val="none" w:sz="0" w:space="0" w:color="auto"/>
                <w:bottom w:val="none" w:sz="0" w:space="0" w:color="auto"/>
                <w:right w:val="none" w:sz="0" w:space="0" w:color="auto"/>
              </w:divBdr>
            </w:div>
            <w:div w:id="252007972">
              <w:marLeft w:val="0"/>
              <w:marRight w:val="0"/>
              <w:marTop w:val="0"/>
              <w:marBottom w:val="0"/>
              <w:divBdr>
                <w:top w:val="none" w:sz="0" w:space="0" w:color="auto"/>
                <w:left w:val="none" w:sz="0" w:space="0" w:color="auto"/>
                <w:bottom w:val="none" w:sz="0" w:space="0" w:color="auto"/>
                <w:right w:val="none" w:sz="0" w:space="0" w:color="auto"/>
              </w:divBdr>
            </w:div>
            <w:div w:id="1078866189">
              <w:marLeft w:val="0"/>
              <w:marRight w:val="0"/>
              <w:marTop w:val="0"/>
              <w:marBottom w:val="0"/>
              <w:divBdr>
                <w:top w:val="none" w:sz="0" w:space="0" w:color="auto"/>
                <w:left w:val="none" w:sz="0" w:space="0" w:color="auto"/>
                <w:bottom w:val="none" w:sz="0" w:space="0" w:color="auto"/>
                <w:right w:val="none" w:sz="0" w:space="0" w:color="auto"/>
              </w:divBdr>
            </w:div>
            <w:div w:id="1387098314">
              <w:marLeft w:val="0"/>
              <w:marRight w:val="0"/>
              <w:marTop w:val="0"/>
              <w:marBottom w:val="0"/>
              <w:divBdr>
                <w:top w:val="none" w:sz="0" w:space="0" w:color="auto"/>
                <w:left w:val="none" w:sz="0" w:space="0" w:color="auto"/>
                <w:bottom w:val="none" w:sz="0" w:space="0" w:color="auto"/>
                <w:right w:val="none" w:sz="0" w:space="0" w:color="auto"/>
              </w:divBdr>
            </w:div>
            <w:div w:id="411704351">
              <w:marLeft w:val="0"/>
              <w:marRight w:val="0"/>
              <w:marTop w:val="0"/>
              <w:marBottom w:val="0"/>
              <w:divBdr>
                <w:top w:val="none" w:sz="0" w:space="0" w:color="auto"/>
                <w:left w:val="none" w:sz="0" w:space="0" w:color="auto"/>
                <w:bottom w:val="none" w:sz="0" w:space="0" w:color="auto"/>
                <w:right w:val="none" w:sz="0" w:space="0" w:color="auto"/>
              </w:divBdr>
            </w:div>
            <w:div w:id="1631126837">
              <w:marLeft w:val="0"/>
              <w:marRight w:val="0"/>
              <w:marTop w:val="0"/>
              <w:marBottom w:val="0"/>
              <w:divBdr>
                <w:top w:val="none" w:sz="0" w:space="0" w:color="auto"/>
                <w:left w:val="none" w:sz="0" w:space="0" w:color="auto"/>
                <w:bottom w:val="none" w:sz="0" w:space="0" w:color="auto"/>
                <w:right w:val="none" w:sz="0" w:space="0" w:color="auto"/>
              </w:divBdr>
            </w:div>
            <w:div w:id="1590232623">
              <w:marLeft w:val="0"/>
              <w:marRight w:val="0"/>
              <w:marTop w:val="0"/>
              <w:marBottom w:val="0"/>
              <w:divBdr>
                <w:top w:val="none" w:sz="0" w:space="0" w:color="auto"/>
                <w:left w:val="none" w:sz="0" w:space="0" w:color="auto"/>
                <w:bottom w:val="none" w:sz="0" w:space="0" w:color="auto"/>
                <w:right w:val="none" w:sz="0" w:space="0" w:color="auto"/>
              </w:divBdr>
            </w:div>
          </w:divsChild>
        </w:div>
        <w:div w:id="2130200609">
          <w:marLeft w:val="0"/>
          <w:marRight w:val="0"/>
          <w:marTop w:val="0"/>
          <w:marBottom w:val="0"/>
          <w:divBdr>
            <w:top w:val="none" w:sz="0" w:space="0" w:color="auto"/>
            <w:left w:val="none" w:sz="0" w:space="0" w:color="auto"/>
            <w:bottom w:val="none" w:sz="0" w:space="0" w:color="auto"/>
            <w:right w:val="none" w:sz="0" w:space="0" w:color="auto"/>
          </w:divBdr>
        </w:div>
      </w:divsChild>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14027957">
      <w:bodyDiv w:val="1"/>
      <w:marLeft w:val="0"/>
      <w:marRight w:val="0"/>
      <w:marTop w:val="0"/>
      <w:marBottom w:val="0"/>
      <w:divBdr>
        <w:top w:val="none" w:sz="0" w:space="0" w:color="auto"/>
        <w:left w:val="none" w:sz="0" w:space="0" w:color="auto"/>
        <w:bottom w:val="none" w:sz="0" w:space="0" w:color="auto"/>
        <w:right w:val="none" w:sz="0" w:space="0" w:color="auto"/>
      </w:divBdr>
      <w:divsChild>
        <w:div w:id="670180485">
          <w:marLeft w:val="0"/>
          <w:marRight w:val="0"/>
          <w:marTop w:val="0"/>
          <w:marBottom w:val="0"/>
          <w:divBdr>
            <w:top w:val="none" w:sz="0" w:space="0" w:color="auto"/>
            <w:left w:val="none" w:sz="0" w:space="0" w:color="auto"/>
            <w:bottom w:val="none" w:sz="0" w:space="0" w:color="auto"/>
            <w:right w:val="none" w:sz="0" w:space="0" w:color="auto"/>
          </w:divBdr>
        </w:div>
        <w:div w:id="377365929">
          <w:marLeft w:val="0"/>
          <w:marRight w:val="0"/>
          <w:marTop w:val="0"/>
          <w:marBottom w:val="0"/>
          <w:divBdr>
            <w:top w:val="none" w:sz="0" w:space="0" w:color="auto"/>
            <w:left w:val="none" w:sz="0" w:space="0" w:color="auto"/>
            <w:bottom w:val="none" w:sz="0" w:space="0" w:color="auto"/>
            <w:right w:val="none" w:sz="0" w:space="0" w:color="auto"/>
          </w:divBdr>
        </w:div>
        <w:div w:id="1959408078">
          <w:marLeft w:val="0"/>
          <w:marRight w:val="0"/>
          <w:marTop w:val="0"/>
          <w:marBottom w:val="0"/>
          <w:divBdr>
            <w:top w:val="none" w:sz="0" w:space="0" w:color="auto"/>
            <w:left w:val="none" w:sz="0" w:space="0" w:color="auto"/>
            <w:bottom w:val="none" w:sz="0" w:space="0" w:color="auto"/>
            <w:right w:val="none" w:sz="0" w:space="0" w:color="auto"/>
          </w:divBdr>
        </w:div>
        <w:div w:id="825239803">
          <w:marLeft w:val="0"/>
          <w:marRight w:val="0"/>
          <w:marTop w:val="0"/>
          <w:marBottom w:val="0"/>
          <w:divBdr>
            <w:top w:val="none" w:sz="0" w:space="0" w:color="auto"/>
            <w:left w:val="none" w:sz="0" w:space="0" w:color="auto"/>
            <w:bottom w:val="none" w:sz="0" w:space="0" w:color="auto"/>
            <w:right w:val="none" w:sz="0" w:space="0" w:color="auto"/>
          </w:divBdr>
        </w:div>
        <w:div w:id="1799060951">
          <w:marLeft w:val="0"/>
          <w:marRight w:val="0"/>
          <w:marTop w:val="0"/>
          <w:marBottom w:val="0"/>
          <w:divBdr>
            <w:top w:val="none" w:sz="0" w:space="0" w:color="auto"/>
            <w:left w:val="none" w:sz="0" w:space="0" w:color="auto"/>
            <w:bottom w:val="none" w:sz="0" w:space="0" w:color="auto"/>
            <w:right w:val="none" w:sz="0" w:space="0" w:color="auto"/>
          </w:divBdr>
        </w:div>
        <w:div w:id="1187015174">
          <w:marLeft w:val="0"/>
          <w:marRight w:val="0"/>
          <w:marTop w:val="0"/>
          <w:marBottom w:val="0"/>
          <w:divBdr>
            <w:top w:val="none" w:sz="0" w:space="0" w:color="auto"/>
            <w:left w:val="none" w:sz="0" w:space="0" w:color="auto"/>
            <w:bottom w:val="none" w:sz="0" w:space="0" w:color="auto"/>
            <w:right w:val="none" w:sz="0" w:space="0" w:color="auto"/>
          </w:divBdr>
        </w:div>
        <w:div w:id="628752927">
          <w:marLeft w:val="0"/>
          <w:marRight w:val="0"/>
          <w:marTop w:val="0"/>
          <w:marBottom w:val="0"/>
          <w:divBdr>
            <w:top w:val="none" w:sz="0" w:space="0" w:color="auto"/>
            <w:left w:val="none" w:sz="0" w:space="0" w:color="auto"/>
            <w:bottom w:val="none" w:sz="0" w:space="0" w:color="auto"/>
            <w:right w:val="none" w:sz="0" w:space="0" w:color="auto"/>
          </w:divBdr>
        </w:div>
        <w:div w:id="1627273021">
          <w:marLeft w:val="0"/>
          <w:marRight w:val="0"/>
          <w:marTop w:val="0"/>
          <w:marBottom w:val="0"/>
          <w:divBdr>
            <w:top w:val="none" w:sz="0" w:space="0" w:color="auto"/>
            <w:left w:val="none" w:sz="0" w:space="0" w:color="auto"/>
            <w:bottom w:val="none" w:sz="0" w:space="0" w:color="auto"/>
            <w:right w:val="none" w:sz="0" w:space="0" w:color="auto"/>
          </w:divBdr>
        </w:div>
        <w:div w:id="1310132528">
          <w:marLeft w:val="0"/>
          <w:marRight w:val="0"/>
          <w:marTop w:val="0"/>
          <w:marBottom w:val="0"/>
          <w:divBdr>
            <w:top w:val="none" w:sz="0" w:space="0" w:color="auto"/>
            <w:left w:val="none" w:sz="0" w:space="0" w:color="auto"/>
            <w:bottom w:val="none" w:sz="0" w:space="0" w:color="auto"/>
            <w:right w:val="none" w:sz="0" w:space="0" w:color="auto"/>
          </w:divBdr>
        </w:div>
        <w:div w:id="141774013">
          <w:marLeft w:val="0"/>
          <w:marRight w:val="0"/>
          <w:marTop w:val="0"/>
          <w:marBottom w:val="0"/>
          <w:divBdr>
            <w:top w:val="none" w:sz="0" w:space="0" w:color="auto"/>
            <w:left w:val="none" w:sz="0" w:space="0" w:color="auto"/>
            <w:bottom w:val="none" w:sz="0" w:space="0" w:color="auto"/>
            <w:right w:val="none" w:sz="0" w:space="0" w:color="auto"/>
          </w:divBdr>
        </w:div>
        <w:div w:id="1527867784">
          <w:marLeft w:val="0"/>
          <w:marRight w:val="0"/>
          <w:marTop w:val="0"/>
          <w:marBottom w:val="0"/>
          <w:divBdr>
            <w:top w:val="none" w:sz="0" w:space="0" w:color="auto"/>
            <w:left w:val="none" w:sz="0" w:space="0" w:color="auto"/>
            <w:bottom w:val="none" w:sz="0" w:space="0" w:color="auto"/>
            <w:right w:val="none" w:sz="0" w:space="0" w:color="auto"/>
          </w:divBdr>
        </w:div>
      </w:divsChild>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64429322">
      <w:bodyDiv w:val="1"/>
      <w:marLeft w:val="0"/>
      <w:marRight w:val="0"/>
      <w:marTop w:val="0"/>
      <w:marBottom w:val="0"/>
      <w:divBdr>
        <w:top w:val="none" w:sz="0" w:space="0" w:color="auto"/>
        <w:left w:val="none" w:sz="0" w:space="0" w:color="auto"/>
        <w:bottom w:val="none" w:sz="0" w:space="0" w:color="auto"/>
        <w:right w:val="none" w:sz="0" w:space="0" w:color="auto"/>
      </w:divBdr>
      <w:divsChild>
        <w:div w:id="1136796543">
          <w:marLeft w:val="0"/>
          <w:marRight w:val="0"/>
          <w:marTop w:val="0"/>
          <w:marBottom w:val="0"/>
          <w:divBdr>
            <w:top w:val="none" w:sz="0" w:space="0" w:color="auto"/>
            <w:left w:val="none" w:sz="0" w:space="0" w:color="auto"/>
            <w:bottom w:val="none" w:sz="0" w:space="0" w:color="auto"/>
            <w:right w:val="none" w:sz="0" w:space="0" w:color="auto"/>
          </w:divBdr>
        </w:div>
        <w:div w:id="1060399853">
          <w:marLeft w:val="0"/>
          <w:marRight w:val="0"/>
          <w:marTop w:val="0"/>
          <w:marBottom w:val="0"/>
          <w:divBdr>
            <w:top w:val="none" w:sz="0" w:space="0" w:color="auto"/>
            <w:left w:val="none" w:sz="0" w:space="0" w:color="auto"/>
            <w:bottom w:val="none" w:sz="0" w:space="0" w:color="auto"/>
            <w:right w:val="none" w:sz="0" w:space="0" w:color="auto"/>
          </w:divBdr>
        </w:div>
      </w:divsChild>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083376689">
      <w:bodyDiv w:val="1"/>
      <w:marLeft w:val="0"/>
      <w:marRight w:val="0"/>
      <w:marTop w:val="0"/>
      <w:marBottom w:val="0"/>
      <w:divBdr>
        <w:top w:val="none" w:sz="0" w:space="0" w:color="auto"/>
        <w:left w:val="none" w:sz="0" w:space="0" w:color="auto"/>
        <w:bottom w:val="none" w:sz="0" w:space="0" w:color="auto"/>
        <w:right w:val="none" w:sz="0" w:space="0" w:color="auto"/>
      </w:divBdr>
      <w:divsChild>
        <w:div w:id="900990600">
          <w:marLeft w:val="0"/>
          <w:marRight w:val="0"/>
          <w:marTop w:val="0"/>
          <w:marBottom w:val="0"/>
          <w:divBdr>
            <w:top w:val="none" w:sz="0" w:space="0" w:color="auto"/>
            <w:left w:val="none" w:sz="0" w:space="0" w:color="auto"/>
            <w:bottom w:val="none" w:sz="0" w:space="0" w:color="auto"/>
            <w:right w:val="none" w:sz="0" w:space="0" w:color="auto"/>
          </w:divBdr>
        </w:div>
        <w:div w:id="485318360">
          <w:marLeft w:val="0"/>
          <w:marRight w:val="0"/>
          <w:marTop w:val="0"/>
          <w:marBottom w:val="0"/>
          <w:divBdr>
            <w:top w:val="none" w:sz="0" w:space="0" w:color="auto"/>
            <w:left w:val="none" w:sz="0" w:space="0" w:color="auto"/>
            <w:bottom w:val="none" w:sz="0" w:space="0" w:color="auto"/>
            <w:right w:val="none" w:sz="0" w:space="0" w:color="auto"/>
          </w:divBdr>
        </w:div>
        <w:div w:id="898515324">
          <w:marLeft w:val="0"/>
          <w:marRight w:val="0"/>
          <w:marTop w:val="0"/>
          <w:marBottom w:val="0"/>
          <w:divBdr>
            <w:top w:val="none" w:sz="0" w:space="0" w:color="auto"/>
            <w:left w:val="none" w:sz="0" w:space="0" w:color="auto"/>
            <w:bottom w:val="none" w:sz="0" w:space="0" w:color="auto"/>
            <w:right w:val="none" w:sz="0" w:space="0" w:color="auto"/>
          </w:divBdr>
        </w:div>
        <w:div w:id="1877616583">
          <w:marLeft w:val="0"/>
          <w:marRight w:val="0"/>
          <w:marTop w:val="0"/>
          <w:marBottom w:val="0"/>
          <w:divBdr>
            <w:top w:val="none" w:sz="0" w:space="0" w:color="auto"/>
            <w:left w:val="none" w:sz="0" w:space="0" w:color="auto"/>
            <w:bottom w:val="none" w:sz="0" w:space="0" w:color="auto"/>
            <w:right w:val="none" w:sz="0" w:space="0" w:color="auto"/>
          </w:divBdr>
        </w:div>
        <w:div w:id="1705666720">
          <w:marLeft w:val="0"/>
          <w:marRight w:val="0"/>
          <w:marTop w:val="0"/>
          <w:marBottom w:val="0"/>
          <w:divBdr>
            <w:top w:val="none" w:sz="0" w:space="0" w:color="auto"/>
            <w:left w:val="none" w:sz="0" w:space="0" w:color="auto"/>
            <w:bottom w:val="none" w:sz="0" w:space="0" w:color="auto"/>
            <w:right w:val="none" w:sz="0" w:space="0" w:color="auto"/>
          </w:divBdr>
        </w:div>
        <w:div w:id="1185098970">
          <w:marLeft w:val="0"/>
          <w:marRight w:val="0"/>
          <w:marTop w:val="0"/>
          <w:marBottom w:val="0"/>
          <w:divBdr>
            <w:top w:val="none" w:sz="0" w:space="0" w:color="auto"/>
            <w:left w:val="none" w:sz="0" w:space="0" w:color="auto"/>
            <w:bottom w:val="none" w:sz="0" w:space="0" w:color="auto"/>
            <w:right w:val="none" w:sz="0" w:space="0" w:color="auto"/>
          </w:divBdr>
        </w:div>
      </w:divsChild>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73975734">
      <w:bodyDiv w:val="1"/>
      <w:marLeft w:val="0"/>
      <w:marRight w:val="0"/>
      <w:marTop w:val="0"/>
      <w:marBottom w:val="0"/>
      <w:divBdr>
        <w:top w:val="none" w:sz="0" w:space="0" w:color="auto"/>
        <w:left w:val="none" w:sz="0" w:space="0" w:color="auto"/>
        <w:bottom w:val="none" w:sz="0" w:space="0" w:color="auto"/>
        <w:right w:val="none" w:sz="0" w:space="0" w:color="auto"/>
      </w:divBdr>
      <w:divsChild>
        <w:div w:id="1350789490">
          <w:marLeft w:val="0"/>
          <w:marRight w:val="0"/>
          <w:marTop w:val="0"/>
          <w:marBottom w:val="0"/>
          <w:divBdr>
            <w:top w:val="none" w:sz="0" w:space="0" w:color="auto"/>
            <w:left w:val="none" w:sz="0" w:space="0" w:color="auto"/>
            <w:bottom w:val="none" w:sz="0" w:space="0" w:color="auto"/>
            <w:right w:val="none" w:sz="0" w:space="0" w:color="auto"/>
          </w:divBdr>
        </w:div>
        <w:div w:id="1417168756">
          <w:marLeft w:val="0"/>
          <w:marRight w:val="0"/>
          <w:marTop w:val="0"/>
          <w:marBottom w:val="0"/>
          <w:divBdr>
            <w:top w:val="none" w:sz="0" w:space="0" w:color="auto"/>
            <w:left w:val="none" w:sz="0" w:space="0" w:color="auto"/>
            <w:bottom w:val="none" w:sz="0" w:space="0" w:color="auto"/>
            <w:right w:val="none" w:sz="0" w:space="0" w:color="auto"/>
          </w:divBdr>
        </w:div>
        <w:div w:id="1436823764">
          <w:marLeft w:val="0"/>
          <w:marRight w:val="0"/>
          <w:marTop w:val="0"/>
          <w:marBottom w:val="0"/>
          <w:divBdr>
            <w:top w:val="none" w:sz="0" w:space="0" w:color="auto"/>
            <w:left w:val="none" w:sz="0" w:space="0" w:color="auto"/>
            <w:bottom w:val="none" w:sz="0" w:space="0" w:color="auto"/>
            <w:right w:val="none" w:sz="0" w:space="0" w:color="auto"/>
          </w:divBdr>
        </w:div>
      </w:divsChild>
    </w:div>
    <w:div w:id="1354186087">
      <w:bodyDiv w:val="1"/>
      <w:marLeft w:val="0"/>
      <w:marRight w:val="0"/>
      <w:marTop w:val="0"/>
      <w:marBottom w:val="0"/>
      <w:divBdr>
        <w:top w:val="none" w:sz="0" w:space="0" w:color="auto"/>
        <w:left w:val="none" w:sz="0" w:space="0" w:color="auto"/>
        <w:bottom w:val="none" w:sz="0" w:space="0" w:color="auto"/>
        <w:right w:val="none" w:sz="0" w:space="0" w:color="auto"/>
      </w:divBdr>
      <w:divsChild>
        <w:div w:id="567233520">
          <w:marLeft w:val="0"/>
          <w:marRight w:val="0"/>
          <w:marTop w:val="0"/>
          <w:marBottom w:val="0"/>
          <w:divBdr>
            <w:top w:val="none" w:sz="0" w:space="0" w:color="auto"/>
            <w:left w:val="none" w:sz="0" w:space="0" w:color="auto"/>
            <w:bottom w:val="none" w:sz="0" w:space="0" w:color="auto"/>
            <w:right w:val="none" w:sz="0" w:space="0" w:color="auto"/>
          </w:divBdr>
        </w:div>
        <w:div w:id="1342397040">
          <w:marLeft w:val="0"/>
          <w:marRight w:val="0"/>
          <w:marTop w:val="0"/>
          <w:marBottom w:val="0"/>
          <w:divBdr>
            <w:top w:val="none" w:sz="0" w:space="0" w:color="auto"/>
            <w:left w:val="none" w:sz="0" w:space="0" w:color="auto"/>
            <w:bottom w:val="none" w:sz="0" w:space="0" w:color="auto"/>
            <w:right w:val="none" w:sz="0" w:space="0" w:color="auto"/>
          </w:divBdr>
        </w:div>
        <w:div w:id="678433873">
          <w:marLeft w:val="0"/>
          <w:marRight w:val="0"/>
          <w:marTop w:val="0"/>
          <w:marBottom w:val="0"/>
          <w:divBdr>
            <w:top w:val="none" w:sz="0" w:space="0" w:color="auto"/>
            <w:left w:val="none" w:sz="0" w:space="0" w:color="auto"/>
            <w:bottom w:val="none" w:sz="0" w:space="0" w:color="auto"/>
            <w:right w:val="none" w:sz="0" w:space="0" w:color="auto"/>
          </w:divBdr>
        </w:div>
        <w:div w:id="2073238262">
          <w:marLeft w:val="0"/>
          <w:marRight w:val="0"/>
          <w:marTop w:val="0"/>
          <w:marBottom w:val="0"/>
          <w:divBdr>
            <w:top w:val="none" w:sz="0" w:space="0" w:color="auto"/>
            <w:left w:val="none" w:sz="0" w:space="0" w:color="auto"/>
            <w:bottom w:val="none" w:sz="0" w:space="0" w:color="auto"/>
            <w:right w:val="none" w:sz="0" w:space="0" w:color="auto"/>
          </w:divBdr>
        </w:div>
        <w:div w:id="1319728342">
          <w:marLeft w:val="0"/>
          <w:marRight w:val="0"/>
          <w:marTop w:val="0"/>
          <w:marBottom w:val="0"/>
          <w:divBdr>
            <w:top w:val="none" w:sz="0" w:space="0" w:color="auto"/>
            <w:left w:val="none" w:sz="0" w:space="0" w:color="auto"/>
            <w:bottom w:val="none" w:sz="0" w:space="0" w:color="auto"/>
            <w:right w:val="none" w:sz="0" w:space="0" w:color="auto"/>
          </w:divBdr>
        </w:div>
        <w:div w:id="1329746122">
          <w:marLeft w:val="0"/>
          <w:marRight w:val="0"/>
          <w:marTop w:val="0"/>
          <w:marBottom w:val="0"/>
          <w:divBdr>
            <w:top w:val="none" w:sz="0" w:space="0" w:color="auto"/>
            <w:left w:val="none" w:sz="0" w:space="0" w:color="auto"/>
            <w:bottom w:val="none" w:sz="0" w:space="0" w:color="auto"/>
            <w:right w:val="none" w:sz="0" w:space="0" w:color="auto"/>
          </w:divBdr>
        </w:div>
        <w:div w:id="1834830757">
          <w:marLeft w:val="0"/>
          <w:marRight w:val="0"/>
          <w:marTop w:val="0"/>
          <w:marBottom w:val="0"/>
          <w:divBdr>
            <w:top w:val="none" w:sz="0" w:space="0" w:color="auto"/>
            <w:left w:val="none" w:sz="0" w:space="0" w:color="auto"/>
            <w:bottom w:val="none" w:sz="0" w:space="0" w:color="auto"/>
            <w:right w:val="none" w:sz="0" w:space="0" w:color="auto"/>
          </w:divBdr>
        </w:div>
        <w:div w:id="708073400">
          <w:marLeft w:val="0"/>
          <w:marRight w:val="0"/>
          <w:marTop w:val="0"/>
          <w:marBottom w:val="0"/>
          <w:divBdr>
            <w:top w:val="none" w:sz="0" w:space="0" w:color="auto"/>
            <w:left w:val="none" w:sz="0" w:space="0" w:color="auto"/>
            <w:bottom w:val="none" w:sz="0" w:space="0" w:color="auto"/>
            <w:right w:val="none" w:sz="0" w:space="0" w:color="auto"/>
          </w:divBdr>
        </w:div>
      </w:divsChild>
    </w:div>
    <w:div w:id="1423721225">
      <w:bodyDiv w:val="1"/>
      <w:marLeft w:val="0"/>
      <w:marRight w:val="0"/>
      <w:marTop w:val="0"/>
      <w:marBottom w:val="0"/>
      <w:divBdr>
        <w:top w:val="none" w:sz="0" w:space="0" w:color="auto"/>
        <w:left w:val="none" w:sz="0" w:space="0" w:color="auto"/>
        <w:bottom w:val="none" w:sz="0" w:space="0" w:color="auto"/>
        <w:right w:val="none" w:sz="0" w:space="0" w:color="auto"/>
      </w:divBdr>
      <w:divsChild>
        <w:div w:id="780950775">
          <w:marLeft w:val="0"/>
          <w:marRight w:val="0"/>
          <w:marTop w:val="0"/>
          <w:marBottom w:val="0"/>
          <w:divBdr>
            <w:top w:val="none" w:sz="0" w:space="0" w:color="auto"/>
            <w:left w:val="none" w:sz="0" w:space="0" w:color="auto"/>
            <w:bottom w:val="none" w:sz="0" w:space="0" w:color="auto"/>
            <w:right w:val="none" w:sz="0" w:space="0" w:color="auto"/>
          </w:divBdr>
        </w:div>
        <w:div w:id="10108261">
          <w:marLeft w:val="0"/>
          <w:marRight w:val="0"/>
          <w:marTop w:val="0"/>
          <w:marBottom w:val="0"/>
          <w:divBdr>
            <w:top w:val="none" w:sz="0" w:space="0" w:color="auto"/>
            <w:left w:val="none" w:sz="0" w:space="0" w:color="auto"/>
            <w:bottom w:val="none" w:sz="0" w:space="0" w:color="auto"/>
            <w:right w:val="none" w:sz="0" w:space="0" w:color="auto"/>
          </w:divBdr>
        </w:div>
      </w:divsChild>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21158668">
      <w:bodyDiv w:val="1"/>
      <w:marLeft w:val="0"/>
      <w:marRight w:val="0"/>
      <w:marTop w:val="0"/>
      <w:marBottom w:val="0"/>
      <w:divBdr>
        <w:top w:val="none" w:sz="0" w:space="0" w:color="auto"/>
        <w:left w:val="none" w:sz="0" w:space="0" w:color="auto"/>
        <w:bottom w:val="none" w:sz="0" w:space="0" w:color="auto"/>
        <w:right w:val="none" w:sz="0" w:space="0" w:color="auto"/>
      </w:divBdr>
      <w:divsChild>
        <w:div w:id="1212695113">
          <w:marLeft w:val="0"/>
          <w:marRight w:val="0"/>
          <w:marTop w:val="0"/>
          <w:marBottom w:val="0"/>
          <w:divBdr>
            <w:top w:val="none" w:sz="0" w:space="0" w:color="auto"/>
            <w:left w:val="none" w:sz="0" w:space="0" w:color="auto"/>
            <w:bottom w:val="none" w:sz="0" w:space="0" w:color="auto"/>
            <w:right w:val="none" w:sz="0" w:space="0" w:color="auto"/>
          </w:divBdr>
        </w:div>
        <w:div w:id="211771823">
          <w:marLeft w:val="0"/>
          <w:marRight w:val="0"/>
          <w:marTop w:val="0"/>
          <w:marBottom w:val="0"/>
          <w:divBdr>
            <w:top w:val="none" w:sz="0" w:space="0" w:color="auto"/>
            <w:left w:val="none" w:sz="0" w:space="0" w:color="auto"/>
            <w:bottom w:val="none" w:sz="0" w:space="0" w:color="auto"/>
            <w:right w:val="none" w:sz="0" w:space="0" w:color="auto"/>
          </w:divBdr>
        </w:div>
        <w:div w:id="560990702">
          <w:marLeft w:val="0"/>
          <w:marRight w:val="0"/>
          <w:marTop w:val="0"/>
          <w:marBottom w:val="0"/>
          <w:divBdr>
            <w:top w:val="none" w:sz="0" w:space="0" w:color="auto"/>
            <w:left w:val="none" w:sz="0" w:space="0" w:color="auto"/>
            <w:bottom w:val="none" w:sz="0" w:space="0" w:color="auto"/>
            <w:right w:val="none" w:sz="0" w:space="0" w:color="auto"/>
          </w:divBdr>
        </w:div>
        <w:div w:id="131680040">
          <w:marLeft w:val="0"/>
          <w:marRight w:val="0"/>
          <w:marTop w:val="0"/>
          <w:marBottom w:val="0"/>
          <w:divBdr>
            <w:top w:val="none" w:sz="0" w:space="0" w:color="auto"/>
            <w:left w:val="none" w:sz="0" w:space="0" w:color="auto"/>
            <w:bottom w:val="none" w:sz="0" w:space="0" w:color="auto"/>
            <w:right w:val="none" w:sz="0" w:space="0" w:color="auto"/>
          </w:divBdr>
        </w:div>
        <w:div w:id="1828813620">
          <w:marLeft w:val="0"/>
          <w:marRight w:val="0"/>
          <w:marTop w:val="0"/>
          <w:marBottom w:val="0"/>
          <w:divBdr>
            <w:top w:val="none" w:sz="0" w:space="0" w:color="auto"/>
            <w:left w:val="none" w:sz="0" w:space="0" w:color="auto"/>
            <w:bottom w:val="none" w:sz="0" w:space="0" w:color="auto"/>
            <w:right w:val="none" w:sz="0" w:space="0" w:color="auto"/>
          </w:divBdr>
        </w:div>
        <w:div w:id="732704976">
          <w:marLeft w:val="0"/>
          <w:marRight w:val="0"/>
          <w:marTop w:val="0"/>
          <w:marBottom w:val="0"/>
          <w:divBdr>
            <w:top w:val="none" w:sz="0" w:space="0" w:color="auto"/>
            <w:left w:val="none" w:sz="0" w:space="0" w:color="auto"/>
            <w:bottom w:val="none" w:sz="0" w:space="0" w:color="auto"/>
            <w:right w:val="none" w:sz="0" w:space="0" w:color="auto"/>
          </w:divBdr>
        </w:div>
        <w:div w:id="183130974">
          <w:marLeft w:val="0"/>
          <w:marRight w:val="0"/>
          <w:marTop w:val="0"/>
          <w:marBottom w:val="0"/>
          <w:divBdr>
            <w:top w:val="none" w:sz="0" w:space="0" w:color="auto"/>
            <w:left w:val="none" w:sz="0" w:space="0" w:color="auto"/>
            <w:bottom w:val="none" w:sz="0" w:space="0" w:color="auto"/>
            <w:right w:val="none" w:sz="0" w:space="0" w:color="auto"/>
          </w:divBdr>
        </w:div>
        <w:div w:id="1478035826">
          <w:marLeft w:val="0"/>
          <w:marRight w:val="0"/>
          <w:marTop w:val="0"/>
          <w:marBottom w:val="0"/>
          <w:divBdr>
            <w:top w:val="none" w:sz="0" w:space="0" w:color="auto"/>
            <w:left w:val="none" w:sz="0" w:space="0" w:color="auto"/>
            <w:bottom w:val="none" w:sz="0" w:space="0" w:color="auto"/>
            <w:right w:val="none" w:sz="0" w:space="0" w:color="auto"/>
          </w:divBdr>
        </w:div>
        <w:div w:id="370541395">
          <w:marLeft w:val="0"/>
          <w:marRight w:val="0"/>
          <w:marTop w:val="0"/>
          <w:marBottom w:val="0"/>
          <w:divBdr>
            <w:top w:val="none" w:sz="0" w:space="0" w:color="auto"/>
            <w:left w:val="none" w:sz="0" w:space="0" w:color="auto"/>
            <w:bottom w:val="none" w:sz="0" w:space="0" w:color="auto"/>
            <w:right w:val="none" w:sz="0" w:space="0" w:color="auto"/>
          </w:divBdr>
        </w:div>
        <w:div w:id="952902792">
          <w:marLeft w:val="0"/>
          <w:marRight w:val="0"/>
          <w:marTop w:val="0"/>
          <w:marBottom w:val="0"/>
          <w:divBdr>
            <w:top w:val="none" w:sz="0" w:space="0" w:color="auto"/>
            <w:left w:val="none" w:sz="0" w:space="0" w:color="auto"/>
            <w:bottom w:val="none" w:sz="0" w:space="0" w:color="auto"/>
            <w:right w:val="none" w:sz="0" w:space="0" w:color="auto"/>
          </w:divBdr>
        </w:div>
        <w:div w:id="363557042">
          <w:marLeft w:val="0"/>
          <w:marRight w:val="0"/>
          <w:marTop w:val="0"/>
          <w:marBottom w:val="0"/>
          <w:divBdr>
            <w:top w:val="none" w:sz="0" w:space="0" w:color="auto"/>
            <w:left w:val="none" w:sz="0" w:space="0" w:color="auto"/>
            <w:bottom w:val="none" w:sz="0" w:space="0" w:color="auto"/>
            <w:right w:val="none" w:sz="0" w:space="0" w:color="auto"/>
          </w:divBdr>
        </w:div>
        <w:div w:id="1983775696">
          <w:marLeft w:val="0"/>
          <w:marRight w:val="0"/>
          <w:marTop w:val="0"/>
          <w:marBottom w:val="0"/>
          <w:divBdr>
            <w:top w:val="none" w:sz="0" w:space="0" w:color="auto"/>
            <w:left w:val="none" w:sz="0" w:space="0" w:color="auto"/>
            <w:bottom w:val="none" w:sz="0" w:space="0" w:color="auto"/>
            <w:right w:val="none" w:sz="0" w:space="0" w:color="auto"/>
          </w:divBdr>
        </w:div>
      </w:divsChild>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03100472">
      <w:bodyDiv w:val="1"/>
      <w:marLeft w:val="0"/>
      <w:marRight w:val="0"/>
      <w:marTop w:val="0"/>
      <w:marBottom w:val="0"/>
      <w:divBdr>
        <w:top w:val="none" w:sz="0" w:space="0" w:color="auto"/>
        <w:left w:val="none" w:sz="0" w:space="0" w:color="auto"/>
        <w:bottom w:val="none" w:sz="0" w:space="0" w:color="auto"/>
        <w:right w:val="none" w:sz="0" w:space="0" w:color="auto"/>
      </w:divBdr>
      <w:divsChild>
        <w:div w:id="1534924398">
          <w:marLeft w:val="0"/>
          <w:marRight w:val="0"/>
          <w:marTop w:val="0"/>
          <w:marBottom w:val="0"/>
          <w:divBdr>
            <w:top w:val="none" w:sz="0" w:space="0" w:color="auto"/>
            <w:left w:val="none" w:sz="0" w:space="0" w:color="auto"/>
            <w:bottom w:val="none" w:sz="0" w:space="0" w:color="auto"/>
            <w:right w:val="none" w:sz="0" w:space="0" w:color="auto"/>
          </w:divBdr>
        </w:div>
        <w:div w:id="2140800690">
          <w:marLeft w:val="0"/>
          <w:marRight w:val="0"/>
          <w:marTop w:val="0"/>
          <w:marBottom w:val="0"/>
          <w:divBdr>
            <w:top w:val="none" w:sz="0" w:space="0" w:color="auto"/>
            <w:left w:val="none" w:sz="0" w:space="0" w:color="auto"/>
            <w:bottom w:val="none" w:sz="0" w:space="0" w:color="auto"/>
            <w:right w:val="none" w:sz="0" w:space="0" w:color="auto"/>
          </w:divBdr>
        </w:div>
      </w:divsChild>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2856570">
      <w:bodyDiv w:val="1"/>
      <w:marLeft w:val="0"/>
      <w:marRight w:val="0"/>
      <w:marTop w:val="0"/>
      <w:marBottom w:val="0"/>
      <w:divBdr>
        <w:top w:val="none" w:sz="0" w:space="0" w:color="auto"/>
        <w:left w:val="none" w:sz="0" w:space="0" w:color="auto"/>
        <w:bottom w:val="none" w:sz="0" w:space="0" w:color="auto"/>
        <w:right w:val="none" w:sz="0" w:space="0" w:color="auto"/>
      </w:divBdr>
      <w:divsChild>
        <w:div w:id="1125154589">
          <w:marLeft w:val="0"/>
          <w:marRight w:val="0"/>
          <w:marTop w:val="0"/>
          <w:marBottom w:val="0"/>
          <w:divBdr>
            <w:top w:val="none" w:sz="0" w:space="0" w:color="auto"/>
            <w:left w:val="none" w:sz="0" w:space="0" w:color="auto"/>
            <w:bottom w:val="none" w:sz="0" w:space="0" w:color="auto"/>
            <w:right w:val="none" w:sz="0" w:space="0" w:color="auto"/>
          </w:divBdr>
          <w:divsChild>
            <w:div w:id="1595285261">
              <w:marLeft w:val="0"/>
              <w:marRight w:val="0"/>
              <w:marTop w:val="0"/>
              <w:marBottom w:val="0"/>
              <w:divBdr>
                <w:top w:val="none" w:sz="0" w:space="0" w:color="auto"/>
                <w:left w:val="none" w:sz="0" w:space="0" w:color="auto"/>
                <w:bottom w:val="none" w:sz="0" w:space="0" w:color="auto"/>
                <w:right w:val="none" w:sz="0" w:space="0" w:color="auto"/>
              </w:divBdr>
            </w:div>
            <w:div w:id="659237696">
              <w:marLeft w:val="0"/>
              <w:marRight w:val="0"/>
              <w:marTop w:val="0"/>
              <w:marBottom w:val="0"/>
              <w:divBdr>
                <w:top w:val="none" w:sz="0" w:space="0" w:color="auto"/>
                <w:left w:val="none" w:sz="0" w:space="0" w:color="auto"/>
                <w:bottom w:val="none" w:sz="0" w:space="0" w:color="auto"/>
                <w:right w:val="none" w:sz="0" w:space="0" w:color="auto"/>
              </w:divBdr>
            </w:div>
          </w:divsChild>
        </w:div>
        <w:div w:id="1006251060">
          <w:marLeft w:val="0"/>
          <w:marRight w:val="0"/>
          <w:marTop w:val="0"/>
          <w:marBottom w:val="0"/>
          <w:divBdr>
            <w:top w:val="none" w:sz="0" w:space="0" w:color="auto"/>
            <w:left w:val="none" w:sz="0" w:space="0" w:color="auto"/>
            <w:bottom w:val="none" w:sz="0" w:space="0" w:color="auto"/>
            <w:right w:val="none" w:sz="0" w:space="0" w:color="auto"/>
          </w:divBdr>
        </w:div>
      </w:divsChild>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721710108">
      <w:bodyDiv w:val="1"/>
      <w:marLeft w:val="0"/>
      <w:marRight w:val="0"/>
      <w:marTop w:val="0"/>
      <w:marBottom w:val="0"/>
      <w:divBdr>
        <w:top w:val="none" w:sz="0" w:space="0" w:color="auto"/>
        <w:left w:val="none" w:sz="0" w:space="0" w:color="auto"/>
        <w:bottom w:val="none" w:sz="0" w:space="0" w:color="auto"/>
        <w:right w:val="none" w:sz="0" w:space="0" w:color="auto"/>
      </w:divBdr>
      <w:divsChild>
        <w:div w:id="881944311">
          <w:marLeft w:val="0"/>
          <w:marRight w:val="0"/>
          <w:marTop w:val="0"/>
          <w:marBottom w:val="0"/>
          <w:divBdr>
            <w:top w:val="none" w:sz="0" w:space="0" w:color="auto"/>
            <w:left w:val="none" w:sz="0" w:space="0" w:color="auto"/>
            <w:bottom w:val="none" w:sz="0" w:space="0" w:color="auto"/>
            <w:right w:val="none" w:sz="0" w:space="0" w:color="auto"/>
          </w:divBdr>
        </w:div>
        <w:div w:id="1386025929">
          <w:marLeft w:val="0"/>
          <w:marRight w:val="0"/>
          <w:marTop w:val="0"/>
          <w:marBottom w:val="0"/>
          <w:divBdr>
            <w:top w:val="none" w:sz="0" w:space="0" w:color="auto"/>
            <w:left w:val="none" w:sz="0" w:space="0" w:color="auto"/>
            <w:bottom w:val="none" w:sz="0" w:space="0" w:color="auto"/>
            <w:right w:val="none" w:sz="0" w:space="0" w:color="auto"/>
          </w:divBdr>
        </w:div>
        <w:div w:id="237328878">
          <w:marLeft w:val="0"/>
          <w:marRight w:val="0"/>
          <w:marTop w:val="0"/>
          <w:marBottom w:val="0"/>
          <w:divBdr>
            <w:top w:val="none" w:sz="0" w:space="0" w:color="auto"/>
            <w:left w:val="none" w:sz="0" w:space="0" w:color="auto"/>
            <w:bottom w:val="none" w:sz="0" w:space="0" w:color="auto"/>
            <w:right w:val="none" w:sz="0" w:space="0" w:color="auto"/>
          </w:divBdr>
        </w:div>
        <w:div w:id="1502233366">
          <w:marLeft w:val="0"/>
          <w:marRight w:val="0"/>
          <w:marTop w:val="0"/>
          <w:marBottom w:val="0"/>
          <w:divBdr>
            <w:top w:val="none" w:sz="0" w:space="0" w:color="auto"/>
            <w:left w:val="none" w:sz="0" w:space="0" w:color="auto"/>
            <w:bottom w:val="none" w:sz="0" w:space="0" w:color="auto"/>
            <w:right w:val="none" w:sz="0" w:space="0" w:color="auto"/>
          </w:divBdr>
        </w:div>
        <w:div w:id="942879934">
          <w:marLeft w:val="0"/>
          <w:marRight w:val="0"/>
          <w:marTop w:val="0"/>
          <w:marBottom w:val="0"/>
          <w:divBdr>
            <w:top w:val="none" w:sz="0" w:space="0" w:color="auto"/>
            <w:left w:val="none" w:sz="0" w:space="0" w:color="auto"/>
            <w:bottom w:val="none" w:sz="0" w:space="0" w:color="auto"/>
            <w:right w:val="none" w:sz="0" w:space="0" w:color="auto"/>
          </w:divBdr>
        </w:div>
        <w:div w:id="1116874604">
          <w:marLeft w:val="0"/>
          <w:marRight w:val="0"/>
          <w:marTop w:val="0"/>
          <w:marBottom w:val="0"/>
          <w:divBdr>
            <w:top w:val="none" w:sz="0" w:space="0" w:color="auto"/>
            <w:left w:val="none" w:sz="0" w:space="0" w:color="auto"/>
            <w:bottom w:val="none" w:sz="0" w:space="0" w:color="auto"/>
            <w:right w:val="none" w:sz="0" w:space="0" w:color="auto"/>
          </w:divBdr>
        </w:div>
        <w:div w:id="2081753488">
          <w:marLeft w:val="0"/>
          <w:marRight w:val="0"/>
          <w:marTop w:val="0"/>
          <w:marBottom w:val="0"/>
          <w:divBdr>
            <w:top w:val="none" w:sz="0" w:space="0" w:color="auto"/>
            <w:left w:val="none" w:sz="0" w:space="0" w:color="auto"/>
            <w:bottom w:val="none" w:sz="0" w:space="0" w:color="auto"/>
            <w:right w:val="none" w:sz="0" w:space="0" w:color="auto"/>
          </w:divBdr>
        </w:div>
      </w:divsChild>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 w:id="203256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slaemea.org/common-domain-model/" TargetMode="External"/><Relationship Id="rId7" Type="http://schemas.openxmlformats.org/officeDocument/2006/relationships/settings" Target="settings.xml"/><Relationship Id="rId17" Type="http://schemas.openxmlformats.org/officeDocument/2006/relationships/hyperlink" Target="https://www.esma.europa.eu/about-esma/data-protection"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sma.europa.e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212A9F"/>
    <w:rsid w:val="004E4CF9"/>
    <w:rsid w:val="005751DD"/>
    <w:rsid w:val="00813189"/>
    <w:rsid w:val="008222A0"/>
    <w:rsid w:val="00836D47"/>
    <w:rsid w:val="009B6B9C"/>
    <w:rsid w:val="00B22006"/>
    <w:rsid w:val="00BD08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667bcdb-88bc-46cf-a8ee-74e5e10906fc">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E56CA3ABD7494294C5B286CF56FB4E" ma:contentTypeVersion="5" ma:contentTypeDescription="Create a new document." ma:contentTypeScope="" ma:versionID="ec3e07a11d8bc13ee6307e229f9cccb4">
  <xsd:schema xmlns:xsd="http://www.w3.org/2001/XMLSchema" xmlns:xs="http://www.w3.org/2001/XMLSchema" xmlns:p="http://schemas.microsoft.com/office/2006/metadata/properties" xmlns:ns2="b667bcdb-88bc-46cf-a8ee-74e5e10906fc" xmlns:ns3="00efdb84-e127-401b-807d-2e9468d37abb" targetNamespace="http://schemas.microsoft.com/office/2006/metadata/properties" ma:root="true" ma:fieldsID="638846d5e788d2e8af6b4f24a6cee1f8" ns2:_="" ns3:_="">
    <xsd:import namespace="b667bcdb-88bc-46cf-a8ee-74e5e10906fc"/>
    <xsd:import namespace="00efdb84-e127-401b-807d-2e9468d37a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7bcdb-88bc-46cf-a8ee-74e5e10906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efdb84-e127-401b-807d-2e9468d37a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b667bcdb-88bc-46cf-a8ee-74e5e10906fc"/>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DBC32016-9AB0-4575-A99A-80243E677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7bcdb-88bc-46cf-a8ee-74e5e10906fc"/>
    <ds:schemaRef ds:uri="00efdb84-e127-401b-807d-2e9468d37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24</Pages>
  <Words>8083</Words>
  <Characters>46079</Characters>
  <Application>Microsoft Office Word</Application>
  <DocSecurity>8</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Adrian Dale</cp:lastModifiedBy>
  <cp:revision>42</cp:revision>
  <cp:lastPrinted>2023-09-08T15:53:00Z</cp:lastPrinted>
  <dcterms:created xsi:type="dcterms:W3CDTF">2023-09-29T23:33:00Z</dcterms:created>
  <dcterms:modified xsi:type="dcterms:W3CDTF">2023-12-15T12:34:00Z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0x01010026E56CA3ABD7494294C5B286CF56FB4E</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19652987-5c33-4005-9194-eecf50ceef6c</vt:lpwstr>
  </property>
  <property fmtid="{D5CDD505-2E9C-101B-9397-08002B2CF9AE}" pid="8" name="EsmaAudience">
    <vt:lpwstr>158;#Post-Trading Standing Committee|b4466ad1-2610-4bb4-b77e-13cd08e75663</vt:lpwstr>
  </property>
  <property fmtid="{D5CDD505-2E9C-101B-9397-08002B2CF9AE}" pid="9" name="Topic">
    <vt:lpwstr>324;#CSDR Policy - General|db21dc18-4aa6-45e7-9a71-d37b675b6713</vt:lpwstr>
  </property>
  <property fmtid="{D5CDD505-2E9C-101B-9397-08002B2CF9AE}" pid="10" name="ConfidentialityLevel">
    <vt:lpwstr>6;#Regular|07f1e362-856b-423d-bea6-a14079762141</vt:lpwstr>
  </property>
  <property fmtid="{D5CDD505-2E9C-101B-9397-08002B2CF9AE}" pid="11" name="DocumentType">
    <vt:lpwstr>282;#Call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9;#Trading Unit|0cda11c1-7d91-4d51-b3a1-339122a07b73</vt:lpwstr>
  </property>
  <property fmtid="{D5CDD505-2E9C-101B-9397-08002B2CF9AE}" pid="15" name="SubTopic">
    <vt:lpwstr>323;#CSDR General - T + 1|a5a376d4-84eb-4354-ab81-b0766b380093</vt:lpwstr>
  </property>
</Properties>
</file>