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05BF5D8C" w:rsidR="00635BCA" w:rsidRPr="00557BD2" w:rsidRDefault="00B57650" w:rsidP="00D21C35">
                <w:r>
                  <w:t>The Alternative Investment Management Association</w:t>
                </w:r>
                <w:r w:rsidR="0001660D">
                  <w:t xml:space="preserve"> (AIMA)</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1D15CE01" w:rsidR="00635BCA" w:rsidRPr="00557BD2" w:rsidRDefault="00B57650"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1A3D7F44" w:rsidR="00635BCA" w:rsidRPr="00557BD2" w:rsidRDefault="00B57650"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53538DE8" w:rsidR="00635BCA" w:rsidRPr="00557BD2" w:rsidRDefault="00C244F4" w:rsidP="00D21C35">
                <w:r>
                  <w:t>International</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69F6DB40" w14:textId="3C03D550" w:rsidR="00EE4191" w:rsidRPr="00791F57" w:rsidRDefault="00DA1176" w:rsidP="00EE4191">
      <w:pPr>
        <w:spacing w:line="240" w:lineRule="auto"/>
        <w:rPr>
          <w:rFonts w:ascii="Open Sans" w:hAnsi="Open Sans" w:cs="Open Sans"/>
          <w:b/>
          <w:bCs/>
          <w:sz w:val="20"/>
        </w:rPr>
      </w:pPr>
      <w:permStart w:id="1228560568" w:edGrp="everyone"/>
      <w:r w:rsidRPr="00791F57">
        <w:rPr>
          <w:rFonts w:ascii="Open Sans" w:hAnsi="Open Sans" w:cs="Open Sans"/>
          <w:b/>
          <w:bCs/>
          <w:sz w:val="20"/>
        </w:rPr>
        <w:t xml:space="preserve">AIMA </w:t>
      </w:r>
      <w:r w:rsidR="00EE4191" w:rsidRPr="00791F57">
        <w:rPr>
          <w:rFonts w:ascii="Open Sans" w:hAnsi="Open Sans" w:cs="Open Sans"/>
          <w:b/>
          <w:bCs/>
          <w:sz w:val="20"/>
        </w:rPr>
        <w:t>COVER LETTER:</w:t>
      </w:r>
    </w:p>
    <w:p w14:paraId="71A6C136" w14:textId="00B990DB" w:rsidR="00EE4191" w:rsidRPr="00F31BA6" w:rsidRDefault="00EE4191" w:rsidP="00EE4191">
      <w:pPr>
        <w:spacing w:line="240" w:lineRule="auto"/>
        <w:rPr>
          <w:rFonts w:ascii="Open Sans" w:hAnsi="Open Sans" w:cs="Open Sans"/>
          <w:sz w:val="20"/>
          <w:shd w:val="clear" w:color="auto" w:fill="FFFFFF"/>
        </w:rPr>
      </w:pPr>
      <w:r w:rsidRPr="00F31BA6">
        <w:rPr>
          <w:rFonts w:ascii="Open Sans" w:hAnsi="Open Sans" w:cs="Open Sans"/>
          <w:sz w:val="20"/>
        </w:rPr>
        <w:lastRenderedPageBreak/>
        <w:t>The Alternative Investment Management Association (“AIMA”)</w:t>
      </w:r>
      <w:r w:rsidRPr="00F31BA6">
        <w:rPr>
          <w:rStyle w:val="FootnoteReference"/>
          <w:rFonts w:ascii="Open Sans" w:hAnsi="Open Sans" w:cs="Open Sans"/>
          <w:sz w:val="20"/>
        </w:rPr>
        <w:footnoteReference w:id="2"/>
      </w:r>
      <w:r w:rsidRPr="00F31BA6">
        <w:rPr>
          <w:rFonts w:ascii="Open Sans" w:hAnsi="Open Sans" w:cs="Open Sans"/>
          <w:sz w:val="20"/>
        </w:rPr>
        <w:t xml:space="preserve"> appreciates the opportunity to submit comments to the European Securities and Markets Authority (“ESMA”) in response to its call for evidence on shortening the settlement cycle (the “Call for Evidence”)</w:t>
      </w:r>
      <w:r w:rsidRPr="00F31BA6">
        <w:rPr>
          <w:rStyle w:val="FootnoteReference"/>
          <w:rFonts w:ascii="Open Sans" w:hAnsi="Open Sans" w:cs="Open Sans"/>
          <w:sz w:val="20"/>
        </w:rPr>
        <w:footnoteReference w:id="3"/>
      </w:r>
      <w:r w:rsidRPr="00F31BA6">
        <w:rPr>
          <w:rFonts w:ascii="Open Sans" w:hAnsi="Open Sans" w:cs="Open Sans"/>
          <w:sz w:val="20"/>
        </w:rPr>
        <w:t xml:space="preserve">. </w:t>
      </w:r>
    </w:p>
    <w:p w14:paraId="254F2CA7" w14:textId="77777777" w:rsidR="00EE4191" w:rsidRPr="00F31BA6" w:rsidRDefault="00EE4191" w:rsidP="00EE4191">
      <w:pPr>
        <w:rPr>
          <w:rFonts w:ascii="Open Sans" w:hAnsi="Open Sans" w:cs="Open Sans"/>
          <w:sz w:val="20"/>
        </w:rPr>
      </w:pPr>
      <w:r w:rsidRPr="00F31BA6">
        <w:rPr>
          <w:rFonts w:ascii="Open Sans" w:hAnsi="Open Sans" w:cs="Open Sans"/>
          <w:sz w:val="20"/>
        </w:rPr>
        <w:t xml:space="preserve">AIMA welcomes ESMA’s commitment to evaluating a shortening of the securities settlement cycle in the EU. We support efforts to create an efficient, </w:t>
      </w:r>
      <w:proofErr w:type="gramStart"/>
      <w:r w:rsidRPr="00F31BA6">
        <w:rPr>
          <w:rFonts w:ascii="Open Sans" w:hAnsi="Open Sans" w:cs="Open Sans"/>
          <w:sz w:val="20"/>
        </w:rPr>
        <w:t>resilient</w:t>
      </w:r>
      <w:proofErr w:type="gramEnd"/>
      <w:r w:rsidRPr="00F31BA6">
        <w:rPr>
          <w:rFonts w:ascii="Open Sans" w:hAnsi="Open Sans" w:cs="Open Sans"/>
          <w:sz w:val="20"/>
        </w:rPr>
        <w:t xml:space="preserve"> and integrated post-trade environment and increase the competitiveness of EU financial markets. We believe that reducing the settlement cycle from T+2 to the first business day after trading takes place (“T+1”) can help to deliver this. It can reduce counterparty credit risk, market risk and liquidity risks associated with settlement failure while accelerating automation of the transaction lifecycle and standardisation in post-trade processes. </w:t>
      </w:r>
    </w:p>
    <w:p w14:paraId="6970DC34" w14:textId="77777777" w:rsidR="00EE4191" w:rsidRPr="00F31BA6" w:rsidRDefault="00EE4191" w:rsidP="00EE4191">
      <w:pPr>
        <w:rPr>
          <w:rFonts w:ascii="Open Sans" w:hAnsi="Open Sans" w:cs="Open Sans"/>
          <w:sz w:val="20"/>
        </w:rPr>
      </w:pPr>
      <w:r w:rsidRPr="00F31BA6">
        <w:rPr>
          <w:rFonts w:ascii="Open Sans" w:hAnsi="Open Sans" w:cs="Open Sans"/>
          <w:sz w:val="20"/>
        </w:rPr>
        <w:t>AIMA believes that any move to shorten the settlement cycle must be carried out in a way that neither damages the existing functioning of EU capital markets nor creates barriers to investing. For example, AIMA welcomes, in principle, the upcoming move to T+1 settlement in the US but has concerns about the timing of the transition. The US Securities and Exchange Commission announced on 15 February 2023 that the transition would take place on 28 May 2024, giving market participants only 15 months to make and test the necessary operational changes and technological upgrades required to settle trades in one day. In addition to subjecting firms to significant process and systems changes, the timing of the US transition introduces a misalignment of settlement cycles between the US and other jurisdictions. We believe that successful migration to T+1 in the EU</w:t>
      </w:r>
      <w:proofErr w:type="gramStart"/>
      <w:r w:rsidRPr="00F31BA6">
        <w:rPr>
          <w:rFonts w:ascii="Open Sans" w:hAnsi="Open Sans" w:cs="Open Sans"/>
          <w:sz w:val="20"/>
        </w:rPr>
        <w:t>, in particular, will</w:t>
      </w:r>
      <w:proofErr w:type="gramEnd"/>
      <w:r w:rsidRPr="00F31BA6">
        <w:rPr>
          <w:rFonts w:ascii="Open Sans" w:hAnsi="Open Sans" w:cs="Open Sans"/>
          <w:sz w:val="20"/>
        </w:rPr>
        <w:t xml:space="preserve"> require an appropriate timeframe given the complexities of the EU’s post-trade financial markets infrastructure and legal framework.</w:t>
      </w:r>
    </w:p>
    <w:p w14:paraId="29BCB96B" w14:textId="77777777" w:rsidR="00EE4191" w:rsidRPr="00F31BA6" w:rsidRDefault="00EE4191" w:rsidP="00EE4191">
      <w:pPr>
        <w:rPr>
          <w:rFonts w:ascii="Open Sans" w:hAnsi="Open Sans" w:cs="Open Sans"/>
          <w:sz w:val="20"/>
        </w:rPr>
      </w:pPr>
      <w:r w:rsidRPr="00F31BA6">
        <w:rPr>
          <w:rFonts w:ascii="Open Sans" w:hAnsi="Open Sans" w:cs="Open Sans"/>
          <w:sz w:val="20"/>
        </w:rPr>
        <w:t xml:space="preserve">A direct move to T+0 (whether that is real-time “atomic” settlement, periodic intra-day settlement batches or end-of-day) would, in our view, exacerbate any (cross-border) challenges identified with moving to T+1 and require a fundamental transformation of the current trade lifecycle. As such, </w:t>
      </w:r>
      <w:r w:rsidRPr="00F31BA6">
        <w:rPr>
          <w:rFonts w:ascii="Open Sans" w:hAnsi="Open Sans" w:cs="Open Sans"/>
          <w:sz w:val="20"/>
        </w:rPr>
        <w:lastRenderedPageBreak/>
        <w:t>any consideration of shortening the settlement cycle to T+0 in the EU should not detract from the immediate challenge of transitioning to T+1.</w:t>
      </w:r>
    </w:p>
    <w:p w14:paraId="48220162" w14:textId="77777777" w:rsidR="00EE4191" w:rsidRPr="00F31BA6" w:rsidRDefault="00EE4191" w:rsidP="00EE4191">
      <w:pPr>
        <w:spacing w:after="200" w:line="240" w:lineRule="auto"/>
        <w:rPr>
          <w:rFonts w:ascii="Open Sans" w:hAnsi="Open Sans" w:cs="Open Sans"/>
          <w:sz w:val="20"/>
        </w:rPr>
      </w:pPr>
      <w:r w:rsidRPr="00F31BA6">
        <w:rPr>
          <w:rFonts w:ascii="Open Sans" w:hAnsi="Open Sans" w:cs="Open Sans"/>
          <w:sz w:val="20"/>
        </w:rPr>
        <w:t xml:space="preserve">We have provided comments on the questions included in the Call for Evidence in an annex to this letter. </w:t>
      </w:r>
    </w:p>
    <w:p w14:paraId="5B9BD954" w14:textId="77777777" w:rsidR="00EE4191" w:rsidRPr="00F31BA6" w:rsidRDefault="00EE4191" w:rsidP="00EE4191">
      <w:pPr>
        <w:spacing w:after="200" w:line="240" w:lineRule="auto"/>
        <w:rPr>
          <w:rFonts w:ascii="Open Sans" w:hAnsi="Open Sans" w:cs="Open Sans"/>
          <w:sz w:val="20"/>
        </w:rPr>
      </w:pPr>
      <w:r w:rsidRPr="00F31BA6">
        <w:rPr>
          <w:rFonts w:ascii="Open Sans" w:hAnsi="Open Sans" w:cs="Open Sans"/>
          <w:sz w:val="20"/>
        </w:rPr>
        <w:t>In summary, AIMA believes that:</w:t>
      </w:r>
    </w:p>
    <w:p w14:paraId="04ED455C" w14:textId="77777777" w:rsidR="00EE4191" w:rsidRPr="00F31BA6" w:rsidRDefault="00EE4191" w:rsidP="00EE4191">
      <w:pPr>
        <w:pStyle w:val="ListParagraph"/>
        <w:numPr>
          <w:ilvl w:val="0"/>
          <w:numId w:val="16"/>
        </w:numPr>
        <w:spacing w:before="240" w:after="200" w:line="240" w:lineRule="auto"/>
        <w:rPr>
          <w:rFonts w:ascii="Open Sans" w:hAnsi="Open Sans" w:cs="Open Sans"/>
          <w:sz w:val="20"/>
          <w:szCs w:val="20"/>
        </w:rPr>
      </w:pPr>
      <w:r w:rsidRPr="00F31BA6">
        <w:rPr>
          <w:rFonts w:ascii="Open Sans" w:hAnsi="Open Sans" w:cs="Open Sans"/>
          <w:sz w:val="20"/>
          <w:szCs w:val="20"/>
        </w:rPr>
        <w:t>the EU should move to T+1 and in an appropriate timeframe where market participants are ready to move;</w:t>
      </w:r>
    </w:p>
    <w:p w14:paraId="1D8A85BC" w14:textId="77777777" w:rsidR="00EE4191" w:rsidRPr="00F31BA6" w:rsidRDefault="00EE4191" w:rsidP="00EE4191">
      <w:pPr>
        <w:pStyle w:val="ListParagraph"/>
        <w:numPr>
          <w:ilvl w:val="0"/>
          <w:numId w:val="16"/>
        </w:numPr>
        <w:spacing w:after="200" w:line="240" w:lineRule="auto"/>
        <w:rPr>
          <w:rFonts w:ascii="Open Sans" w:hAnsi="Open Sans" w:cs="Open Sans"/>
          <w:sz w:val="20"/>
          <w:szCs w:val="20"/>
        </w:rPr>
      </w:pPr>
      <w:r w:rsidRPr="00F31BA6">
        <w:rPr>
          <w:rFonts w:ascii="Open Sans" w:hAnsi="Open Sans" w:cs="Open Sans"/>
          <w:sz w:val="20"/>
          <w:szCs w:val="20"/>
        </w:rPr>
        <w:t>transition to T+1 in other jurisdictions, while the EU remains on a T+2 cycle, will create various challenges for firms w</w:t>
      </w:r>
      <w:r w:rsidRPr="00F31BA6">
        <w:rPr>
          <w:rFonts w:ascii="Open Sans" w:hAnsi="Open Sans" w:cs="Open Sans"/>
          <w:sz w:val="20"/>
          <w:szCs w:val="20"/>
          <w:lang w:val="en-US"/>
        </w:rPr>
        <w:t>ith primary or significant exposures to markets that move to T+1;</w:t>
      </w:r>
    </w:p>
    <w:p w14:paraId="66393052" w14:textId="77777777" w:rsidR="00EE4191" w:rsidRPr="00F31BA6" w:rsidRDefault="00EE4191" w:rsidP="00EE4191">
      <w:pPr>
        <w:pStyle w:val="ListParagraph"/>
        <w:numPr>
          <w:ilvl w:val="0"/>
          <w:numId w:val="16"/>
        </w:numPr>
        <w:spacing w:before="240" w:after="200" w:line="240" w:lineRule="auto"/>
        <w:rPr>
          <w:rFonts w:ascii="Open Sans" w:hAnsi="Open Sans" w:cs="Open Sans"/>
          <w:sz w:val="20"/>
          <w:szCs w:val="20"/>
        </w:rPr>
      </w:pPr>
      <w:r w:rsidRPr="00F31BA6">
        <w:rPr>
          <w:rFonts w:ascii="Open Sans" w:hAnsi="Open Sans" w:cs="Open Sans"/>
          <w:sz w:val="20"/>
          <w:szCs w:val="20"/>
        </w:rPr>
        <w:t>shortening the settlement cycle to T+1 and, in particular, T+0 will require firms to undertake a wholesale review of their operational processes and compel them to modernise their settlement processes;</w:t>
      </w:r>
    </w:p>
    <w:p w14:paraId="3AFFAE61" w14:textId="77777777" w:rsidR="00EE4191" w:rsidRPr="00F31BA6" w:rsidRDefault="00EE4191" w:rsidP="00EE4191">
      <w:pPr>
        <w:pStyle w:val="ListParagraph"/>
        <w:numPr>
          <w:ilvl w:val="0"/>
          <w:numId w:val="16"/>
        </w:numPr>
        <w:spacing w:before="240" w:after="200" w:line="240" w:lineRule="auto"/>
        <w:rPr>
          <w:rFonts w:ascii="Open Sans" w:hAnsi="Open Sans" w:cs="Open Sans"/>
          <w:sz w:val="20"/>
          <w:szCs w:val="20"/>
        </w:rPr>
      </w:pPr>
      <w:r w:rsidRPr="00F31BA6">
        <w:rPr>
          <w:rFonts w:ascii="Open Sans" w:hAnsi="Open Sans" w:cs="Open Sans"/>
          <w:sz w:val="20"/>
          <w:szCs w:val="20"/>
        </w:rPr>
        <w:t>the impact of any transition on firms will not be equal - smaller firms, in general, would have to undertake greater levels of preparation and face larger costs; and</w:t>
      </w:r>
    </w:p>
    <w:p w14:paraId="7DD18AFD" w14:textId="77777777" w:rsidR="00EE4191" w:rsidRPr="00F31BA6" w:rsidRDefault="00EE4191" w:rsidP="00EE4191">
      <w:pPr>
        <w:pStyle w:val="ListParagraph"/>
        <w:numPr>
          <w:ilvl w:val="0"/>
          <w:numId w:val="16"/>
        </w:numPr>
        <w:spacing w:before="240" w:after="0" w:line="240" w:lineRule="auto"/>
        <w:rPr>
          <w:rFonts w:ascii="Open Sans" w:hAnsi="Open Sans" w:cs="Open Sans"/>
          <w:sz w:val="20"/>
          <w:szCs w:val="20"/>
        </w:rPr>
      </w:pPr>
      <w:r w:rsidRPr="00F31BA6">
        <w:rPr>
          <w:rFonts w:ascii="Open Sans" w:hAnsi="Open Sans" w:cs="Open Sans"/>
          <w:sz w:val="20"/>
          <w:szCs w:val="20"/>
        </w:rPr>
        <w:t>shortening the settlement cycle will increase foreign exchange (FX) settlement risk.</w:t>
      </w:r>
    </w:p>
    <w:p w14:paraId="1CCCF983" w14:textId="39684EE0" w:rsidR="00C5469A" w:rsidRDefault="00C5469A" w:rsidP="00C5469A">
      <w:pPr>
        <w:rPr>
          <w:rFonts w:ascii="Open Sans" w:hAnsi="Open Sans" w:cs="Open Sans"/>
          <w:sz w:val="20"/>
        </w:rPr>
      </w:pPr>
    </w:p>
    <w:p w14:paraId="03DD53DD" w14:textId="2223A48F" w:rsidR="00DA1176" w:rsidRPr="00791F57" w:rsidRDefault="00DA1176" w:rsidP="00DA1176">
      <w:pPr>
        <w:rPr>
          <w:rFonts w:ascii="Open Sans" w:hAnsi="Open Sans" w:cs="Open Sans"/>
          <w:b/>
          <w:bCs/>
          <w:sz w:val="20"/>
        </w:rPr>
      </w:pPr>
      <w:r w:rsidRPr="00791F57">
        <w:rPr>
          <w:rFonts w:ascii="Open Sans" w:hAnsi="Open Sans" w:cs="Open Sans"/>
          <w:b/>
          <w:bCs/>
          <w:sz w:val="20"/>
        </w:rPr>
        <w:t xml:space="preserve">AIMA </w:t>
      </w:r>
      <w:r w:rsidR="00EE4191" w:rsidRPr="00791F57">
        <w:rPr>
          <w:rFonts w:ascii="Open Sans" w:hAnsi="Open Sans" w:cs="Open Sans"/>
          <w:b/>
          <w:bCs/>
          <w:sz w:val="20"/>
        </w:rPr>
        <w:t>RESPONSE TO QUESTION 1:</w:t>
      </w:r>
    </w:p>
    <w:p w14:paraId="236E906B" w14:textId="77777777" w:rsidR="00DA1176" w:rsidRDefault="00DA1176" w:rsidP="00DA1176">
      <w:pPr>
        <w:rPr>
          <w:rFonts w:ascii="Open Sans" w:hAnsi="Open Sans" w:cs="Open Sans"/>
          <w:sz w:val="20"/>
        </w:rPr>
      </w:pPr>
      <w:r w:rsidRPr="00DA1176">
        <w:rPr>
          <w:rFonts w:ascii="Open Sans" w:hAnsi="Open Sans" w:cs="Open Sans"/>
          <w:sz w:val="20"/>
          <w:u w:val="single"/>
        </w:rPr>
        <w:t>AIMA believes that compressing the intended settlement date to T+1 and T+0 will require firms to undertake a wholesale review of their operational processes and compel them to modernise their settlement processes</w:t>
      </w:r>
      <w:r w:rsidRPr="00DA1176">
        <w:rPr>
          <w:rFonts w:ascii="Open Sans" w:hAnsi="Open Sans" w:cs="Open Sans"/>
          <w:sz w:val="20"/>
        </w:rPr>
        <w:t xml:space="preserve">. In time, we anticipate that the transition would lead to reduced operational overheads. </w:t>
      </w:r>
    </w:p>
    <w:p w14:paraId="56F3274E" w14:textId="77777777" w:rsidR="00DA1176" w:rsidRDefault="00DA1176" w:rsidP="00DA1176">
      <w:pPr>
        <w:rPr>
          <w:rFonts w:ascii="Open Sans" w:hAnsi="Open Sans" w:cs="Open Sans"/>
          <w:sz w:val="20"/>
        </w:rPr>
      </w:pPr>
      <w:r w:rsidRPr="00DA1176">
        <w:rPr>
          <w:rFonts w:ascii="Open Sans" w:hAnsi="Open Sans" w:cs="Open Sans"/>
          <w:sz w:val="20"/>
        </w:rPr>
        <w:t xml:space="preserve">Shortening the settlement cycle would reduce the time available for market participants to carry out necessary post-trade processes for efficient settlement, such as sending written allocations and confirmations and matching the currency of payments on the currency market. Firms will face tighter deadlines for trade allocation and affirmation - they will need to ensure efficient and timely allocation of trades, confirmation with counterparties and submission of trade details to relevant systems and platforms. </w:t>
      </w:r>
      <w:r w:rsidRPr="00DA1176">
        <w:rPr>
          <w:rFonts w:ascii="Open Sans" w:eastAsia="Times New Roman" w:hAnsi="Open Sans" w:cs="Open Sans"/>
          <w:sz w:val="20"/>
        </w:rPr>
        <w:t xml:space="preserve">To ensure settlements are completed T+1, firms would require either extra operational staff or expensive settlement systems, leading to more delayed settlements or extra costs to firms. </w:t>
      </w:r>
      <w:r w:rsidRPr="00DA1176">
        <w:rPr>
          <w:rFonts w:ascii="Open Sans" w:hAnsi="Open Sans" w:cs="Open Sans"/>
          <w:sz w:val="20"/>
        </w:rPr>
        <w:t xml:space="preserve">Since settlement issues tend to arise after hours, maintaining existing working hours in a T+1 environment may result in operations teams not identifying potential settlement breaks until the following morning, leaving only one working day and no overnight time to take remedial </w:t>
      </w:r>
      <w:r w:rsidRPr="00DA1176">
        <w:rPr>
          <w:rFonts w:ascii="Open Sans" w:hAnsi="Open Sans" w:cs="Open Sans"/>
          <w:sz w:val="20"/>
        </w:rPr>
        <w:lastRenderedPageBreak/>
        <w:t xml:space="preserve">action. Therefore, as well as allocating extra staff to certain processes, firms may need to upgrade their technology and improve levels of automation across their settlement workflow. </w:t>
      </w:r>
    </w:p>
    <w:p w14:paraId="1EA0CFA3" w14:textId="77777777" w:rsidR="00DA1176" w:rsidRDefault="00DA1176" w:rsidP="00DA1176">
      <w:pPr>
        <w:rPr>
          <w:rFonts w:ascii="Open Sans" w:hAnsi="Open Sans" w:cs="Open Sans"/>
          <w:sz w:val="20"/>
        </w:rPr>
      </w:pPr>
      <w:r w:rsidRPr="00DA1176">
        <w:rPr>
          <w:rFonts w:ascii="Open Sans" w:hAnsi="Open Sans" w:cs="Open Sans"/>
          <w:sz w:val="20"/>
        </w:rPr>
        <w:t>Smaller firms, in general, would have to undertake greater levels of preparation and face larger costs as they find resources to upgrade their technology and settlement processes. For example</w:t>
      </w:r>
      <w:r w:rsidRPr="00DA1176">
        <w:rPr>
          <w:rFonts w:ascii="Open Sans" w:eastAsia="Times New Roman" w:hAnsi="Open Sans" w:cs="Open Sans"/>
          <w:sz w:val="20"/>
        </w:rPr>
        <w:t>, operational blotter errors tend to be corrected manually by smaller firms and most blotter errors are corrected T+1 - sometimes T+2. Moving from T+2 to T+1 settlement makes it more challenging and cost prohibitive for smaller firms. In the context of le</w:t>
      </w:r>
      <w:r w:rsidRPr="00DA1176">
        <w:rPr>
          <w:rFonts w:ascii="Open Sans" w:hAnsi="Open Sans" w:cs="Open Sans"/>
          <w:sz w:val="20"/>
        </w:rPr>
        <w:t xml:space="preserve">ss liquid securities and size of trade, as a fund’s trade size becomes larger, partial settlements (sometimes over multiple days beyond T+2) tend to become more common. The additional costs imposed due to a shorter settlement cycle could ultimately be passed on to end investors in the form of more expensive execution costs. </w:t>
      </w:r>
    </w:p>
    <w:p w14:paraId="0B547AA5" w14:textId="1A4A52A5" w:rsidR="00EE4191" w:rsidRPr="00DA1176" w:rsidRDefault="00DA1176" w:rsidP="00DA1176">
      <w:pPr>
        <w:rPr>
          <w:rFonts w:ascii="Open Sans" w:hAnsi="Open Sans" w:cs="Open Sans"/>
          <w:sz w:val="20"/>
        </w:rPr>
      </w:pPr>
      <w:r w:rsidRPr="00DA1176">
        <w:rPr>
          <w:rFonts w:ascii="Open Sans" w:hAnsi="Open Sans" w:cs="Open Sans"/>
          <w:sz w:val="20"/>
        </w:rPr>
        <w:t xml:space="preserve">We believe that the challenges associated with moving to a T+1 settlement cycle are exacerbated in the context of moving to a T+0 settlement cycle, which would reduce the time available for post-trade processes even further. Moving from T+2 to T+0 would require a fundamental transformation of pre-trade and post-trade processes and have a more material impact on trading and liquidity. Atomic settlement, for example, would require that various core post-trade processes (such as provision of allocations and exchange of settlement information, positioning of sufficient cash by a buyer, positioning of sufficient securities by a seller) take place before trading. This represents a fundamental transformation of the current trade lifecycle and may introduce friction to the trading process. End-of-day settlement, for example, would </w:t>
      </w:r>
      <w:r w:rsidRPr="00DA1176">
        <w:rPr>
          <w:rFonts w:ascii="Open Sans" w:hAnsi="Open Sans" w:cs="Open Sans"/>
          <w:sz w:val="20"/>
          <w:lang w:val="en-US"/>
        </w:rPr>
        <w:t xml:space="preserve">lead to issues for trades undertaken at or near EU market close – particularly for members in time zones ahead (as the new cut off times would occur later). </w:t>
      </w:r>
      <w:r w:rsidRPr="00DA1176">
        <w:rPr>
          <w:rFonts w:ascii="Open Sans" w:hAnsi="Open Sans" w:cs="Open Sans"/>
          <w:sz w:val="20"/>
        </w:rPr>
        <w:t xml:space="preserve">End of day trading can be sizeable around such events as a portfolio rebalance and could be subject to same-day allocation, </w:t>
      </w:r>
      <w:proofErr w:type="gramStart"/>
      <w:r w:rsidRPr="00DA1176">
        <w:rPr>
          <w:rFonts w:ascii="Open Sans" w:hAnsi="Open Sans" w:cs="Open Sans"/>
          <w:sz w:val="20"/>
        </w:rPr>
        <w:t>confirmation</w:t>
      </w:r>
      <w:proofErr w:type="gramEnd"/>
      <w:r w:rsidRPr="00DA1176">
        <w:rPr>
          <w:rFonts w:ascii="Open Sans" w:hAnsi="Open Sans" w:cs="Open Sans"/>
          <w:sz w:val="20"/>
        </w:rPr>
        <w:t xml:space="preserve"> and affirmation requirements, despite a very short processing window. Such same-day requirements may make end-of-day trading operationally impossible.</w:t>
      </w:r>
      <w:r w:rsidR="00EE4191" w:rsidRPr="00DA1176">
        <w:rPr>
          <w:rFonts w:ascii="Open Sans" w:hAnsi="Open Sans" w:cs="Open Sans"/>
          <w:sz w:val="20"/>
        </w:rPr>
        <w:t xml:space="preserve"> </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6C079468" w14:textId="77777777" w:rsidR="0078303A" w:rsidRDefault="0078303A" w:rsidP="0078303A">
      <w:pPr>
        <w:rPr>
          <w:rFonts w:ascii="Open Sans" w:hAnsi="Open Sans" w:cs="Open Sans"/>
          <w:sz w:val="20"/>
          <w:u w:val="single"/>
        </w:rPr>
      </w:pPr>
      <w:permStart w:id="45707097" w:edGrp="everyone"/>
      <w:r w:rsidRPr="0078303A">
        <w:rPr>
          <w:rFonts w:ascii="Open Sans" w:hAnsi="Open Sans" w:cs="Open Sans"/>
          <w:sz w:val="20"/>
          <w:u w:val="single"/>
        </w:rPr>
        <w:lastRenderedPageBreak/>
        <w:t xml:space="preserve">For transactions with an FX component, AIMA believes that a move to a shorter settlement cycle would increase FX settlement risk if a trade were not matched and </w:t>
      </w:r>
      <w:proofErr w:type="gramStart"/>
      <w:r w:rsidRPr="0078303A">
        <w:rPr>
          <w:rFonts w:ascii="Open Sans" w:hAnsi="Open Sans" w:cs="Open Sans"/>
          <w:sz w:val="20"/>
          <w:u w:val="single"/>
        </w:rPr>
        <w:t>entered into</w:t>
      </w:r>
      <w:proofErr w:type="gramEnd"/>
      <w:r w:rsidRPr="0078303A">
        <w:rPr>
          <w:rFonts w:ascii="Open Sans" w:hAnsi="Open Sans" w:cs="Open Sans"/>
          <w:sz w:val="20"/>
          <w:u w:val="single"/>
        </w:rPr>
        <w:t xml:space="preserve"> the Continuous Linked Settlement (CLS) system in time to be included in a firm’s daily settlement process. </w:t>
      </w:r>
    </w:p>
    <w:p w14:paraId="1FEE475F" w14:textId="77777777" w:rsidR="0078303A" w:rsidRDefault="0078303A" w:rsidP="0078303A">
      <w:pPr>
        <w:rPr>
          <w:rFonts w:ascii="Open Sans" w:hAnsi="Open Sans" w:cs="Open Sans"/>
          <w:sz w:val="20"/>
          <w:u w:val="single"/>
        </w:rPr>
      </w:pPr>
      <w:r w:rsidRPr="0078303A">
        <w:rPr>
          <w:rFonts w:ascii="Open Sans" w:eastAsia="Times New Roman" w:hAnsi="Open Sans" w:cs="Open Sans"/>
          <w:sz w:val="20"/>
        </w:rPr>
        <w:t xml:space="preserve">FX and coordination issues threaten asset managers’ ability to ensure funding is available in time to settle their trades at T+1. Uncertainty about collateral for settlement may mean foreign asset managers could need to redeem money market funds to meet their financing needs – or forego transacting in certain markets to comply with accelerated settlement requirements. Similarly, fund managers may be forced to reduce or curtail their foreign market participation due to the inability to align foreign trade settlement with their market funding needs. Ultimately, trade financing issues will lead to both significantly lower trading volume and lower overall liquidity, posing a risk to overall market health and stability. </w:t>
      </w:r>
    </w:p>
    <w:p w14:paraId="3F8498AB" w14:textId="77777777" w:rsidR="0078303A" w:rsidRDefault="0078303A" w:rsidP="0078303A">
      <w:pPr>
        <w:rPr>
          <w:rFonts w:ascii="Open Sans" w:hAnsi="Open Sans" w:cs="Open Sans"/>
          <w:sz w:val="20"/>
          <w:u w:val="single"/>
        </w:rPr>
      </w:pPr>
      <w:r w:rsidRPr="0078303A">
        <w:rPr>
          <w:rFonts w:ascii="Open Sans" w:hAnsi="Open Sans" w:cs="Open Sans"/>
          <w:sz w:val="20"/>
        </w:rPr>
        <w:t xml:space="preserve">Market participants would need to consider practices to ensure that funds are available to facilitate settlement of FX trades. Also, greater coordination of the timing and settlement for the security and FX trade is needed to ensure there is adequate time available for the settlement and payment of the FX trade for the T+1 security transaction. In addition, </w:t>
      </w:r>
      <w:r w:rsidRPr="0078303A">
        <w:rPr>
          <w:rFonts w:ascii="Open Sans" w:eastAsia="Times New Roman" w:hAnsi="Open Sans" w:cs="Open Sans"/>
          <w:sz w:val="20"/>
        </w:rPr>
        <w:t>unilateral cancellation deadlines by currency need to be considered. Settlement of spot FX transactions generally occurs at two days post execution, although the period of irrevocability - between the unilateral cancellation deadline for the sold currency and actual receipt of the bought currency - can extend well beyond T+1). Service agreements between corresponding banks will need to agree and identify the cancellation cut-off time to manage risks effectively, within a window that affords T+1 settlement.</w:t>
      </w:r>
    </w:p>
    <w:p w14:paraId="528E6910" w14:textId="5C1C2A03" w:rsidR="00C5469A" w:rsidRPr="0078303A" w:rsidRDefault="0078303A" w:rsidP="0078303A">
      <w:pPr>
        <w:rPr>
          <w:rFonts w:ascii="Open Sans" w:hAnsi="Open Sans" w:cs="Open Sans"/>
          <w:sz w:val="20"/>
          <w:u w:val="single"/>
        </w:rPr>
      </w:pPr>
      <w:r w:rsidRPr="0078303A">
        <w:rPr>
          <w:rFonts w:ascii="Open Sans" w:hAnsi="Open Sans" w:cs="Open Sans"/>
          <w:sz w:val="20"/>
        </w:rPr>
        <w:t>In the context of T+0, t</w:t>
      </w:r>
      <w:r w:rsidRPr="0078303A">
        <w:rPr>
          <w:rFonts w:ascii="Open Sans" w:eastAsia="Times New Roman" w:hAnsi="Open Sans" w:cs="Open Sans"/>
          <w:sz w:val="20"/>
        </w:rPr>
        <w:t xml:space="preserve">here would be a struggle to execute FX if trades were booked out late on T. There would be a need for shift work on the FX desks. On T+0, firms would not be able to use CLS to complete the exchange of cash as the cut-off would be too fierce. With CLS not an option, best execution would be called into question as FX flow would need to be placed with custodians only to ensure settlement of cash. If a third party was selected, firms would have the associated </w:t>
      </w:r>
      <w:proofErr w:type="spellStart"/>
      <w:r w:rsidRPr="0078303A">
        <w:rPr>
          <w:rFonts w:ascii="Open Sans" w:eastAsia="Times New Roman" w:hAnsi="Open Sans" w:cs="Open Sans"/>
          <w:sz w:val="20"/>
        </w:rPr>
        <w:t>Herstatt</w:t>
      </w:r>
      <w:proofErr w:type="spellEnd"/>
      <w:r w:rsidRPr="0078303A">
        <w:rPr>
          <w:rFonts w:ascii="Open Sans" w:eastAsia="Times New Roman" w:hAnsi="Open Sans" w:cs="Open Sans"/>
          <w:sz w:val="20"/>
        </w:rPr>
        <w:t xml:space="preserve"> Risk instead. In addition, US and Canada holidays would make funding for T+0 and some on T+1 impossible which would mean greater overdrafts unless cash balances are held in a variety of currencies. Unless the definition of a spot trade also changes in line with decreasing market timeframes, more forward points would need to be paid on trades</w:t>
      </w:r>
      <w:r w:rsidRPr="0078303A">
        <w:rPr>
          <w:rFonts w:ascii="Open Sans" w:eastAsia="Times New Roman" w:hAnsi="Open Sans" w:cs="Open Sans"/>
          <w:sz w:val="20"/>
        </w:rPr>
        <w:t>.</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xml:space="preserve">: Which is your current rate of straight-through processing (STP ), in percentage of the number and of the volume of transactions broken down per type of </w:t>
      </w:r>
      <w:r>
        <w:lastRenderedPageBreak/>
        <w:t>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2119D8B5" w14:textId="77777777" w:rsidR="00C5469A" w:rsidRDefault="00C5469A" w:rsidP="00C5469A">
      <w:permStart w:id="1188046948" w:edGrp="everyone"/>
      <w:r>
        <w:t>TYPE YOUR TEXT HERE</w:t>
      </w:r>
    </w:p>
    <w:permEnd w:id="1188046948"/>
    <w:p w14:paraId="779B5185" w14:textId="77777777" w:rsidR="00C5469A" w:rsidRDefault="00C5469A" w:rsidP="00C5469A">
      <w:r>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5794F5A4" w14:textId="77777777" w:rsidR="00C5469A" w:rsidRDefault="00C5469A" w:rsidP="00C5469A">
      <w:permStart w:id="19423711" w:edGrp="everyone"/>
      <w:r>
        <w:t>TYPE YOUR TEXT HERE</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791CDBF2" w14:textId="77777777" w:rsidR="00791F57" w:rsidRDefault="00791F57" w:rsidP="00791F57">
      <w:pPr>
        <w:rPr>
          <w:rFonts w:ascii="Open Sans" w:hAnsi="Open Sans" w:cs="Open Sans"/>
          <w:sz w:val="20"/>
          <w:lang w:val="en-US"/>
        </w:rPr>
      </w:pPr>
      <w:permStart w:id="1238857977" w:edGrp="everyone"/>
      <w:r w:rsidRPr="00791F57">
        <w:rPr>
          <w:rFonts w:ascii="Open Sans" w:hAnsi="Open Sans" w:cs="Open Sans"/>
          <w:sz w:val="20"/>
          <w:u w:val="single"/>
          <w:lang w:val="en-US"/>
        </w:rPr>
        <w:t>AIMA’s member firms would require varying levels of systems and process changes to undertake the transition to T+1</w:t>
      </w:r>
      <w:r w:rsidRPr="00791F57">
        <w:rPr>
          <w:rFonts w:ascii="Open Sans" w:hAnsi="Open Sans" w:cs="Open Sans"/>
          <w:sz w:val="20"/>
          <w:lang w:val="en-US"/>
        </w:rPr>
        <w:t xml:space="preserve">, from adjustments to </w:t>
      </w:r>
      <w:r w:rsidRPr="00791F57">
        <w:rPr>
          <w:rFonts w:ascii="Open Sans" w:hAnsi="Open Sans" w:cs="Open Sans"/>
          <w:sz w:val="20"/>
        </w:rPr>
        <w:t xml:space="preserve">systems that control trading, portfolio management and operations to the policies and procedures governing those areas, </w:t>
      </w:r>
      <w:r w:rsidRPr="00791F57">
        <w:rPr>
          <w:rFonts w:ascii="Open Sans" w:hAnsi="Open Sans" w:cs="Open Sans"/>
          <w:sz w:val="20"/>
          <w:lang w:val="en-US"/>
        </w:rPr>
        <w:t xml:space="preserve">such as redrafting and renegotiating agreements with investors, counterparties and vendors that are affected by </w:t>
      </w:r>
      <w:r w:rsidRPr="00791F57">
        <w:rPr>
          <w:rFonts w:ascii="Open Sans" w:hAnsi="Open Sans" w:cs="Open Sans"/>
          <w:sz w:val="20"/>
          <w:lang w:val="en-US"/>
        </w:rPr>
        <w:lastRenderedPageBreak/>
        <w:t xml:space="preserve">settlement timing and employing staff after EU hours for markets that continue after EU markets close. </w:t>
      </w:r>
    </w:p>
    <w:p w14:paraId="6EA48A43" w14:textId="33C87787" w:rsidR="00C5469A" w:rsidRPr="00791F57" w:rsidRDefault="00791F57" w:rsidP="00C5469A">
      <w:pPr>
        <w:rPr>
          <w:rFonts w:ascii="Open Sans" w:hAnsi="Open Sans" w:cs="Open Sans"/>
          <w:sz w:val="20"/>
          <w:lang w:val="en-US"/>
        </w:rPr>
      </w:pPr>
      <w:r w:rsidRPr="00791F57">
        <w:rPr>
          <w:rFonts w:ascii="Open Sans" w:hAnsi="Open Sans" w:cs="Open Sans"/>
          <w:sz w:val="20"/>
          <w:lang w:val="en-US"/>
        </w:rPr>
        <w:t xml:space="preserve">Asset managers </w:t>
      </w:r>
      <w:r w:rsidRPr="00791F57">
        <w:rPr>
          <w:rFonts w:ascii="Open Sans" w:hAnsi="Open Sans" w:cs="Open Sans"/>
          <w:sz w:val="20"/>
        </w:rPr>
        <w:t xml:space="preserve">are almost entirely dependent on their counterparties to ensure they can meet the functional requirements of settlement. Therefore, much of the work that asset managers will need to undertake in moving to T+1 cannot happen until related counterparty changes are well underway. </w:t>
      </w:r>
      <w:r w:rsidRPr="00791F57">
        <w:rPr>
          <w:rFonts w:ascii="Open Sans" w:hAnsi="Open Sans" w:cs="Open Sans"/>
          <w:sz w:val="20"/>
          <w:lang w:val="en-US"/>
        </w:rPr>
        <w:t>While these costs would be greater for smaller firms, even the most sophisticated fund managers may need significant changes.</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57FD56D0" w14:textId="77777777" w:rsidR="00C5469A" w:rsidRDefault="00C5469A" w:rsidP="00C5469A">
      <w:permStart w:id="367399486" w:edGrp="everyone"/>
      <w:r>
        <w:t>TYPE YOUR TEXT HERE</w:t>
      </w:r>
    </w:p>
    <w:permEnd w:id="367399486"/>
    <w:p w14:paraId="2CF84BCC" w14:textId="77777777"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68E0001D" w14:textId="77777777" w:rsidR="00C5469A" w:rsidRDefault="00C5469A" w:rsidP="00C5469A">
      <w:permStart w:id="1217420632" w:edGrp="everyone"/>
      <w:r>
        <w:t>TYPE YOUR TEXT HERE</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lastRenderedPageBreak/>
        <w:t>&lt;ESMA_QUESTION_SETT_8&gt;</w:t>
      </w:r>
    </w:p>
    <w:p w14:paraId="0060865F" w14:textId="77777777" w:rsidR="00C5469A" w:rsidRDefault="00C5469A" w:rsidP="00C5469A">
      <w:permStart w:id="736563321" w:edGrp="everyone"/>
      <w:r>
        <w:t>TYPE YOUR TEXT HERE</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7DBBC5AB" w14:textId="77777777" w:rsidR="00C5469A" w:rsidRDefault="00C5469A" w:rsidP="00C5469A">
      <w:permStart w:id="1982556193" w:edGrp="everyone"/>
      <w:r>
        <w:t>TYPE YOUR TEXT HERE</w:t>
      </w:r>
    </w:p>
    <w:permEnd w:id="1982556193"/>
    <w:p w14:paraId="279B3093" w14:textId="77777777"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43C3DEF9" w14:textId="77777777" w:rsidR="00C5469A" w:rsidRDefault="00C5469A" w:rsidP="00C5469A">
      <w:permStart w:id="639642393" w:edGrp="everyone"/>
      <w:r>
        <w:t>TYPE YOUR TEXT HERE</w:t>
      </w:r>
    </w:p>
    <w:permEnd w:id="639642393"/>
    <w:p w14:paraId="4C4DCD26" w14:textId="77777777"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73C69B65" w14:textId="77777777" w:rsidR="00C5469A" w:rsidRDefault="00C5469A" w:rsidP="00C5469A">
      <w:permStart w:id="78006216" w:edGrp="everyone"/>
      <w:r>
        <w:lastRenderedPageBreak/>
        <w:t>TYPE YOUR TEXT HERE</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163C409" w14:textId="77777777" w:rsidR="00C5469A" w:rsidRDefault="00C5469A" w:rsidP="00C5469A">
      <w:permStart w:id="27267923" w:edGrp="everyone"/>
      <w:r>
        <w:t>TYPE YOUR TEXT HERE</w:t>
      </w:r>
    </w:p>
    <w:permEnd w:id="27267923"/>
    <w:p w14:paraId="1B6472CD" w14:textId="77777777"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019E0E12" w14:textId="77777777" w:rsidR="00C5469A" w:rsidRDefault="00C5469A" w:rsidP="00C5469A">
      <w:permStart w:id="75696228" w:edGrp="everyone"/>
      <w:r>
        <w:t>TYPE YOUR TEXT HERE</w:t>
      </w:r>
    </w:p>
    <w:permEnd w:id="75696228"/>
    <w:p w14:paraId="278E6A7C" w14:textId="77777777" w:rsidR="00C5469A" w:rsidRDefault="00C5469A" w:rsidP="00C5469A">
      <w:r>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3240CBCD" w14:textId="77777777" w:rsidR="00C5469A" w:rsidRDefault="00C5469A" w:rsidP="00C5469A">
      <w:permStart w:id="1702320082" w:edGrp="everyone"/>
      <w:r>
        <w:t>TYPE YOUR TEXT HERE</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2A4969A1" w14:textId="77777777" w:rsidR="00C5469A" w:rsidRDefault="00C5469A" w:rsidP="00C5469A">
      <w:permStart w:id="1673478500" w:edGrp="everyone"/>
      <w:r>
        <w:lastRenderedPageBreak/>
        <w:t>TYPE YOUR TEXT HERE</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1BAFD56E" w14:textId="77777777" w:rsidR="00C5469A" w:rsidRDefault="00C5469A" w:rsidP="00C5469A">
      <w:permStart w:id="1134712045" w:edGrp="everyone"/>
      <w:r>
        <w:t>TYPE YOUR TEXT HERE</w:t>
      </w:r>
    </w:p>
    <w:permEnd w:id="1134712045"/>
    <w:p w14:paraId="439B983B" w14:textId="77777777"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0C9C882" w14:textId="77777777" w:rsidR="00C5469A" w:rsidRDefault="00C5469A" w:rsidP="00C5469A">
      <w:permStart w:id="1013345542" w:edGrp="everyone"/>
      <w:r>
        <w:t>TYPE YOUR TEXT HERE</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18F16CCF" w14:textId="77777777" w:rsidR="00C5469A" w:rsidRDefault="00C5469A" w:rsidP="00C5469A">
      <w:permStart w:id="254495919" w:edGrp="everyone"/>
      <w:r>
        <w:t>TYPE YOUR TEXT HERE</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3DCB7BF4" w14:textId="77777777" w:rsidR="00C5469A" w:rsidRDefault="00C5469A" w:rsidP="00C5469A">
      <w:permStart w:id="1982605857" w:edGrp="everyone"/>
      <w:r>
        <w:t>TYPE YOUR TEXT HERE</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77777777" w:rsidR="00C5469A" w:rsidRDefault="00C5469A" w:rsidP="00C5469A">
      <w:permStart w:id="558774206" w:edGrp="everyone"/>
      <w:r>
        <w:t>TYPE YOUR TEXT HERE</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7F00D954" w14:textId="77777777" w:rsidR="009A407A" w:rsidRDefault="009A407A" w:rsidP="009A407A">
      <w:pPr>
        <w:rPr>
          <w:rFonts w:ascii="Open Sans" w:hAnsi="Open Sans" w:cs="Open Sans"/>
          <w:sz w:val="20"/>
          <w:lang w:val="en-US"/>
        </w:rPr>
      </w:pPr>
      <w:permStart w:id="6054277" w:edGrp="everyone"/>
      <w:r w:rsidRPr="009A407A">
        <w:rPr>
          <w:rFonts w:ascii="Open Sans" w:hAnsi="Open Sans" w:cs="Open Sans"/>
          <w:sz w:val="20"/>
          <w:u w:val="single"/>
        </w:rPr>
        <w:t>AIMA believes that the transition to T+1 in other jurisdictions, assuming the EU remains on a T+2 cycle, will create various challenges for firms w</w:t>
      </w:r>
      <w:r w:rsidRPr="009A407A">
        <w:rPr>
          <w:rFonts w:ascii="Open Sans" w:hAnsi="Open Sans" w:cs="Open Sans"/>
          <w:sz w:val="20"/>
          <w:u w:val="single"/>
          <w:lang w:val="en-US"/>
        </w:rPr>
        <w:t>ith primary or significant exposures to markets that move to T+1</w:t>
      </w:r>
      <w:r w:rsidRPr="009A407A">
        <w:rPr>
          <w:rFonts w:ascii="Open Sans" w:hAnsi="Open Sans" w:cs="Open Sans"/>
          <w:sz w:val="20"/>
          <w:lang w:val="en-US"/>
        </w:rPr>
        <w:t xml:space="preserve">. </w:t>
      </w:r>
    </w:p>
    <w:p w14:paraId="5DF49AF7" w14:textId="77777777" w:rsidR="009A407A" w:rsidRDefault="009A407A" w:rsidP="009A407A">
      <w:pPr>
        <w:rPr>
          <w:rFonts w:ascii="Open Sans" w:hAnsi="Open Sans" w:cs="Open Sans"/>
          <w:sz w:val="20"/>
          <w:lang w:val="en-US"/>
        </w:rPr>
      </w:pPr>
      <w:r w:rsidRPr="009A407A">
        <w:rPr>
          <w:rFonts w:ascii="Open Sans" w:hAnsi="Open Sans" w:cs="Open Sans"/>
          <w:sz w:val="20"/>
        </w:rPr>
        <w:lastRenderedPageBreak/>
        <w:t xml:space="preserve">The misalignment in settlement cycles threatens asset managers’ ability to ensure funding is available in time to settle their trades at the shortened T+1. If a trade is executed in the EU for settlement on T+2 but the corresponding US trade settles on T+1, there is a one-day gap during which one party’s obligation may be fulfilled before the other’s is. This difference may introduce potential risks related to counterparty exposure, liquidity management and the market. </w:t>
      </w:r>
    </w:p>
    <w:p w14:paraId="1C628FEC" w14:textId="77777777" w:rsidR="009A407A" w:rsidRDefault="009A407A" w:rsidP="009A407A">
      <w:pPr>
        <w:rPr>
          <w:rFonts w:ascii="Open Sans" w:hAnsi="Open Sans" w:cs="Open Sans"/>
          <w:sz w:val="20"/>
          <w:lang w:val="en-US"/>
        </w:rPr>
      </w:pPr>
      <w:r w:rsidRPr="009A407A">
        <w:rPr>
          <w:rFonts w:ascii="Open Sans" w:hAnsi="Open Sans" w:cs="Open Sans"/>
          <w:sz w:val="20"/>
        </w:rPr>
        <w:t xml:space="preserve">Market participants will need to adapt their operational processes and systems to accommodate the misalignment, managing differentiated processes across jurisdictions. Many market participants are not directly connected to market infrastructures (such as exchanges, central counterparties, CSDs) and therefore rely on the use of intermediaries. In this context, the need for additional operational adjustments and potential system complexities can increase costs and create operational challenges for participants involved in cross-border transactions between the EU and the US. </w:t>
      </w:r>
    </w:p>
    <w:p w14:paraId="2D24F512" w14:textId="77777777" w:rsidR="009A407A" w:rsidRDefault="009A407A" w:rsidP="009A407A">
      <w:pPr>
        <w:rPr>
          <w:rFonts w:ascii="Open Sans" w:hAnsi="Open Sans" w:cs="Open Sans"/>
          <w:sz w:val="20"/>
          <w:lang w:val="en-US"/>
        </w:rPr>
      </w:pPr>
      <w:r w:rsidRPr="009A407A">
        <w:rPr>
          <w:rFonts w:ascii="Open Sans" w:hAnsi="Open Sans" w:cs="Open Sans"/>
          <w:sz w:val="20"/>
        </w:rPr>
        <w:t xml:space="preserve">In addition, the difference in settlement cycles may impact trading efficiency and liquidity in cross-border markets. Investors and traders may face challenges in executing trades that involve both EU and US securities, especially when attempting to optimise trading strategies or manage positions across different settlement cycles. This could challenge best execution efforts driven by various regulations. Also, the misalignment could create variance in cross-border market prices and valuations between EU and US securities. This would require careful consideration and management to avoid any adverse impact to investors. </w:t>
      </w:r>
    </w:p>
    <w:p w14:paraId="1BB6D426" w14:textId="6B6A4DFE" w:rsidR="00C5469A" w:rsidRPr="009A407A" w:rsidRDefault="009A407A" w:rsidP="00C5469A">
      <w:pPr>
        <w:rPr>
          <w:rFonts w:ascii="Open Sans" w:hAnsi="Open Sans" w:cs="Open Sans"/>
          <w:sz w:val="20"/>
          <w:lang w:val="en-US"/>
        </w:rPr>
      </w:pPr>
      <w:r w:rsidRPr="009A407A">
        <w:rPr>
          <w:rFonts w:ascii="Open Sans" w:hAnsi="Open Sans" w:cs="Open Sans"/>
          <w:sz w:val="20"/>
        </w:rPr>
        <w:t xml:space="preserve">European market participants engaged in US securities lending and repo will have a narrower window to initiate and complete transactions, potentially affecting their ability to find suitable counterparties on appropriate terms, and complete settlement on time. With US securities settling on a T+1 cycle, EU firms may find that stock recalls are not completed in time to satisfy the shorter settlement cycle. This is most likely to be a problem for trades later in the day, in view of current standard industry practice for agency lenders to enforce a cut-off time two hours before markets close. The compressed settlement timeframe will require enhanced operational efficiency in securities lending activities. Lenders and borrowers would need to streamline their processes, improve communication </w:t>
      </w:r>
      <w:proofErr w:type="gramStart"/>
      <w:r w:rsidRPr="009A407A">
        <w:rPr>
          <w:rFonts w:ascii="Open Sans" w:hAnsi="Open Sans" w:cs="Open Sans"/>
          <w:sz w:val="20"/>
        </w:rPr>
        <w:t>channels</w:t>
      </w:r>
      <w:proofErr w:type="gramEnd"/>
      <w:r w:rsidRPr="009A407A">
        <w:rPr>
          <w:rFonts w:ascii="Open Sans" w:hAnsi="Open Sans" w:cs="Open Sans"/>
          <w:sz w:val="20"/>
        </w:rPr>
        <w:t xml:space="preserve"> and ensure seamless coordination to meet tighter settlement deadlines. A shorter settlement cycle can also impact collateral management. Borrowers would need to ensure the timely availability of acceptable collateral to secure borrowed securities, while lenders would need to manage collateral receipts and returns efficiently within the compressed timeframe.</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lastRenderedPageBreak/>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77777777" w:rsidR="00C5469A" w:rsidRDefault="00C5469A" w:rsidP="00C5469A">
      <w:permStart w:id="1778254877" w:edGrp="everyone"/>
      <w:r>
        <w:t>TYPE YOUR TEXT HERE</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57DC0E29" w14:textId="77777777" w:rsidR="00BC4129" w:rsidRPr="00BC4129" w:rsidRDefault="00BC4129" w:rsidP="00BC4129">
      <w:pPr>
        <w:rPr>
          <w:rFonts w:ascii="Open Sans" w:hAnsi="Open Sans" w:cs="Open Sans"/>
          <w:sz w:val="20"/>
          <w:u w:val="single"/>
        </w:rPr>
      </w:pPr>
      <w:permStart w:id="1174998131" w:edGrp="everyone"/>
      <w:r w:rsidRPr="00BC4129">
        <w:rPr>
          <w:rFonts w:ascii="Open Sans" w:hAnsi="Open Sans" w:cs="Open Sans"/>
          <w:sz w:val="20"/>
          <w:u w:val="single"/>
        </w:rPr>
        <w:t>AIMA sees benefits in the harmonisation of settlement cycles with other non-EU jurisdictions.</w:t>
      </w:r>
    </w:p>
    <w:p w14:paraId="28786F9B" w14:textId="77777777" w:rsidR="00BC4129" w:rsidRPr="00BC4129" w:rsidRDefault="00BC4129" w:rsidP="00BC4129">
      <w:pPr>
        <w:rPr>
          <w:rFonts w:ascii="Open Sans" w:hAnsi="Open Sans" w:cs="Open Sans"/>
          <w:sz w:val="20"/>
          <w:u w:val="single"/>
        </w:rPr>
      </w:pPr>
      <w:r w:rsidRPr="00BC4129">
        <w:rPr>
          <w:rFonts w:ascii="Open Sans" w:hAnsi="Open Sans" w:cs="Open Sans"/>
          <w:sz w:val="20"/>
        </w:rPr>
        <w:t xml:space="preserve">AIMA believes that the EU should move to T+1 and in an appropriate timeframe given the complexities of the EU’s post-trade ecosystem. Harmonisation of settlement cycles would, for example, make funding easier if selling to buy in other jurisdictions and make it easier to track cash being redeemed for a specific date. </w:t>
      </w:r>
    </w:p>
    <w:p w14:paraId="3EFCD4DE" w14:textId="202970A4" w:rsidR="00C5469A" w:rsidRPr="00BC4129" w:rsidRDefault="00BC4129" w:rsidP="00C5469A">
      <w:pPr>
        <w:rPr>
          <w:rFonts w:ascii="Open Sans" w:hAnsi="Open Sans" w:cs="Open Sans"/>
          <w:sz w:val="20"/>
        </w:rPr>
      </w:pPr>
      <w:r w:rsidRPr="00BC4129">
        <w:rPr>
          <w:rFonts w:ascii="Open Sans" w:hAnsi="Open Sans" w:cs="Open Sans"/>
          <w:sz w:val="20"/>
        </w:rPr>
        <w:t>The timing of the US transition to T+1 in May 2024 introduces a misalignment of settlement cycles between the US and other jurisdictions and does not provide market participants with sufficient time to prepare. While it is difficult to predict how liquidity flows will behave post-May 2024, the lack of harmonisation would make it more costly and complicated for global investors to trade US securities. Similarly, US funds that trade non-US stocks would find it difficult to trade fund units on T+1 but only settle security trades on T+2 for their non-US holdings. Such fund mismatches can fragment liquidity and reduce cross-border flows. For asset managers in particular, lack of harmonisation risks the ability to settle relevant FX trades on CLS where Payment-versus-Payment and net settlement are possible. Where these FX trades originating in the asset manager community (particularly Asia flows) can no longer settle in CLS, due to early cut-offs, this could introduce increased settlement risk if no mitigating operational changes (such as changing hours or locations) or risk management techniques (such as pre-funding or “on-us” settlement) are used.</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29AA1A01" w14:textId="77777777" w:rsidR="00C5469A" w:rsidRDefault="00C5469A" w:rsidP="00C5469A">
      <w:permStart w:id="2138049322" w:edGrp="everyone"/>
      <w:r>
        <w:t>TYPE YOUR TEXT HERE</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125C92C9" w14:textId="77777777" w:rsidR="00C5469A" w:rsidRDefault="00C5469A" w:rsidP="00C5469A">
      <w:permStart w:id="1765815298" w:edGrp="everyone"/>
      <w:r>
        <w:t>TYPE YOUR TEXT HERE</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735EC91A" w14:textId="77777777" w:rsidR="00C5469A" w:rsidRDefault="00C5469A" w:rsidP="00C5469A">
      <w:permStart w:id="1934034529" w:edGrp="everyone"/>
      <w:r>
        <w:t>TYPE YOUR TEXT HERE</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lastRenderedPageBreak/>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0D183AD2" w14:textId="77777777" w:rsidR="00C5469A" w:rsidRDefault="00C5469A" w:rsidP="00C5469A">
      <w:permStart w:id="1617899118" w:edGrp="everyone"/>
      <w:r>
        <w:t>TYPE YOUR TEXT HERE</w:t>
      </w:r>
    </w:p>
    <w:permEnd w:id="1617899118"/>
    <w:p w14:paraId="04595985" w14:textId="6DF160E5" w:rsidR="00B15C0B" w:rsidRPr="00C5469A" w:rsidRDefault="00C5469A" w:rsidP="00B15C0B">
      <w:r>
        <w:t>&lt;ESMA_QUESTION_SETT_27&gt;</w:t>
      </w:r>
    </w:p>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10C2" w14:textId="77777777" w:rsidR="008950DB" w:rsidRDefault="008950DB" w:rsidP="007E7997">
      <w:pPr>
        <w:spacing w:line="240" w:lineRule="auto"/>
      </w:pPr>
      <w:r>
        <w:separator/>
      </w:r>
    </w:p>
  </w:endnote>
  <w:endnote w:type="continuationSeparator" w:id="0">
    <w:p w14:paraId="37F7F999" w14:textId="77777777" w:rsidR="008950DB" w:rsidRDefault="008950DB" w:rsidP="007E7997">
      <w:pPr>
        <w:spacing w:line="240" w:lineRule="auto"/>
      </w:pPr>
      <w:r>
        <w:continuationSeparator/>
      </w:r>
    </w:p>
  </w:endnote>
  <w:endnote w:type="continuationNotice" w:id="1">
    <w:p w14:paraId="10C95CF2" w14:textId="77777777" w:rsidR="008950DB" w:rsidRDefault="00895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0000500000000000000"/>
    <w:charset w:val="00"/>
    <w:family w:val="auto"/>
    <w:pitch w:val="variable"/>
    <w:sig w:usb0="20000A87" w:usb1="40000000" w:usb2="00000000" w:usb3="00000000" w:csb0="000001B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D64C" w14:textId="77777777" w:rsidR="008950DB" w:rsidRDefault="008950DB" w:rsidP="007E7997">
      <w:pPr>
        <w:spacing w:line="240" w:lineRule="auto"/>
      </w:pPr>
      <w:r>
        <w:separator/>
      </w:r>
    </w:p>
  </w:footnote>
  <w:footnote w:type="continuationSeparator" w:id="0">
    <w:p w14:paraId="1C6FF6E8" w14:textId="77777777" w:rsidR="008950DB" w:rsidRDefault="008950DB" w:rsidP="007E7997">
      <w:pPr>
        <w:spacing w:line="240" w:lineRule="auto"/>
      </w:pPr>
      <w:r>
        <w:continuationSeparator/>
      </w:r>
    </w:p>
  </w:footnote>
  <w:footnote w:type="continuationNotice" w:id="1">
    <w:p w14:paraId="10B76133" w14:textId="77777777" w:rsidR="008950DB" w:rsidRDefault="008950DB">
      <w:pPr>
        <w:spacing w:after="0" w:line="240" w:lineRule="auto"/>
      </w:pPr>
    </w:p>
  </w:footnote>
  <w:footnote w:id="2">
    <w:p w14:paraId="7B9FBE47" w14:textId="77777777" w:rsidR="00EE4191" w:rsidRDefault="00EE4191" w:rsidP="00EE4191">
      <w:pPr>
        <w:pStyle w:val="FootnoteText"/>
        <w:ind w:left="171" w:hanging="284"/>
        <w:rPr>
          <w:rFonts w:ascii="Open Sans" w:hAnsi="Open Sans" w:cs="Open Sans"/>
          <w:szCs w:val="16"/>
        </w:rPr>
      </w:pPr>
    </w:p>
    <w:p w14:paraId="3A53B2B0" w14:textId="77777777" w:rsidR="00EE4191" w:rsidRPr="00B6316B" w:rsidRDefault="00EE4191" w:rsidP="00EE4191">
      <w:pPr>
        <w:pStyle w:val="FootnoteText"/>
        <w:ind w:left="171" w:hanging="284"/>
        <w:rPr>
          <w:rFonts w:ascii="Open Sans" w:hAnsi="Open Sans" w:cs="Open Sans"/>
          <w:szCs w:val="16"/>
        </w:rPr>
      </w:pPr>
      <w:r>
        <w:rPr>
          <w:rFonts w:ascii="Open Sans" w:hAnsi="Open Sans" w:cs="Open Sans"/>
          <w:szCs w:val="16"/>
        </w:rPr>
        <w:t xml:space="preserve">   </w:t>
      </w:r>
      <w:r w:rsidRPr="00B6316B">
        <w:rPr>
          <w:rStyle w:val="FootnoteReference"/>
          <w:rFonts w:ascii="Open Sans" w:hAnsi="Open Sans" w:cs="Open Sans"/>
          <w:szCs w:val="16"/>
        </w:rPr>
        <w:footnoteRef/>
      </w:r>
      <w:r w:rsidRPr="00B6316B">
        <w:rPr>
          <w:rFonts w:ascii="Open Sans" w:hAnsi="Open Sans" w:cs="Open Sans"/>
          <w:szCs w:val="16"/>
        </w:rPr>
        <w:t xml:space="preserve"> </w:t>
      </w:r>
      <w:r w:rsidRPr="00B6316B">
        <w:rPr>
          <w:rFonts w:ascii="Open Sans" w:hAnsi="Open Sans" w:cs="Open Sans"/>
          <w:szCs w:val="16"/>
        </w:rPr>
        <w:tab/>
        <w:t xml:space="preserve">AIMA is the global representative of the alternative investment industry, with more than </w:t>
      </w:r>
      <w:r>
        <w:rPr>
          <w:rFonts w:ascii="Open Sans" w:hAnsi="Open Sans" w:cs="Open Sans"/>
          <w:szCs w:val="16"/>
        </w:rPr>
        <w:t>2,100</w:t>
      </w:r>
      <w:r w:rsidRPr="00B6316B">
        <w:rPr>
          <w:rFonts w:ascii="Open Sans" w:hAnsi="Open Sans" w:cs="Open Sans"/>
          <w:szCs w:val="16"/>
        </w:rPr>
        <w:t xml:space="preserve"> corporate members in over 60 countries. AIMA’s fund manager members collectively manage more than </w:t>
      </w:r>
      <w:r>
        <w:rPr>
          <w:rFonts w:ascii="Open Sans" w:hAnsi="Open Sans" w:cs="Open Sans"/>
          <w:szCs w:val="16"/>
        </w:rPr>
        <w:t>US</w:t>
      </w:r>
      <w:r w:rsidRPr="00B6316B">
        <w:rPr>
          <w:rFonts w:ascii="Open Sans" w:hAnsi="Open Sans" w:cs="Open Sans"/>
          <w:szCs w:val="16"/>
        </w:rPr>
        <w:t>$2</w:t>
      </w:r>
      <w:r>
        <w:rPr>
          <w:rFonts w:ascii="Open Sans" w:hAnsi="Open Sans" w:cs="Open Sans"/>
          <w:szCs w:val="16"/>
        </w:rPr>
        <w:t>.5</w:t>
      </w:r>
      <w:r w:rsidRPr="00B6316B">
        <w:rPr>
          <w:rFonts w:ascii="Open Sans" w:hAnsi="Open Sans" w:cs="Open Sans"/>
          <w:szCs w:val="16"/>
        </w:rPr>
        <w:t xml:space="preserve"> trillion in assets. AIMA draws upon the expertise and diversity of its membership to provide leadership in industry initiatives such as advocacy, policy and regulatory engagement, educational </w:t>
      </w:r>
      <w:proofErr w:type="gramStart"/>
      <w:r w:rsidRPr="00B6316B">
        <w:rPr>
          <w:rFonts w:ascii="Open Sans" w:hAnsi="Open Sans" w:cs="Open Sans"/>
          <w:szCs w:val="16"/>
        </w:rPr>
        <w:t>programmes</w:t>
      </w:r>
      <w:proofErr w:type="gramEnd"/>
      <w:r w:rsidRPr="00B6316B">
        <w:rPr>
          <w:rFonts w:ascii="Open Sans" w:hAnsi="Open Sans" w:cs="Open Sans"/>
          <w:szCs w:val="16"/>
        </w:rPr>
        <w:t xml:space="preserve"> and sound practice guides. AIMA works to raise media and public awareness of the value of the industry.</w:t>
      </w:r>
      <w:r w:rsidRPr="000E11C7">
        <w:t xml:space="preserve"> </w:t>
      </w:r>
      <w:r>
        <w:t>A</w:t>
      </w:r>
      <w:r w:rsidRPr="000E11C7">
        <w:rPr>
          <w:rFonts w:ascii="Open Sans" w:hAnsi="Open Sans" w:cs="Open Sans"/>
          <w:szCs w:val="16"/>
        </w:rPr>
        <w:t xml:space="preserve">IMA set up the Alternative Credit Council (ACC) to help firms focused </w:t>
      </w:r>
      <w:proofErr w:type="gramStart"/>
      <w:r w:rsidRPr="000E11C7">
        <w:rPr>
          <w:rFonts w:ascii="Open Sans" w:hAnsi="Open Sans" w:cs="Open Sans"/>
          <w:szCs w:val="16"/>
        </w:rPr>
        <w:t>in</w:t>
      </w:r>
      <w:proofErr w:type="gramEnd"/>
      <w:r w:rsidRPr="000E11C7">
        <w:rPr>
          <w:rFonts w:ascii="Open Sans" w:hAnsi="Open Sans" w:cs="Open Sans"/>
          <w:szCs w:val="16"/>
        </w:rPr>
        <w:t xml:space="preserve"> the private credit and direct lending space. The ACC currently represents over 250 members that manage over US$1 trillion of private credit assets globally.  AIMA is committed to developing skills and education standards and is a co-founder of the Chartered Alternative Investment Analyst</w:t>
      </w:r>
      <w:r>
        <w:rPr>
          <w:rFonts w:ascii="Open Sans" w:hAnsi="Open Sans" w:cs="Open Sans"/>
          <w:szCs w:val="16"/>
        </w:rPr>
        <w:t xml:space="preserve"> (CAIA)</w:t>
      </w:r>
      <w:r w:rsidRPr="000E11C7">
        <w:rPr>
          <w:rFonts w:ascii="Open Sans" w:hAnsi="Open Sans" w:cs="Open Sans"/>
          <w:szCs w:val="16"/>
        </w:rPr>
        <w:t xml:space="preserve"> designation – the first and only specialised educational standard for alternative investment specialists. AIMA is governed by its Council (Board of Directors).</w:t>
      </w:r>
    </w:p>
  </w:footnote>
  <w:footnote w:id="3">
    <w:p w14:paraId="37FADE62" w14:textId="77777777" w:rsidR="00EE4191" w:rsidRPr="001A165C" w:rsidRDefault="00EE4191" w:rsidP="00EE4191">
      <w:pPr>
        <w:pStyle w:val="FootnoteText"/>
        <w:jc w:val="left"/>
        <w:rPr>
          <w:rFonts w:ascii="Open Sans" w:hAnsi="Open Sans" w:cs="Open Sans"/>
          <w:szCs w:val="16"/>
        </w:rPr>
      </w:pPr>
      <w:r w:rsidRPr="001A165C">
        <w:rPr>
          <w:rStyle w:val="FootnoteReference"/>
          <w:rFonts w:ascii="Open Sans" w:hAnsi="Open Sans" w:cs="Open Sans"/>
          <w:szCs w:val="16"/>
        </w:rPr>
        <w:footnoteRef/>
      </w:r>
      <w:r w:rsidRPr="001A165C">
        <w:rPr>
          <w:rFonts w:ascii="Open Sans" w:hAnsi="Open Sans" w:cs="Open Sans"/>
          <w:szCs w:val="16"/>
        </w:rPr>
        <w:t xml:space="preserve"> </w:t>
      </w:r>
      <w:r>
        <w:rPr>
          <w:rFonts w:ascii="Open Sans" w:hAnsi="Open Sans" w:cs="Open Sans"/>
          <w:szCs w:val="16"/>
        </w:rPr>
        <w:t xml:space="preserve"> </w:t>
      </w:r>
      <w:r w:rsidRPr="001A165C">
        <w:rPr>
          <w:rFonts w:ascii="Open Sans" w:hAnsi="Open Sans" w:cs="Open Sans"/>
          <w:szCs w:val="16"/>
        </w:rPr>
        <w:t xml:space="preserve">Available at </w:t>
      </w:r>
      <w:hyperlink r:id="rId1" w:history="1">
        <w:r w:rsidRPr="001A165C">
          <w:rPr>
            <w:rStyle w:val="Hyperlink"/>
            <w:rFonts w:ascii="Open Sans" w:hAnsi="Open Sans" w:cs="Open Sans"/>
            <w:szCs w:val="16"/>
          </w:rPr>
          <w:t>www.esma.europa.eu/sites/default/files/2023-10/ESMA74-2119945925-1616_Call_for_evidence_on_the_shortening_of_the_settlement_cycle.pdf</w:t>
        </w:r>
      </w:hyperlink>
      <w:r w:rsidRPr="001A165C">
        <w:rPr>
          <w:rFonts w:ascii="Open Sans" w:hAnsi="Open Sans" w:cs="Open Sans"/>
          <w:szCs w:val="16"/>
        </w:rPr>
        <w:t xml:space="preserve">. </w:t>
      </w:r>
    </w:p>
    <w:p w14:paraId="2E322447" w14:textId="77777777" w:rsidR="00EE4191" w:rsidRPr="009E5B94" w:rsidRDefault="00EE4191" w:rsidP="00EE4191">
      <w:pPr>
        <w:pStyle w:val="FootnoteText"/>
        <w:jc w:val="left"/>
        <w:rPr>
          <w:rFonts w:ascii="Open Sans" w:hAnsi="Open Sans" w:cs="Open Sans"/>
          <w:color w:val="34009F" w:themeColor="hyperlink"/>
          <w:szCs w:val="16"/>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2FE584B9"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762841960" name="Picture 176284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A3E0A">
      <w:t>5</w:t>
    </w:r>
    <w:r w:rsidR="00282901">
      <w:t xml:space="preserve"> </w:t>
    </w:r>
    <w:r w:rsidR="007A3E0A">
      <w:t>October</w:t>
    </w:r>
    <w:r w:rsidR="00282901">
      <w:t xml:space="preserve"> 2023</w:t>
    </w:r>
  </w:p>
  <w:p w14:paraId="2AC4487A" w14:textId="49B7B31C" w:rsidR="00D77369" w:rsidRPr="00D77369" w:rsidRDefault="00B03969" w:rsidP="00D77369">
    <w:pPr>
      <w:pStyle w:val="Header"/>
    </w:pPr>
    <w:r w:rsidRPr="00B03969">
      <w:t>ESMA74-2119945925-1689</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634817295" name="Picture 63481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93936703" name="Picture 179393670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2D2F69"/>
    <w:multiLevelType w:val="hybridMultilevel"/>
    <w:tmpl w:val="E8FC8D7A"/>
    <w:lvl w:ilvl="0" w:tplc="97727D92">
      <w:start w:val="1"/>
      <w:numFmt w:val="bullet"/>
      <w:lvlText w:val=""/>
      <w:lvlJc w:val="left"/>
      <w:pPr>
        <w:ind w:left="360" w:hanging="360"/>
      </w:pPr>
      <w:rPr>
        <w:rFonts w:ascii="Symbol" w:eastAsiaTheme="minorHAnsi" w:hAnsi="Symbol" w:cs="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797892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0D"/>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3E01"/>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2FF"/>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3A"/>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1F5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0DB"/>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07A"/>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57650"/>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129"/>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C1D"/>
    <w:rsid w:val="00C23D9E"/>
    <w:rsid w:val="00C244F4"/>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176"/>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91"/>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ma.europa.eu/sites/default/files/2023-10/ESMA74-2119945925-1616_Call_for_evidence_on_the_shortening_of_the_settlement_cyc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0000500000000000000"/>
    <w:charset w:val="00"/>
    <w:family w:val="auto"/>
    <w:pitch w:val="variable"/>
    <w:sig w:usb0="20000A87" w:usb1="40000000" w:usb2="00000000" w:usb3="00000000" w:csb0="000001B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4E4CF9"/>
    <w:rsid w:val="005A64CA"/>
    <w:rsid w:val="00813189"/>
    <w:rsid w:val="008222A0"/>
    <w:rsid w:val="00836D47"/>
    <w:rsid w:val="009B6B9C"/>
    <w:rsid w:val="00B220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3973</Words>
  <Characters>22651</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Aniqah Rao</cp:lastModifiedBy>
  <cp:revision>12</cp:revision>
  <cp:lastPrinted>2023-09-08T15:53:00Z</cp:lastPrinted>
  <dcterms:created xsi:type="dcterms:W3CDTF">2023-12-15T10:40:00Z</dcterms:created>
  <dcterms:modified xsi:type="dcterms:W3CDTF">2023-12-15T10:52:00Z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ies>
</file>