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19FC5ED4" w:rsidR="00563C1F" w:rsidRDefault="00EC6066" w:rsidP="00F72D28">
          <w:pPr>
            <w:pStyle w:val="Titel"/>
          </w:pPr>
          <w:r>
            <w:t>Reply form</w:t>
          </w:r>
        </w:p>
        <w:p w14:paraId="031F2108" w14:textId="314EEC9D" w:rsidR="007E7997" w:rsidRDefault="00D77369" w:rsidP="00D77369">
          <w:pPr>
            <w:pStyle w:val="Untertitel"/>
            <w:rPr>
              <w:rFonts w:cs="Arial"/>
            </w:rPr>
          </w:pPr>
          <w:r>
            <w:rPr>
              <w:noProof/>
              <w:lang w:val="de-DE" w:eastAsia="de-DE"/>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Untertitel"/>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enabsatz"/>
          </w:pPr>
          <w:r w:rsidRPr="00E13D25">
            <w:t>respond to the question stated;</w:t>
          </w:r>
        </w:p>
        <w:p w14:paraId="72FD40F6" w14:textId="77777777" w:rsidR="002533FC" w:rsidRPr="00E13D25" w:rsidRDefault="002533FC" w:rsidP="00EC6066">
          <w:pPr>
            <w:pStyle w:val="Listenabsatz"/>
          </w:pPr>
          <w:r w:rsidRPr="00E13D25">
            <w:t>indicate the specific question to which the comment relates;</w:t>
          </w:r>
        </w:p>
        <w:p w14:paraId="78B206B7" w14:textId="77777777" w:rsidR="002533FC" w:rsidRPr="00E13D25" w:rsidRDefault="002533FC" w:rsidP="00EC6066">
          <w:pPr>
            <w:pStyle w:val="Listenabsatz"/>
          </w:pPr>
          <w:r w:rsidRPr="00E13D25">
            <w:t>contain a clear rationale; and</w:t>
          </w:r>
        </w:p>
        <w:p w14:paraId="60B8834E" w14:textId="77777777" w:rsidR="002533FC" w:rsidRPr="00E13D25" w:rsidRDefault="002533FC" w:rsidP="00EC6066">
          <w:pPr>
            <w:pStyle w:val="Listenabsatz"/>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Untertitel"/>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berschrift1"/>
        <w:rPr>
          <w:lang w:val="fr-BE"/>
        </w:rPr>
      </w:pPr>
      <w:r>
        <w:rPr>
          <w:lang w:val="fr-BE"/>
        </w:rPr>
        <w:lastRenderedPageBreak/>
        <w:t xml:space="preserve">General information about </w:t>
      </w:r>
      <w:r w:rsidRPr="00501EF4">
        <w:t>respondent</w:t>
      </w:r>
    </w:p>
    <w:tbl>
      <w:tblPr>
        <w:tblStyle w:val="Tabellenraster"/>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Content>
            <w:permStart w:id="43071050" w:edGrp="everyone" w:displacedByCustomXml="prev"/>
            <w:tc>
              <w:tcPr>
                <w:tcW w:w="4531" w:type="dxa"/>
              </w:tcPr>
              <w:p w14:paraId="76683ED7" w14:textId="44FE417C" w:rsidR="00635BCA" w:rsidRPr="00557BD2" w:rsidRDefault="00FA443B" w:rsidP="00D21C35">
                <w:r>
                  <w:t>Bundesverband der Wertpapierfirmen (bwf)</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563696391" w:edGrp="everyone" w:displacedByCustomXml="prev"/>
            <w:tc>
              <w:tcPr>
                <w:tcW w:w="4531" w:type="dxa"/>
              </w:tcPr>
              <w:p w14:paraId="7403D812" w14:textId="30403DA1" w:rsidR="00635BCA" w:rsidRPr="00557BD2" w:rsidRDefault="00A3786A"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Content>
            <w:permStart w:id="1071191175" w:edGrp="everyone" w:displacedByCustomXml="prev"/>
            <w:tc>
              <w:tcPr>
                <w:tcW w:w="4531" w:type="dxa"/>
              </w:tcPr>
              <w:p w14:paraId="2AD81A72" w14:textId="60BEEFF3" w:rsidR="00635BCA" w:rsidRPr="00557BD2" w:rsidRDefault="00FA443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81805691" w:edGrp="everyone" w:displacedByCustomXml="prev"/>
            <w:tc>
              <w:tcPr>
                <w:tcW w:w="4531" w:type="dxa"/>
              </w:tcPr>
              <w:p w14:paraId="6A619B85" w14:textId="6FD1D349" w:rsidR="00635BCA" w:rsidRPr="00557BD2" w:rsidRDefault="00FB74A5" w:rsidP="00D21C35">
                <w:r>
                  <w:t>Germany</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berschrift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enabsatz"/>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enabsatz"/>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3F9EA11E" w14:textId="67F95082" w:rsidR="00C32A3D" w:rsidRDefault="00C32A3D" w:rsidP="00746857">
      <w:pPr>
        <w:rPr>
          <w:i/>
          <w:iCs/>
        </w:rPr>
      </w:pPr>
      <w:permStart w:id="1228560568" w:edGrp="everyone"/>
      <w:r w:rsidRPr="00C32A3D">
        <w:rPr>
          <w:i/>
          <w:iCs/>
        </w:rPr>
        <w:t xml:space="preserve">bwf answers follow/adopt to a high extend the assessments and analysis by our member firm Baader Bank AG. However, in the course of </w:t>
      </w:r>
      <w:r>
        <w:rPr>
          <w:i/>
          <w:iCs/>
        </w:rPr>
        <w:t>ESMA’s evaluation of</w:t>
      </w:r>
      <w:r w:rsidRPr="00C32A3D">
        <w:rPr>
          <w:i/>
          <w:iCs/>
        </w:rPr>
        <w:t xml:space="preserve"> the CfE responses, they should be weighted as an individual contribution. </w:t>
      </w:r>
    </w:p>
    <w:p w14:paraId="0603B992" w14:textId="2E970176" w:rsidR="00746857" w:rsidRDefault="00746857" w:rsidP="00746857">
      <w:r>
        <w:t>(i) The whole process of pre</w:t>
      </w:r>
      <w:r w:rsidR="004D62DC">
        <w:t>-</w:t>
      </w:r>
      <w:r>
        <w:t xml:space="preserve">matching </w:t>
      </w:r>
      <w:r w:rsidR="004C7BD2">
        <w:t>would become considerably more difficult, if not impossible</w:t>
      </w:r>
      <w:r>
        <w:t xml:space="preserve">. </w:t>
      </w:r>
    </w:p>
    <w:p w14:paraId="57F2BA27" w14:textId="20002BE2" w:rsidR="00746857" w:rsidRDefault="00746857" w:rsidP="00746857">
      <w:r>
        <w:t xml:space="preserve">(ii) </w:t>
      </w:r>
      <w:r w:rsidR="004C7BD2">
        <w:t xml:space="preserve">In particular, the settlement of </w:t>
      </w:r>
      <w:r>
        <w:t xml:space="preserve">ETFs and mutual funds </w:t>
      </w:r>
      <w:r w:rsidR="004C7BD2">
        <w:t>would become extremely difficult, if not impossible in a</w:t>
      </w:r>
      <w:r>
        <w:t xml:space="preserve"> T+1 </w:t>
      </w:r>
      <w:r w:rsidR="004C7BD2">
        <w:t>environment</w:t>
      </w:r>
      <w:r>
        <w:t>. For instance</w:t>
      </w:r>
      <w:r w:rsidR="004C7BD2">
        <w:t>,</w:t>
      </w:r>
      <w:r>
        <w:t xml:space="preserve"> an ETF creation with shares from the APAC </w:t>
      </w:r>
      <w:r>
        <w:lastRenderedPageBreak/>
        <w:t>region will cause delays due to the time difference between EMEA and APAC. On the mutual fund side the different valu</w:t>
      </w:r>
      <w:r w:rsidR="004C7BD2">
        <w:t>ation</w:t>
      </w:r>
      <w:r>
        <w:t xml:space="preserve"> date</w:t>
      </w:r>
      <w:r w:rsidR="004C7BD2">
        <w:t>s</w:t>
      </w:r>
      <w:r>
        <w:t xml:space="preserve"> between the markets and the issuers are the main </w:t>
      </w:r>
      <w:r w:rsidR="004C7BD2">
        <w:t>concern</w:t>
      </w:r>
      <w:r>
        <w:t xml:space="preserve">. Realignments between NAFTA and EMEA markets most likely </w:t>
      </w:r>
      <w:r w:rsidR="004C7BD2">
        <w:t xml:space="preserve">will not be able to be </w:t>
      </w:r>
      <w:r>
        <w:t>settle</w:t>
      </w:r>
      <w:r w:rsidR="004C7BD2">
        <w:t>d</w:t>
      </w:r>
      <w:r>
        <w:t xml:space="preserve"> in time </w:t>
      </w:r>
      <w:r w:rsidR="004C7BD2">
        <w:t>in a</w:t>
      </w:r>
      <w:r>
        <w:t xml:space="preserve"> T+1 </w:t>
      </w:r>
      <w:r w:rsidR="004C7BD2">
        <w:t>environment without substantial adjustments to the overall trading and settlement landscape for this asset-class</w:t>
      </w:r>
      <w:r>
        <w:t xml:space="preserve">. </w:t>
      </w:r>
    </w:p>
    <w:p w14:paraId="6C4166A3" w14:textId="46966FC3" w:rsidR="003F66CD" w:rsidRDefault="00520C35" w:rsidP="00746857">
      <w:r>
        <w:t>Furthermore, for t</w:t>
      </w:r>
      <w:r w:rsidR="00746857">
        <w:t xml:space="preserve">he settlement of stock exchange transactions </w:t>
      </w:r>
      <w:r>
        <w:t>in</w:t>
      </w:r>
      <w:r w:rsidR="00746857">
        <w:t xml:space="preserve"> mutual funds </w:t>
      </w:r>
      <w:r>
        <w:t xml:space="preserve">it is paramount to keep </w:t>
      </w:r>
      <w:r w:rsidR="00746857">
        <w:t xml:space="preserve">T+4 in order to keep them </w:t>
      </w:r>
      <w:r w:rsidR="004544D2">
        <w:t>in line</w:t>
      </w:r>
      <w:r w:rsidR="00746857">
        <w:t xml:space="preserve"> with primary market trading via the </w:t>
      </w:r>
      <w:r w:rsidR="004544D2">
        <w:t>investment management company (</w:t>
      </w:r>
      <w:r w:rsidR="00746857">
        <w:t>KAG</w:t>
      </w:r>
      <w:r w:rsidR="004544D2">
        <w:t>)</w:t>
      </w:r>
      <w:r w:rsidR="00746857">
        <w:t xml:space="preserve">. In trading with the KAG the settlement is currently T+2, sometimes T+4 or </w:t>
      </w:r>
      <w:r w:rsidR="004544D2">
        <w:t>T+</w:t>
      </w:r>
      <w:r w:rsidR="00746857">
        <w:t>5.</w:t>
      </w:r>
      <w:r w:rsidR="004544D2">
        <w:t xml:space="preserve"> </w:t>
      </w:r>
    </w:p>
    <w:p w14:paraId="0411E290" w14:textId="7A80186D" w:rsidR="004544D2" w:rsidRDefault="004544D2" w:rsidP="00746857">
      <w:r>
        <w:t>However, the described problem is a particularity of this asset-class and exists within the T+2 environment already and simply needs to be taken into account as an exemption if T+1 should become the general rule.</w:t>
      </w:r>
    </w:p>
    <w:permEnd w:id="1228560568"/>
    <w:p w14:paraId="7E8CEB1B" w14:textId="51E57EE1"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29F63867" w14:textId="77777777" w:rsidR="00C32A3D" w:rsidRDefault="00C32A3D" w:rsidP="00C32A3D">
      <w:pPr>
        <w:rPr>
          <w:i/>
          <w:iCs/>
        </w:rPr>
      </w:pPr>
      <w:permStart w:id="45707097" w:edGrp="everyone"/>
      <w:r w:rsidRPr="00C32A3D">
        <w:rPr>
          <w:i/>
          <w:iCs/>
        </w:rPr>
        <w:t xml:space="preserve">bwf answers follow/adopt to a high extend the assessments and analysis by our member firm Baader Bank AG. However, in the course of </w:t>
      </w:r>
      <w:r>
        <w:rPr>
          <w:i/>
          <w:iCs/>
        </w:rPr>
        <w:t>ESMA’s evaluation of</w:t>
      </w:r>
      <w:r w:rsidRPr="00C32A3D">
        <w:rPr>
          <w:i/>
          <w:iCs/>
        </w:rPr>
        <w:t xml:space="preserve"> the CfE responses, they should be weighted as an individual contribution. </w:t>
      </w:r>
    </w:p>
    <w:p w14:paraId="34D0ADFF" w14:textId="5FD3CCE4" w:rsidR="00746857" w:rsidRDefault="00746857" w:rsidP="00C5469A">
      <w:r w:rsidRPr="00746857">
        <w:t>We don't see a</w:t>
      </w:r>
      <w:r w:rsidR="003876C9">
        <w:t>n</w:t>
      </w:r>
      <w:r w:rsidRPr="00746857">
        <w:t xml:space="preserve"> increase in hedging and </w:t>
      </w:r>
      <w:r w:rsidR="00C32A3D">
        <w:t>FX</w:t>
      </w:r>
      <w:r w:rsidRPr="00746857">
        <w:t xml:space="preserve"> transactions.</w:t>
      </w:r>
    </w:p>
    <w:permEnd w:id="45707097"/>
    <w:p w14:paraId="3C617E94" w14:textId="025FEB40"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lastRenderedPageBreak/>
        <w:t>&lt;ESMA_QUESTION_SETT_3&gt;</w:t>
      </w:r>
    </w:p>
    <w:p w14:paraId="5DF0032A" w14:textId="77777777" w:rsidR="00C32A3D" w:rsidRDefault="00C32A3D" w:rsidP="00C5469A">
      <w:pPr>
        <w:rPr>
          <w:i/>
          <w:iCs/>
        </w:rPr>
      </w:pPr>
      <w:permStart w:id="1188046948" w:edGrp="everyone"/>
      <w:r w:rsidRPr="00C32A3D">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565EE0DD" w14:textId="3A049C61" w:rsidR="00746857" w:rsidRDefault="00C32A3D" w:rsidP="00C5469A">
      <w:r>
        <w:t>Reported</w:t>
      </w:r>
      <w:r w:rsidR="00746857" w:rsidRPr="00746857">
        <w:t xml:space="preserve"> current STP rate</w:t>
      </w:r>
      <w:r>
        <w:t>s</w:t>
      </w:r>
      <w:r w:rsidR="00746857" w:rsidRPr="00746857">
        <w:t xml:space="preserve"> </w:t>
      </w:r>
      <w:r>
        <w:t>by bwf members are</w:t>
      </w:r>
      <w:r w:rsidR="00746857" w:rsidRPr="00746857">
        <w:t xml:space="preserve"> around 95%. Exchange traded transactions are </w:t>
      </w:r>
      <w:r>
        <w:t xml:space="preserve">often </w:t>
      </w:r>
      <w:r w:rsidR="00746857" w:rsidRPr="00746857">
        <w:t xml:space="preserve">fully STP, whereas </w:t>
      </w:r>
      <w:r>
        <w:t xml:space="preserve">the STP rate for </w:t>
      </w:r>
      <w:r w:rsidR="00746857" w:rsidRPr="00746857">
        <w:t xml:space="preserve">OTC trades are </w:t>
      </w:r>
      <w:r>
        <w:t xml:space="preserve">lower but still can reach </w:t>
      </w:r>
      <w:r w:rsidR="00746857" w:rsidRPr="00746857">
        <w:t>around 90%.</w:t>
      </w:r>
    </w:p>
    <w:permEnd w:id="1188046948"/>
    <w:p w14:paraId="779B5185" w14:textId="4FDC6D6D"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7B558016" w14:textId="77777777" w:rsidR="00C32A3D" w:rsidRDefault="00C32A3D" w:rsidP="00C5469A">
      <w:pPr>
        <w:rPr>
          <w:i/>
          <w:iCs/>
        </w:rPr>
      </w:pPr>
      <w:permStart w:id="19423711" w:edGrp="everyone"/>
      <w:r w:rsidRPr="00C32A3D">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6D5F5B1D" w14:textId="4DCD2FCF" w:rsidR="00C32A3D" w:rsidRDefault="00791542" w:rsidP="00C5469A">
      <w:r w:rsidRPr="00791542">
        <w:t xml:space="preserve">On the technical side adjustments would be necessary to be able to settle T+1. Since </w:t>
      </w:r>
      <w:r w:rsidR="00C32A3D">
        <w:t>bwf members</w:t>
      </w:r>
      <w:r w:rsidRPr="00791542">
        <w:t xml:space="preserve"> are not self-clearing </w:t>
      </w:r>
      <w:r w:rsidR="00C32A3D">
        <w:t>technical adjustments for the settlement process would have to be made in accordance with the requirements set by their clearing agents.</w:t>
      </w:r>
    </w:p>
    <w:p w14:paraId="74B0F219" w14:textId="37F01A11" w:rsidR="00791542" w:rsidRDefault="00791542" w:rsidP="00C5469A">
      <w:r w:rsidRPr="00791542">
        <w:t xml:space="preserve">On the regulatory reporting side we don't see </w:t>
      </w:r>
      <w:r w:rsidR="00C32A3D">
        <w:t>considerable problems since transaction reporting is already required on T+1 today</w:t>
      </w:r>
      <w:r w:rsidRPr="00791542">
        <w:t>.</w:t>
      </w:r>
    </w:p>
    <w:permEnd w:id="19423711"/>
    <w:p w14:paraId="08A0832D" w14:textId="6F99A738"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xml:space="preserve">: What would be the costs you would have to incur in order to implement the technology and operational changes required to work in a T+1 environment? And in a T+0 environment? Please differentiate between one-off costs and on-going </w:t>
      </w:r>
      <w:r>
        <w:lastRenderedPageBreak/>
        <w:t>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8CB982A" w14:textId="77777777" w:rsidR="00C32A3D" w:rsidRDefault="00C32A3D" w:rsidP="00C5469A">
      <w:pPr>
        <w:rPr>
          <w:i/>
          <w:iCs/>
        </w:rPr>
      </w:pPr>
      <w:permStart w:id="1238857977" w:edGrp="everyone"/>
      <w:r w:rsidRPr="00C32A3D">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67103326" w14:textId="5B8792EE" w:rsidR="003F4E6C" w:rsidRDefault="001275AB" w:rsidP="00C5469A">
      <w:r>
        <w:t>Back- and Middle-Office</w:t>
      </w:r>
      <w:r w:rsidR="003F4E6C" w:rsidRPr="003F4E6C">
        <w:t xml:space="preserve"> systems and processes </w:t>
      </w:r>
      <w:r>
        <w:t xml:space="preserve">will </w:t>
      </w:r>
      <w:r w:rsidR="003F4E6C" w:rsidRPr="003F4E6C">
        <w:t xml:space="preserve">need to be adjusted </w:t>
      </w:r>
      <w:r>
        <w:t xml:space="preserve">(e.g. by new software releases) </w:t>
      </w:r>
      <w:r w:rsidR="003F4E6C" w:rsidRPr="003F4E6C">
        <w:t xml:space="preserve">and some need </w:t>
      </w:r>
      <w:r>
        <w:t xml:space="preserve">might need </w:t>
      </w:r>
      <w:r w:rsidR="003F4E6C" w:rsidRPr="003F4E6C">
        <w:t xml:space="preserve">to be </w:t>
      </w:r>
      <w:r>
        <w:t>supplemented or replaced</w:t>
      </w:r>
      <w:r w:rsidR="003F4E6C" w:rsidRPr="003F4E6C">
        <w:t xml:space="preserve"> - for example </w:t>
      </w:r>
      <w:r>
        <w:t>with respect to</w:t>
      </w:r>
      <w:r w:rsidR="003F4E6C" w:rsidRPr="003F4E6C">
        <w:t xml:space="preserve"> FX </w:t>
      </w:r>
      <w:r>
        <w:t>integration</w:t>
      </w:r>
      <w:r w:rsidR="003F4E6C" w:rsidRPr="003F4E6C">
        <w:t xml:space="preserve">. </w:t>
      </w:r>
      <w:r>
        <w:t>Additional HR costs (one off and on an ongoing basis) are likely to occur in order, e.g. to</w:t>
      </w:r>
      <w:r w:rsidR="003F4E6C" w:rsidRPr="003F4E6C">
        <w:t xml:space="preserve"> cover the extended </w:t>
      </w:r>
      <w:r>
        <w:t xml:space="preserve">daily </w:t>
      </w:r>
      <w:r w:rsidR="003F4E6C" w:rsidRPr="003F4E6C">
        <w:t>operating hours.</w:t>
      </w:r>
    </w:p>
    <w:permEnd w:id="1238857977"/>
    <w:p w14:paraId="39592726" w14:textId="129E8991"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455C2C4D" w14:textId="77777777" w:rsidR="00F84892" w:rsidRPr="00F84892" w:rsidRDefault="00F84892" w:rsidP="003F4E6C">
      <w:pPr>
        <w:rPr>
          <w:bCs/>
          <w:i/>
          <w:iCs/>
        </w:rPr>
      </w:pPr>
      <w:bookmarkStart w:id="0" w:name="_Hlk153550390"/>
      <w:permStart w:id="367399486" w:edGrp="everyone"/>
      <w:r w:rsidRPr="00F84892">
        <w:rPr>
          <w:bCs/>
          <w:i/>
          <w:iCs/>
        </w:rPr>
        <w:t xml:space="preserve">bwf answers follow/adopt to a high extend the assessments and analysis by our member firm Baader Bank AG. However, in the course of ESMA’s evaluation of the CfE responses, they should be weighted as an individual contribution. </w:t>
      </w:r>
    </w:p>
    <w:bookmarkEnd w:id="0"/>
    <w:p w14:paraId="73896531" w14:textId="77777777" w:rsidR="00F84892" w:rsidRDefault="00F84892" w:rsidP="003F4E6C">
      <w:pPr>
        <w:rPr>
          <w:bCs/>
        </w:rPr>
      </w:pPr>
      <w:r>
        <w:rPr>
          <w:bCs/>
        </w:rPr>
        <w:t>By bwf members’</w:t>
      </w:r>
      <w:r w:rsidR="003F4E6C" w:rsidRPr="00F84892">
        <w:rPr>
          <w:bCs/>
        </w:rPr>
        <w:t xml:space="preserve"> estimates market fails </w:t>
      </w:r>
      <w:r>
        <w:rPr>
          <w:bCs/>
        </w:rPr>
        <w:t>c</w:t>
      </w:r>
      <w:r w:rsidR="003F4E6C" w:rsidRPr="00F84892">
        <w:rPr>
          <w:bCs/>
        </w:rPr>
        <w:t xml:space="preserve">ould increase in total by 30-40% in the short term, medium 25% and long term 10-15% approximately. </w:t>
      </w:r>
    </w:p>
    <w:p w14:paraId="608D6156" w14:textId="7FE43B77" w:rsidR="003F4E6C" w:rsidRPr="00F84892" w:rsidRDefault="00F84892" w:rsidP="003F4E6C">
      <w:pPr>
        <w:rPr>
          <w:bCs/>
        </w:rPr>
      </w:pPr>
      <w:r>
        <w:rPr>
          <w:bCs/>
        </w:rPr>
        <w:t>Moving</w:t>
      </w:r>
      <w:r w:rsidR="003F4E6C" w:rsidRPr="00F84892">
        <w:rPr>
          <w:bCs/>
        </w:rPr>
        <w:t xml:space="preserve"> to T+0 </w:t>
      </w:r>
      <w:r>
        <w:rPr>
          <w:bCs/>
        </w:rPr>
        <w:t xml:space="preserve">does not seem to be a realistic option for the time being and for the near future, in particular, if the still fragmented </w:t>
      </w:r>
      <w:r w:rsidR="00CF347A">
        <w:rPr>
          <w:bCs/>
        </w:rPr>
        <w:t>settlement and CSD landscape within the Union is taken into account</w:t>
      </w:r>
      <w:r w:rsidR="003F4E6C" w:rsidRPr="00F84892">
        <w:rPr>
          <w:bCs/>
        </w:rPr>
        <w:t>.</w:t>
      </w:r>
    </w:p>
    <w:p w14:paraId="0002CB54" w14:textId="0E42113E" w:rsidR="003F4E6C" w:rsidRPr="00F84892" w:rsidRDefault="003F4E6C" w:rsidP="003F4E6C">
      <w:pPr>
        <w:rPr>
          <w:bCs/>
        </w:rPr>
      </w:pPr>
      <w:r w:rsidRPr="00F84892">
        <w:rPr>
          <w:bCs/>
        </w:rPr>
        <w:t xml:space="preserve">However, </w:t>
      </w:r>
      <w:r w:rsidR="00CF347A">
        <w:rPr>
          <w:bCs/>
        </w:rPr>
        <w:t>remaining</w:t>
      </w:r>
      <w:r w:rsidRPr="00F84892">
        <w:rPr>
          <w:bCs/>
        </w:rPr>
        <w:t xml:space="preserve"> at T+2</w:t>
      </w:r>
      <w:r w:rsidR="00CF347A">
        <w:rPr>
          <w:bCs/>
        </w:rPr>
        <w:t xml:space="preserve"> does not seem to be a desirable option either</w:t>
      </w:r>
      <w:r w:rsidRPr="00F84892">
        <w:rPr>
          <w:bCs/>
        </w:rPr>
        <w:t xml:space="preserve">, </w:t>
      </w:r>
      <w:r w:rsidR="00CF347A">
        <w:rPr>
          <w:bCs/>
        </w:rPr>
        <w:t xml:space="preserve">since </w:t>
      </w:r>
      <w:r w:rsidRPr="00F84892">
        <w:rPr>
          <w:bCs/>
        </w:rPr>
        <w:t xml:space="preserve">the fail rate </w:t>
      </w:r>
      <w:r w:rsidR="00CF347A">
        <w:rPr>
          <w:bCs/>
        </w:rPr>
        <w:t xml:space="preserve">for cross border transactions with the US as result of the settlement-cycle mismatch </w:t>
      </w:r>
      <w:r w:rsidRPr="00F84892">
        <w:rPr>
          <w:bCs/>
        </w:rPr>
        <w:t xml:space="preserve">would </w:t>
      </w:r>
      <w:r w:rsidR="00CF347A">
        <w:rPr>
          <w:bCs/>
        </w:rPr>
        <w:t>inevitably</w:t>
      </w:r>
      <w:r w:rsidRPr="00F84892">
        <w:rPr>
          <w:bCs/>
        </w:rPr>
        <w:t xml:space="preserve"> increase</w:t>
      </w:r>
      <w:r w:rsidR="00CF347A">
        <w:rPr>
          <w:bCs/>
        </w:rPr>
        <w:t>.</w:t>
      </w:r>
      <w:r w:rsidRPr="00F84892">
        <w:rPr>
          <w:bCs/>
        </w:rPr>
        <w:t xml:space="preserve"> </w:t>
      </w:r>
      <w:r w:rsidR="00CF347A">
        <w:rPr>
          <w:bCs/>
        </w:rPr>
        <w:t>This problem woul, inter alia, affect in particular</w:t>
      </w:r>
      <w:r w:rsidRPr="00F84892">
        <w:rPr>
          <w:bCs/>
        </w:rPr>
        <w:t xml:space="preserve"> </w:t>
      </w:r>
      <w:r w:rsidR="00CF347A">
        <w:rPr>
          <w:bCs/>
        </w:rPr>
        <w:t xml:space="preserve">EU </w:t>
      </w:r>
      <w:r w:rsidRPr="00F84892">
        <w:rPr>
          <w:bCs/>
        </w:rPr>
        <w:t xml:space="preserve">market makers </w:t>
      </w:r>
      <w:r w:rsidR="00CF347A">
        <w:rPr>
          <w:bCs/>
        </w:rPr>
        <w:t>in US securities, which would</w:t>
      </w:r>
      <w:r w:rsidRPr="00F84892">
        <w:rPr>
          <w:bCs/>
        </w:rPr>
        <w:t xml:space="preserve"> not </w:t>
      </w:r>
      <w:r w:rsidR="00CF347A">
        <w:rPr>
          <w:bCs/>
        </w:rPr>
        <w:t xml:space="preserve">be </w:t>
      </w:r>
      <w:r w:rsidRPr="00F84892">
        <w:rPr>
          <w:bCs/>
        </w:rPr>
        <w:t>able to deliver the shares for their US trades on time.</w:t>
      </w:r>
    </w:p>
    <w:permEnd w:id="367399486"/>
    <w:p w14:paraId="2CF84BCC" w14:textId="6DF235B1"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7E5D9DDF" w14:textId="77777777" w:rsidR="00CF347A" w:rsidRPr="00CF347A" w:rsidRDefault="00CF347A" w:rsidP="00C5469A">
      <w:pPr>
        <w:rPr>
          <w:i/>
          <w:iCs/>
        </w:rPr>
      </w:pPr>
      <w:permStart w:id="1217420632" w:edGrp="everyone"/>
      <w:r w:rsidRPr="00CF347A">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12A5A9B7" w14:textId="59E81397" w:rsidR="007E5CD7" w:rsidRDefault="007E5CD7" w:rsidP="00C5469A">
      <w:r w:rsidRPr="007E5CD7">
        <w:t>Yes</w:t>
      </w:r>
      <w:r w:rsidR="00CF347A">
        <w:t>, bwf members expect that</w:t>
      </w:r>
      <w:r w:rsidRPr="007E5CD7">
        <w:t xml:space="preserve"> settlement fails would increase in the short and medium term. Long term effects would be </w:t>
      </w:r>
      <w:r w:rsidR="00CF347A">
        <w:t>most likely l</w:t>
      </w:r>
      <w:r w:rsidRPr="007E5CD7">
        <w:t xml:space="preserve">ess </w:t>
      </w:r>
      <w:r w:rsidR="00CF347A">
        <w:t>severe and managable</w:t>
      </w:r>
      <w:r w:rsidR="00315B27">
        <w:t xml:space="preserve"> due to higher autom</w:t>
      </w:r>
      <w:r w:rsidRPr="007E5CD7">
        <w:t>ation rates and adjustments.</w:t>
      </w:r>
    </w:p>
    <w:permEnd w:id="1217420632"/>
    <w:p w14:paraId="747144F4" w14:textId="2F6D6418"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37446AB0" w14:textId="77777777" w:rsidR="00CF347A" w:rsidRPr="00F84892" w:rsidRDefault="00CF347A" w:rsidP="00CF347A">
      <w:pPr>
        <w:rPr>
          <w:bCs/>
          <w:i/>
          <w:iCs/>
        </w:rPr>
      </w:pPr>
      <w:permStart w:id="736563321" w:edGrp="everyone"/>
      <w:r w:rsidRPr="00F84892">
        <w:rPr>
          <w:bCs/>
          <w:i/>
          <w:iCs/>
        </w:rPr>
        <w:t xml:space="preserve">bwf answers follow/adopt to a high extend the assessments and analysis by our member firm Baader Bank AG. However, in the course of ESMA’s evaluation of the CfE responses, they should be weighted as an individual contribution. </w:t>
      </w:r>
    </w:p>
    <w:p w14:paraId="3EBBB2B7" w14:textId="35CB9244" w:rsidR="007E5CD7" w:rsidRDefault="00CF347A" w:rsidP="007E5CD7">
      <w:r>
        <w:t xml:space="preserve">Educated guess </w:t>
      </w:r>
      <w:r w:rsidR="00352A4B">
        <w:t>by</w:t>
      </w:r>
      <w:r>
        <w:t xml:space="preserve"> bwf members suggests that</w:t>
      </w:r>
      <w:r w:rsidR="007E5CD7">
        <w:t xml:space="preserve"> the manually workload would increase </w:t>
      </w:r>
      <w:r>
        <w:t xml:space="preserve">by </w:t>
      </w:r>
      <w:r w:rsidR="007E5CD7">
        <w:t xml:space="preserve">around 10% </w:t>
      </w:r>
      <w:r>
        <w:t>resulting from the implementation of</w:t>
      </w:r>
      <w:r w:rsidR="007E5CD7">
        <w:t xml:space="preserve"> T+1. </w:t>
      </w:r>
      <w:r>
        <w:t xml:space="preserve">There might be a requirement to hire </w:t>
      </w:r>
      <w:r w:rsidR="007E5CD7">
        <w:t xml:space="preserve">new </w:t>
      </w:r>
      <w:r>
        <w:t xml:space="preserve">qualified </w:t>
      </w:r>
      <w:r w:rsidR="007E5CD7">
        <w:t xml:space="preserve">staff </w:t>
      </w:r>
      <w:r>
        <w:t xml:space="preserve">which might be difficult and costly to accomplish since </w:t>
      </w:r>
      <w:r w:rsidR="00352A4B">
        <w:t>qualified Middle- and Back-Office personnel is already in high demand and difficult to find.</w:t>
      </w:r>
    </w:p>
    <w:p w14:paraId="0313B879" w14:textId="2C4C162E" w:rsidR="00EA39B4" w:rsidRDefault="00EA39B4" w:rsidP="007E5CD7">
      <w:r>
        <w:t>As already mentioned above</w:t>
      </w:r>
      <w:r w:rsidR="007E5CD7">
        <w:t xml:space="preserve">, </w:t>
      </w:r>
      <w:r>
        <w:t>the settlement of</w:t>
      </w:r>
      <w:r w:rsidR="007E5CD7">
        <w:t xml:space="preserve"> ETFs and mutual funds </w:t>
      </w:r>
      <w:r>
        <w:t xml:space="preserve">will be in particular challenging and unrealistic to be moved to T+1. The problem already was raised within the discussion regarding the CSDR settlement-discipline enforcement regime and certainly would need to be revisited in the course of discussing and designing a workable environment for a transition to T+1 as a general rule. As stated above, an appropriate exemption for ETFs and mutual funds would be needed because on-exchange/secondary market in these instruments </w:t>
      </w:r>
      <w:r>
        <w:lastRenderedPageBreak/>
        <w:t>otherwise would be de facto rendered impossible, with the attractiveness of EU financial markets and investors’ choice being reduced accordingly.</w:t>
      </w:r>
    </w:p>
    <w:p w14:paraId="2A3E965F" w14:textId="570B01FC" w:rsidR="00F402F1" w:rsidRDefault="007E5CD7" w:rsidP="007E5CD7">
      <w:r>
        <w:t xml:space="preserve">Another </w:t>
      </w:r>
      <w:r w:rsidR="00F402F1">
        <w:t xml:space="preserve">specific </w:t>
      </w:r>
      <w:r>
        <w:t xml:space="preserve">aspect is the CSDR penalties charged on failed settlements. In the past years, when the ECB deposit rate was negative anyone with a positive cash balance was penalized. The CSDR penalties solved the problem by compensating the buyer on the fails. Now with the </w:t>
      </w:r>
      <w:r w:rsidR="00F402F1">
        <w:t>refinancing</w:t>
      </w:r>
      <w:r>
        <w:t xml:space="preserve"> rate </w:t>
      </w:r>
      <w:r w:rsidR="00F402F1">
        <w:t>around</w:t>
      </w:r>
      <w:r>
        <w:t xml:space="preserve"> 4.5% </w:t>
      </w:r>
      <w:r w:rsidR="00F402F1">
        <w:t xml:space="preserve">and above </w:t>
      </w:r>
      <w:r>
        <w:t xml:space="preserve">the original problem </w:t>
      </w:r>
      <w:r w:rsidR="00F402F1">
        <w:t>currently is neutralized since a positive cash-balance is beneficial (since it generates additional interest-based income). However, this situation does not contribute to market efficiency.</w:t>
      </w:r>
    </w:p>
    <w:permEnd w:id="736563321"/>
    <w:p w14:paraId="120F8916" w14:textId="5070B9E4"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6833108E" w14:textId="77777777" w:rsidR="00F402F1" w:rsidRPr="00F84892" w:rsidRDefault="00F402F1" w:rsidP="00F402F1">
      <w:pPr>
        <w:rPr>
          <w:bCs/>
          <w:i/>
          <w:iCs/>
        </w:rPr>
      </w:pPr>
      <w:permStart w:id="1982556193" w:edGrp="everyone"/>
      <w:r w:rsidRPr="00F84892">
        <w:rPr>
          <w:bCs/>
          <w:i/>
          <w:iCs/>
        </w:rPr>
        <w:t xml:space="preserve">bwf answers follow/adopt to a high extend the assessments and analysis by our member firm Baader Bank AG. However, in the course of ESMA’s evaluation of the CfE responses, they should be weighted as an individual contribution. </w:t>
      </w:r>
    </w:p>
    <w:p w14:paraId="1F311D87" w14:textId="587602CA" w:rsidR="007E5CD7" w:rsidRDefault="007E5CD7" w:rsidP="00C5469A">
      <w:r w:rsidRPr="007E5CD7">
        <w:t>Yes we agree with the mentioned benefits such as</w:t>
      </w:r>
      <w:r w:rsidR="00F402F1">
        <w:t xml:space="preserve"> reduction in</w:t>
      </w:r>
      <w:r w:rsidRPr="007E5CD7">
        <w:t xml:space="preserve"> counterparty</w:t>
      </w:r>
      <w:r w:rsidR="00F402F1">
        <w:t>-</w:t>
      </w:r>
      <w:r w:rsidRPr="007E5CD7">
        <w:t xml:space="preserve"> and c</w:t>
      </w:r>
      <w:r w:rsidR="00315B27">
        <w:t>ollateral</w:t>
      </w:r>
      <w:r w:rsidR="00F402F1">
        <w:t>-</w:t>
      </w:r>
      <w:r w:rsidR="00315B27">
        <w:t>risk, higher autom</w:t>
      </w:r>
      <w:r w:rsidRPr="007E5CD7">
        <w:t xml:space="preserve">ation and liquidity. </w:t>
      </w:r>
    </w:p>
    <w:permEnd w:id="1982556193"/>
    <w:p w14:paraId="279B3093" w14:textId="089D8CD9"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255ED61" w14:textId="77777777" w:rsidR="00F402F1" w:rsidRPr="00F84892" w:rsidRDefault="00F402F1" w:rsidP="00F402F1">
      <w:pPr>
        <w:rPr>
          <w:bCs/>
          <w:i/>
          <w:iCs/>
        </w:rPr>
      </w:pPr>
      <w:permStart w:id="639642393" w:edGrp="everyone"/>
      <w:r w:rsidRPr="00F84892">
        <w:rPr>
          <w:bCs/>
          <w:i/>
          <w:iCs/>
        </w:rPr>
        <w:t xml:space="preserve">bwf answers follow/adopt to a high extend the assessments and analysis by our member firm Baader Bank AG. However, in the course of ESMA’s evaluation of the CfE responses, they should be weighted as an individual contribution. </w:t>
      </w:r>
    </w:p>
    <w:p w14:paraId="4C300FA8" w14:textId="004B6E6B" w:rsidR="00304E19" w:rsidRDefault="00F402F1" w:rsidP="00C5469A">
      <w:r>
        <w:t xml:space="preserve">Educated guess among bwf member firms suggests </w:t>
      </w:r>
      <w:r w:rsidR="00304E19" w:rsidRPr="00304E19">
        <w:t>estimate</w:t>
      </w:r>
      <w:r>
        <w:t>d</w:t>
      </w:r>
      <w:r w:rsidR="00304E19" w:rsidRPr="00304E19">
        <w:t xml:space="preserve"> expected savings </w:t>
      </w:r>
      <w:r>
        <w:t xml:space="preserve">of </w:t>
      </w:r>
      <w:r w:rsidR="00304E19" w:rsidRPr="00304E19">
        <w:t>around 20-40% for collateral requirements for both</w:t>
      </w:r>
      <w:r>
        <w:t>,</w:t>
      </w:r>
      <w:r w:rsidR="00304E19" w:rsidRPr="00304E19">
        <w:t xml:space="preserve"> cleared and non-cleared</w:t>
      </w:r>
      <w:r>
        <w:t>,</w:t>
      </w:r>
      <w:r w:rsidR="00304E19" w:rsidRPr="00304E19">
        <w:t xml:space="preserve"> transactions.</w:t>
      </w:r>
    </w:p>
    <w:permEnd w:id="639642393"/>
    <w:p w14:paraId="4C4DCD26" w14:textId="3DD5BFE8" w:rsidR="00C5469A" w:rsidRDefault="00C5469A" w:rsidP="00C5469A">
      <w:r>
        <w:lastRenderedPageBreak/>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68D7AAED" w14:textId="77777777" w:rsidR="00F402F1" w:rsidRPr="00F84892" w:rsidRDefault="00F402F1" w:rsidP="00F402F1">
      <w:pPr>
        <w:rPr>
          <w:bCs/>
          <w:i/>
          <w:iCs/>
        </w:rPr>
      </w:pPr>
      <w:permStart w:id="78006216" w:edGrp="everyone"/>
      <w:r w:rsidRPr="00F84892">
        <w:rPr>
          <w:bCs/>
          <w:i/>
          <w:iCs/>
        </w:rPr>
        <w:t xml:space="preserve">bwf answers follow/adopt to a high extend the assessments and analysis by our member firm Baader Bank AG. However, in the course of ESMA’s evaluation of the CfE responses, they should be weighted as an individual contribution. </w:t>
      </w:r>
    </w:p>
    <w:p w14:paraId="73C69B65" w14:textId="1521ADD8" w:rsidR="00C5469A" w:rsidRDefault="00F402F1" w:rsidP="00C5469A">
      <w:r w:rsidRPr="00F402F1">
        <w:t>Educated guess among bwf member firms suggests estimated</w:t>
      </w:r>
      <w:r w:rsidR="00304E19" w:rsidRPr="00304E19">
        <w:t xml:space="preserve"> benefits </w:t>
      </w:r>
      <w:r>
        <w:t xml:space="preserve">resulting from </w:t>
      </w:r>
      <w:r w:rsidR="00304E19" w:rsidRPr="00304E19">
        <w:t xml:space="preserve">more automated processes </w:t>
      </w:r>
      <w:r>
        <w:t>in the range of</w:t>
      </w:r>
      <w:r w:rsidR="00304E19" w:rsidRPr="00304E19">
        <w:t xml:space="preserve"> 10-15% in the long term.</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695D5CF5" w14:textId="77777777" w:rsidR="00854394" w:rsidRPr="00F84892" w:rsidRDefault="00854394" w:rsidP="00854394">
      <w:pPr>
        <w:rPr>
          <w:bCs/>
          <w:i/>
          <w:iCs/>
        </w:rPr>
      </w:pPr>
      <w:permStart w:id="27267923" w:edGrp="everyone"/>
      <w:r w:rsidRPr="00F84892">
        <w:rPr>
          <w:bCs/>
          <w:i/>
          <w:iCs/>
        </w:rPr>
        <w:t xml:space="preserve">bwf answers follow/adopt to a high extend the assessments and analysis by our member firm Baader Bank AG. However, in the course of ESMA’s evaluation of the CfE responses, they should be weighted as an individual contribution. </w:t>
      </w:r>
    </w:p>
    <w:p w14:paraId="6FBD107D" w14:textId="043F48C5" w:rsidR="00304E19" w:rsidRDefault="00854394" w:rsidP="00C5469A">
      <w:r>
        <w:t>bwf member firms</w:t>
      </w:r>
      <w:r w:rsidR="00304E19" w:rsidRPr="00304E19">
        <w:t xml:space="preserve"> </w:t>
      </w:r>
      <w:r w:rsidR="00F65A90">
        <w:t xml:space="preserve">clearly expect a positive </w:t>
      </w:r>
      <w:r w:rsidR="00304E19" w:rsidRPr="00304E19">
        <w:t xml:space="preserve">liquidity </w:t>
      </w:r>
      <w:r w:rsidR="00F65A90">
        <w:t xml:space="preserve">effect </w:t>
      </w:r>
      <w:r w:rsidR="00F65A90" w:rsidRPr="00304E19">
        <w:t>in the long term</w:t>
      </w:r>
      <w:r w:rsidR="00F65A90">
        <w:t xml:space="preserve"> driven by various factors such as reduced </w:t>
      </w:r>
      <w:r w:rsidR="00304E19" w:rsidRPr="00304E19">
        <w:t xml:space="preserve">counterparty risk, lower spreads and a </w:t>
      </w:r>
      <w:r w:rsidR="00F65A90">
        <w:t>more effective</w:t>
      </w:r>
      <w:r w:rsidR="00304E19" w:rsidRPr="00304E19">
        <w:t xml:space="preserve"> monitoring due to less open trades. </w:t>
      </w:r>
    </w:p>
    <w:permEnd w:id="27267923"/>
    <w:p w14:paraId="1B6472CD" w14:textId="20336BD8"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64556C24" w14:textId="77777777" w:rsidR="005630BF" w:rsidRPr="005630BF" w:rsidRDefault="005630BF" w:rsidP="00C5469A">
      <w:pPr>
        <w:rPr>
          <w:i/>
          <w:iCs/>
        </w:rPr>
      </w:pPr>
      <w:permStart w:id="75696228" w:edGrp="everyone"/>
      <w:r w:rsidRPr="005630BF">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019E0E12" w14:textId="3FE703F8" w:rsidR="00C5469A" w:rsidRDefault="005630BF" w:rsidP="00C5469A">
      <w:r>
        <w:t>R</w:t>
      </w:r>
      <w:r w:rsidR="0048351F" w:rsidRPr="0048351F">
        <w:t xml:space="preserve">etails clients </w:t>
      </w:r>
      <w:r>
        <w:t xml:space="preserve">would possibly benefit from </w:t>
      </w:r>
      <w:r w:rsidR="0048351F" w:rsidRPr="0048351F">
        <w:t>a faster booking</w:t>
      </w:r>
      <w:r>
        <w:t>-cycle</w:t>
      </w:r>
      <w:r w:rsidR="0048351F" w:rsidRPr="0048351F">
        <w:t xml:space="preserve"> and </w:t>
      </w:r>
      <w:r>
        <w:t xml:space="preserve">timely </w:t>
      </w:r>
      <w:r w:rsidR="0048351F" w:rsidRPr="0048351F">
        <w:t xml:space="preserve">money movement would be possible. Also corporate actions would </w:t>
      </w:r>
      <w:r>
        <w:t xml:space="preserve">possibly </w:t>
      </w:r>
      <w:r w:rsidR="0048351F" w:rsidRPr="0048351F">
        <w:t>be faster to process.</w:t>
      </w:r>
      <w:r>
        <w:t xml:space="preserve"> However many retail clients might not even recognise the difference since they de facto (also often without even recognizing) live in a contractual-settlement-base environment.</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47BE631F" w14:textId="77777777" w:rsidR="005630BF" w:rsidRPr="005630BF" w:rsidRDefault="005630BF" w:rsidP="00C5469A">
      <w:pPr>
        <w:rPr>
          <w:i/>
          <w:iCs/>
        </w:rPr>
      </w:pPr>
      <w:permStart w:id="1702320082" w:edGrp="everyone"/>
      <w:r w:rsidRPr="005630BF">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422C2605" w14:textId="5CAF2F82" w:rsidR="0048351F" w:rsidRDefault="0048351F" w:rsidP="00C5469A">
      <w:r w:rsidRPr="0048351F">
        <w:t>Only in the long term the benefits would pay off for T+1. In the short and medium term the costs would exceed the benefits. However, the benefits of less collateral requirements would kick in also in the short term.</w:t>
      </w:r>
    </w:p>
    <w:permEnd w:id="1702320082"/>
    <w:p w14:paraId="2CEAAEB1" w14:textId="1E5BC89E"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3ED73351" w14:textId="77777777" w:rsidR="005630BF" w:rsidRPr="005630BF" w:rsidRDefault="005630BF" w:rsidP="0048351F">
      <w:pPr>
        <w:rPr>
          <w:i/>
          <w:iCs/>
        </w:rPr>
      </w:pPr>
      <w:permStart w:id="1673478500" w:edGrp="everyone"/>
      <w:r w:rsidRPr="005630BF">
        <w:rPr>
          <w:i/>
          <w:iCs/>
        </w:rPr>
        <w:lastRenderedPageBreak/>
        <w:t xml:space="preserve">bwf answers follow/adopt to a high extend the assessments and analysis by our member firm Baader Bank AG. However, in the course of ESMA’s evaluation of the CfE responses, they should be weighted as an individual contribution. </w:t>
      </w:r>
    </w:p>
    <w:p w14:paraId="1723E507" w14:textId="68AF6CD0" w:rsidR="0048351F" w:rsidRDefault="0048351F" w:rsidP="0048351F">
      <w:r>
        <w:t xml:space="preserve">i. Earliest in Q2 2024 </w:t>
      </w:r>
      <w:r w:rsidR="00644449">
        <w:t>to start coordinating discussions among clearing agents/</w:t>
      </w:r>
      <w:r>
        <w:t xml:space="preserve">custodians </w:t>
      </w:r>
      <w:r w:rsidR="00644449">
        <w:t xml:space="preserve">and their customers </w:t>
      </w:r>
      <w:r>
        <w:t>to address the open issues for a switch to T+1</w:t>
      </w:r>
    </w:p>
    <w:p w14:paraId="5715F98F" w14:textId="7B72B662" w:rsidR="0048351F" w:rsidRDefault="0048351F" w:rsidP="0048351F">
      <w:r>
        <w:t>ii. Testing starting in Q3</w:t>
      </w:r>
      <w:r w:rsidR="00644449">
        <w:t xml:space="preserve"> 2024</w:t>
      </w:r>
    </w:p>
    <w:p w14:paraId="0113CFC0" w14:textId="745E7C0A" w:rsidR="0048351F" w:rsidRDefault="0048351F" w:rsidP="0048351F">
      <w:r>
        <w:t>iii. Technical adjustment</w:t>
      </w:r>
      <w:r w:rsidR="008F537C">
        <w:t xml:space="preserve"> of processes and automa</w:t>
      </w:r>
      <w:r>
        <w:t>tion where possible</w:t>
      </w:r>
    </w:p>
    <w:p w14:paraId="4F932F3E" w14:textId="7015A255" w:rsidR="0048351F" w:rsidRDefault="0048351F" w:rsidP="0048351F">
      <w:r>
        <w:t>iv. Earliest possible switch to T+1 in Q4 2025</w:t>
      </w:r>
    </w:p>
    <w:p w14:paraId="4F1E523F" w14:textId="5BB2C5E3" w:rsidR="00644449" w:rsidRDefault="00644449" w:rsidP="0048351F">
      <w:r>
        <w:t>However, the most optimistic projected timeframe presented above would require at least a foreseeable and sufficiently detailed legal framework which does not exist yet.</w:t>
      </w:r>
    </w:p>
    <w:permEnd w:id="1673478500"/>
    <w:p w14:paraId="5D6602EE" w14:textId="4CED884F"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57055D00" w14:textId="77777777" w:rsidR="00644449" w:rsidRPr="00644449" w:rsidRDefault="00644449" w:rsidP="00C5469A">
      <w:pPr>
        <w:rPr>
          <w:i/>
          <w:iCs/>
        </w:rPr>
      </w:pPr>
      <w:permStart w:id="1134712045" w:edGrp="everyone"/>
      <w:r w:rsidRPr="00644449">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7A7E6BE5" w14:textId="77777777" w:rsidR="00644449" w:rsidRDefault="00343265" w:rsidP="00C5469A">
      <w:r w:rsidRPr="00343265">
        <w:t>Th</w:t>
      </w:r>
      <w:r w:rsidR="00644449">
        <w:t>is would</w:t>
      </w:r>
      <w:r w:rsidRPr="00343265">
        <w:t xml:space="preserve"> depend</w:t>
      </w:r>
      <w:r w:rsidR="00644449">
        <w:t xml:space="preserve"> on the speed of adjustment of the overall framework and institutions involved (settlement agents/</w:t>
      </w:r>
      <w:r w:rsidRPr="00343265">
        <w:t xml:space="preserve">custodians, CSDs, CCPs, </w:t>
      </w:r>
      <w:r w:rsidR="00644449">
        <w:t>ECB, national Centralbancs</w:t>
      </w:r>
      <w:r w:rsidRPr="00343265">
        <w:t xml:space="preserve"> etc.</w:t>
      </w:r>
      <w:r w:rsidR="00644449">
        <w:t>)</w:t>
      </w:r>
      <w:r w:rsidRPr="00343265">
        <w:t xml:space="preserve"> </w:t>
      </w:r>
      <w:r w:rsidR="00644449">
        <w:t>in creating the condition for a move</w:t>
      </w:r>
      <w:r w:rsidRPr="00343265">
        <w:t xml:space="preserve"> </w:t>
      </w:r>
      <w:r w:rsidR="00644449">
        <w:t xml:space="preserve">to </w:t>
      </w:r>
      <w:r w:rsidRPr="00343265">
        <w:t xml:space="preserve">T+1. </w:t>
      </w:r>
    </w:p>
    <w:p w14:paraId="309E61D5" w14:textId="5280AB47" w:rsidR="00343265" w:rsidRDefault="00644449" w:rsidP="00C5469A">
      <w:r>
        <w:t>As already mentioned above, we do not think that moving</w:t>
      </w:r>
      <w:r w:rsidR="00343265" w:rsidRPr="00343265">
        <w:t xml:space="preserve"> to T+0 </w:t>
      </w:r>
      <w:r>
        <w:t>is a viable option for the EU in the foreseeable future</w:t>
      </w:r>
      <w:r w:rsidR="00343265" w:rsidRPr="00343265">
        <w:t>.</w:t>
      </w:r>
    </w:p>
    <w:permEnd w:id="1134712045"/>
    <w:p w14:paraId="439B983B" w14:textId="5C868B64"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lastRenderedPageBreak/>
        <w:t>&lt;ESMA_QUESTION_SETT_17&gt;</w:t>
      </w:r>
    </w:p>
    <w:p w14:paraId="70BE5736" w14:textId="77777777" w:rsidR="0038683E" w:rsidRPr="0038683E" w:rsidRDefault="0038683E" w:rsidP="00C5469A">
      <w:pPr>
        <w:rPr>
          <w:i/>
          <w:iCs/>
        </w:rPr>
      </w:pPr>
      <w:permStart w:id="1013345542" w:edGrp="everyone"/>
      <w:r w:rsidRPr="0038683E">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60C9C882" w14:textId="418A4679" w:rsidR="00C5469A" w:rsidRDefault="00343265" w:rsidP="00C5469A">
      <w:r w:rsidRPr="00343265">
        <w:t>Yes, we see the CSDR scope adequate for T+1 but not for T+0.</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55D18005" w14:textId="77777777" w:rsidR="0038683E" w:rsidRPr="0038683E" w:rsidRDefault="0038683E" w:rsidP="00C5469A">
      <w:pPr>
        <w:rPr>
          <w:i/>
          <w:iCs/>
        </w:rPr>
      </w:pPr>
      <w:permStart w:id="254495919" w:edGrp="everyone"/>
      <w:r w:rsidRPr="0038683E">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6D874C69" w14:textId="169C1A8E" w:rsidR="00343265" w:rsidRDefault="00343265" w:rsidP="00C5469A">
      <w:r w:rsidRPr="00343265">
        <w:t xml:space="preserve">Yes different settlement cycles for different instruments </w:t>
      </w:r>
      <w:r w:rsidR="0038683E">
        <w:t>are</w:t>
      </w:r>
      <w:r w:rsidRPr="00343265">
        <w:t xml:space="preserve"> </w:t>
      </w:r>
      <w:r w:rsidR="0038683E">
        <w:t xml:space="preserve">not only </w:t>
      </w:r>
      <w:r w:rsidRPr="00343265">
        <w:t xml:space="preserve">feasible </w:t>
      </w:r>
      <w:r w:rsidR="0038683E">
        <w:t xml:space="preserve">but in some cases desirable and necessary (please see the discussion on the settlement </w:t>
      </w:r>
      <w:r w:rsidRPr="00343265">
        <w:t>ETFs and mutual funds</w:t>
      </w:r>
      <w:r w:rsidR="0038683E">
        <w:t xml:space="preserve"> in our previous answers)</w:t>
      </w:r>
      <w:r w:rsidRPr="00343265">
        <w:t>.</w:t>
      </w:r>
    </w:p>
    <w:permEnd w:id="254495919"/>
    <w:p w14:paraId="00E8016B" w14:textId="375907A6"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7DB37035" w14:textId="77777777" w:rsidR="0038683E" w:rsidRPr="0038683E" w:rsidRDefault="0038683E" w:rsidP="0038683E">
      <w:pPr>
        <w:rPr>
          <w:i/>
          <w:iCs/>
        </w:rPr>
      </w:pPr>
      <w:permStart w:id="1982605857" w:edGrp="everyone"/>
      <w:r w:rsidRPr="0038683E">
        <w:rPr>
          <w:i/>
          <w:iCs/>
        </w:rPr>
        <w:lastRenderedPageBreak/>
        <w:t xml:space="preserve">bwf answers follow/adopt to a high extend the assessments and analysis by our member firm Baader Bank AG. However, in the course of ESMA’s evaluation of the CfE responses, they should be weighted as an individual contribution. </w:t>
      </w:r>
    </w:p>
    <w:p w14:paraId="48A16E96" w14:textId="49EAB18A" w:rsidR="0038683E" w:rsidRDefault="0038683E" w:rsidP="00343265">
      <w:r>
        <w:t>We think that different migration times would be feasible. The answer to the question whether such a differentiation would be desirable depends on various technical and political factors.</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39BD29A3" w14:textId="77777777" w:rsidR="00C42D5F" w:rsidRPr="00C42D5F" w:rsidRDefault="00C42D5F" w:rsidP="00C5469A">
      <w:pPr>
        <w:rPr>
          <w:i/>
          <w:iCs/>
        </w:rPr>
      </w:pPr>
      <w:permStart w:id="558774206" w:edGrp="everyone"/>
      <w:r w:rsidRPr="00C42D5F">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0A996883" w14:textId="1265DB6A" w:rsidR="00C5469A" w:rsidRDefault="00F22FCF" w:rsidP="00C5469A">
      <w:r w:rsidRPr="00F22FCF">
        <w:t xml:space="preserve">We don't think that there is need for more regulation as of now. </w:t>
      </w:r>
      <w:r w:rsidR="00C42D5F">
        <w:t>In the contrary, in justified cases e</w:t>
      </w:r>
      <w:r w:rsidRPr="00F22FCF">
        <w:t xml:space="preserve">xceptions should </w:t>
      </w:r>
      <w:r w:rsidR="00C42D5F">
        <w:t>remain</w:t>
      </w:r>
      <w:r w:rsidRPr="00F22FCF">
        <w:t xml:space="preserve"> possible</w:t>
      </w:r>
      <w:r w:rsidR="00C42D5F">
        <w:t xml:space="preserve"> (and the need for exemptions might even increase in a compressed T+1 cycle)</w:t>
      </w:r>
      <w:r w:rsidRPr="00F22FCF">
        <w:t>.</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6EE0F0E7" w14:textId="77777777" w:rsidR="00BF1AE5" w:rsidRPr="00BF1AE5" w:rsidRDefault="00BF1AE5" w:rsidP="00C5469A">
      <w:pPr>
        <w:rPr>
          <w:i/>
          <w:iCs/>
        </w:rPr>
      </w:pPr>
      <w:permStart w:id="6054277" w:edGrp="everyone"/>
      <w:r w:rsidRPr="00BF1AE5">
        <w:rPr>
          <w:i/>
          <w:iCs/>
        </w:rPr>
        <w:lastRenderedPageBreak/>
        <w:t xml:space="preserve">bwf answers follow/adopt to a high extend the assessments and analysis by our member firm Baader Bank AG. However, in the course of ESMA’s evaluation of the CfE responses, they should be weighted as an individual contribution. </w:t>
      </w:r>
    </w:p>
    <w:p w14:paraId="1BB6D426" w14:textId="5BA66B9D" w:rsidR="00C5469A" w:rsidRDefault="00BF1AE5" w:rsidP="00C5469A">
      <w:r>
        <w:t>Educated guess among bwf members clearly suggests that s</w:t>
      </w:r>
      <w:r w:rsidR="00375410" w:rsidRPr="00375410">
        <w:t xml:space="preserve">ettlement fails would increase if </w:t>
      </w:r>
      <w:r>
        <w:t>EU</w:t>
      </w:r>
      <w:r w:rsidR="00375410" w:rsidRPr="00375410">
        <w:t xml:space="preserve"> markets would stay at T+2</w:t>
      </w:r>
      <w:r>
        <w:t xml:space="preserve"> (as a result of increasing cross boarder settlement-cycle mismatches)</w:t>
      </w:r>
      <w:r w:rsidR="00375410" w:rsidRPr="00375410">
        <w:t xml:space="preserve">. Cash backlog and liquidity would be impacted - meaning that more funds </w:t>
      </w:r>
      <w:r>
        <w:t xml:space="preserve">would be needed in order </w:t>
      </w:r>
      <w:r w:rsidR="00375410" w:rsidRPr="00375410">
        <w:t xml:space="preserve">to </w:t>
      </w:r>
      <w:r>
        <w:t>facilitate</w:t>
      </w:r>
      <w:r w:rsidR="00375410" w:rsidRPr="00375410">
        <w:t xml:space="preserve"> on time</w:t>
      </w:r>
      <w:r>
        <w:t xml:space="preserve"> settlement</w:t>
      </w:r>
      <w:r w:rsidR="00375410" w:rsidRPr="00375410">
        <w:t>.</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1A7B4340" w14:textId="77777777" w:rsidR="00BF1AE5" w:rsidRPr="00BF1AE5" w:rsidRDefault="00BF1AE5" w:rsidP="00BF1AE5">
      <w:pPr>
        <w:rPr>
          <w:i/>
          <w:iCs/>
        </w:rPr>
      </w:pPr>
      <w:permStart w:id="1778254877" w:edGrp="everyone"/>
      <w:r w:rsidRPr="00BF1AE5">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6CF52B04" w14:textId="5FFE5B7C" w:rsidR="00C5469A" w:rsidRDefault="00E8602D" w:rsidP="00C5469A">
      <w:r w:rsidRPr="00E8602D">
        <w:t xml:space="preserve">In general, the US market would remain more attractive </w:t>
      </w:r>
      <w:r w:rsidR="00BF1AE5">
        <w:t xml:space="preserve">from an </w:t>
      </w:r>
      <w:r w:rsidRPr="00E8602D">
        <w:t xml:space="preserve">overall </w:t>
      </w:r>
      <w:r w:rsidR="00BF1AE5">
        <w:t xml:space="preserve">perspective </w:t>
      </w:r>
      <w:r w:rsidRPr="00E8602D">
        <w:t xml:space="preserve">since the the market cap to gdp is higher, the ivnestor base (liquidity, market depth) is completely different and the fragmented EU CSD landscape is more affected by the move to T+1 compared to the US market. Therefore, a real unified European CSD </w:t>
      </w:r>
      <w:r w:rsidR="00BF1AE5">
        <w:t>(which is realistically not in sight) w</w:t>
      </w:r>
      <w:r w:rsidRPr="00E8602D">
        <w:t xml:space="preserve">ould </w:t>
      </w:r>
      <w:r w:rsidR="00BF1AE5">
        <w:t xml:space="preserve">have the potential to </w:t>
      </w:r>
      <w:r w:rsidRPr="00E8602D">
        <w:t>solve many problems.</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2809AF6E" w14:textId="77777777" w:rsidR="00BF1AE5" w:rsidRPr="00BF1AE5" w:rsidRDefault="00BF1AE5" w:rsidP="00C5469A">
      <w:pPr>
        <w:rPr>
          <w:i/>
          <w:iCs/>
        </w:rPr>
      </w:pPr>
      <w:permStart w:id="1174998131" w:edGrp="everyone"/>
      <w:r w:rsidRPr="00BF1AE5">
        <w:rPr>
          <w:i/>
          <w:iCs/>
        </w:rPr>
        <w:lastRenderedPageBreak/>
        <w:t xml:space="preserve">bwf answers follow/adopt to a high extend the assessments and analysis by our member firm Baader Bank AG. However, in the course of ESMA’s evaluation of the CfE responses, they should be weighted as an individual contribution. </w:t>
      </w:r>
    </w:p>
    <w:p w14:paraId="3EFCD4DE" w14:textId="6991B9B6" w:rsidR="00C5469A" w:rsidRDefault="00375410" w:rsidP="00C5469A">
      <w:r w:rsidRPr="00375410">
        <w:t xml:space="preserve">Yes there </w:t>
      </w:r>
      <w:r w:rsidR="00BF1AE5">
        <w:t xml:space="preserve">definitely would be </w:t>
      </w:r>
      <w:r w:rsidRPr="00375410">
        <w:t xml:space="preserve">benefits such as less fails and less costs for margins , more liquidity and less need to hold cash in advance. In general, cross border transactions </w:t>
      </w:r>
      <w:r w:rsidR="00BF1AE5">
        <w:t>would be</w:t>
      </w:r>
      <w:r w:rsidRPr="00375410">
        <w:t xml:space="preserve"> easier to process when the settlement cycles are homogeneous</w:t>
      </w:r>
      <w:r w:rsidR="00BF1AE5">
        <w:t xml:space="preserve"> (even though, challenges remaining from different time-zones and currency conversion would obviously remain)</w:t>
      </w:r>
      <w:r w:rsidRPr="00375410">
        <w:t>.</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645AACF1" w14:textId="77777777" w:rsidR="002D6D07" w:rsidRPr="002D6D07" w:rsidRDefault="002D6D07" w:rsidP="002D6D07">
      <w:pPr>
        <w:rPr>
          <w:i/>
          <w:iCs/>
        </w:rPr>
      </w:pPr>
      <w:permStart w:id="2138049322" w:edGrp="everyone"/>
      <w:r w:rsidRPr="002D6D07">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29AA1A01" w14:textId="32816CE3" w:rsidR="00C5469A" w:rsidRDefault="00C051BF" w:rsidP="00C5469A">
      <w:r w:rsidRPr="00C051BF">
        <w:t xml:space="preserve">If </w:t>
      </w:r>
      <w:r w:rsidR="002D6D07">
        <w:t>EU</w:t>
      </w:r>
      <w:r w:rsidRPr="00C051BF">
        <w:t xml:space="preserve"> markets would switch to T+1, the EU would benefit from a harmonisation</w:t>
      </w:r>
      <w:r w:rsidR="002D6D07">
        <w:t>/keeping on track</w:t>
      </w:r>
      <w:r w:rsidRPr="00C051BF">
        <w:t xml:space="preserve"> with the </w:t>
      </w:r>
      <w:r w:rsidR="002D6D07">
        <w:t>largest securities</w:t>
      </w:r>
      <w:r w:rsidRPr="00C051BF">
        <w:t xml:space="preserve"> market - the US. Th</w:t>
      </w:r>
      <w:r w:rsidR="002D6D07">
        <w:t>is would positively affect the</w:t>
      </w:r>
      <w:r w:rsidRPr="00C051BF">
        <w:t xml:space="preserve"> attractiveness of </w:t>
      </w:r>
      <w:r w:rsidR="002D6D07">
        <w:t>EU</w:t>
      </w:r>
      <w:r w:rsidRPr="00C051BF">
        <w:t xml:space="preserve"> markets and </w:t>
      </w:r>
      <w:r w:rsidR="002D6D07">
        <w:t>and their international/global competitiveness</w:t>
      </w:r>
      <w:r w:rsidRPr="00C051BF">
        <w:t>.</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2A3B118A" w14:textId="77777777" w:rsidR="002D6D07" w:rsidRPr="002D6D07" w:rsidRDefault="002D6D07" w:rsidP="002D6D07">
      <w:pPr>
        <w:rPr>
          <w:i/>
          <w:iCs/>
        </w:rPr>
      </w:pPr>
      <w:permStart w:id="1765815298" w:edGrp="everyone"/>
      <w:r w:rsidRPr="002D6D07">
        <w:rPr>
          <w:i/>
          <w:iCs/>
        </w:rPr>
        <w:lastRenderedPageBreak/>
        <w:t xml:space="preserve">bwf answers follow/adopt to a high extend the assessments and analysis by our member firm Baader Bank AG. However, in the course of ESMA’s evaluation of the CfE responses, they should be weighted as an individual contribution. </w:t>
      </w:r>
    </w:p>
    <w:p w14:paraId="125C92C9" w14:textId="0BB1C2B3" w:rsidR="00C5469A" w:rsidRDefault="00C051BF" w:rsidP="00C5469A">
      <w:r w:rsidRPr="00C051BF">
        <w:t>Yes</w:t>
      </w:r>
      <w:r w:rsidR="000D59E4">
        <w:t>,</w:t>
      </w:r>
      <w:r w:rsidRPr="00C051BF">
        <w:t xml:space="preserve"> </w:t>
      </w:r>
      <w:r w:rsidR="000D59E4">
        <w:t>broad</w:t>
      </w:r>
      <w:r w:rsidRPr="00C051BF">
        <w:t xml:space="preserve"> </w:t>
      </w:r>
      <w:r w:rsidR="000D59E4">
        <w:t xml:space="preserve">harmonized </w:t>
      </w:r>
      <w:r w:rsidRPr="00C051BF">
        <w:t>move to T+1</w:t>
      </w:r>
      <w:r w:rsidR="000D59E4">
        <w:t xml:space="preserve"> would be desirable and significantly reduce the implementation challenges.</w:t>
      </w:r>
      <w:r w:rsidRPr="00C051BF">
        <w:t xml:space="preserve"> The switch for </w:t>
      </w:r>
      <w:r w:rsidR="002D6D07">
        <w:t>EU</w:t>
      </w:r>
      <w:r w:rsidRPr="00C051BF">
        <w:t xml:space="preserve"> markets would be easier and more efficient.</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1F71D5E7" w14:textId="77777777" w:rsidR="00C1187C" w:rsidRPr="00C1187C" w:rsidRDefault="00C1187C" w:rsidP="00C5469A">
      <w:pPr>
        <w:rPr>
          <w:i/>
          <w:iCs/>
        </w:rPr>
      </w:pPr>
      <w:permStart w:id="1934034529" w:edGrp="everyone"/>
      <w:r w:rsidRPr="00C1187C">
        <w:rPr>
          <w:i/>
          <w:iCs/>
        </w:rPr>
        <w:t xml:space="preserve">bwf answers follow/adopt to a high extend the assessments and analysis by our member firm Baader Bank AG. However, in the course of ESMA’s evaluation of the CfE responses, they should be weighted as an individual contribution. </w:t>
      </w:r>
    </w:p>
    <w:p w14:paraId="735EC91A" w14:textId="0E690185" w:rsidR="00C5469A" w:rsidRDefault="00C1187C" w:rsidP="00C5469A">
      <w:r>
        <w:t>As mentioned above, we are of the opinion that different settlement cycles would be technologically feasible. However, we strongly support a coordinated and harmonized approach in the move to T+1.</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63DB1AC0" w14:textId="77777777" w:rsidR="00C1187C" w:rsidRDefault="00C1187C" w:rsidP="00C1187C">
      <w:permStart w:id="1617899118" w:edGrp="everyone"/>
      <w:r>
        <w:t>TYPE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28B7" w14:textId="77777777" w:rsidR="008457AD" w:rsidRDefault="008457AD" w:rsidP="007E7997">
      <w:pPr>
        <w:spacing w:line="240" w:lineRule="auto"/>
      </w:pPr>
      <w:r>
        <w:separator/>
      </w:r>
    </w:p>
  </w:endnote>
  <w:endnote w:type="continuationSeparator" w:id="0">
    <w:p w14:paraId="45A82B75" w14:textId="77777777" w:rsidR="008457AD" w:rsidRDefault="008457AD" w:rsidP="007E7997">
      <w:pPr>
        <w:spacing w:line="240" w:lineRule="auto"/>
      </w:pPr>
      <w:r>
        <w:continuationSeparator/>
      </w:r>
    </w:p>
  </w:endnote>
  <w:endnote w:type="continuationNotice" w:id="1">
    <w:p w14:paraId="630E5A72" w14:textId="77777777" w:rsidR="008457AD" w:rsidRDefault="00845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111A9E6A" w:rsidR="00787413" w:rsidRPr="004E5FF8" w:rsidRDefault="0043139E" w:rsidP="004E5FF8">
        <w:pPr>
          <w:pStyle w:val="Fuzeile"/>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E8602D">
          <w:rPr>
            <w:noProof/>
            <w:lang w:val="fr-FR"/>
          </w:rPr>
          <w:t>3</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5B08FE54" w:rsidR="006A44DA" w:rsidRDefault="006A44DA" w:rsidP="00B73281">
        <w:pPr>
          <w:pStyle w:val="Fuzeile"/>
          <w:jc w:val="right"/>
        </w:pPr>
        <w:r>
          <w:fldChar w:fldCharType="begin"/>
        </w:r>
        <w:r>
          <w:instrText xml:space="preserve"> PAGE   \* MERGEFORMAT </w:instrText>
        </w:r>
        <w:r>
          <w:fldChar w:fldCharType="separate"/>
        </w:r>
        <w:r w:rsidR="00E8602D">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4BA1" w14:textId="77777777" w:rsidR="008457AD" w:rsidRDefault="008457AD" w:rsidP="007E7997">
      <w:pPr>
        <w:spacing w:line="240" w:lineRule="auto"/>
      </w:pPr>
      <w:r>
        <w:separator/>
      </w:r>
    </w:p>
  </w:footnote>
  <w:footnote w:type="continuationSeparator" w:id="0">
    <w:p w14:paraId="66A7E43A" w14:textId="77777777" w:rsidR="008457AD" w:rsidRDefault="008457AD" w:rsidP="007E7997">
      <w:pPr>
        <w:spacing w:line="240" w:lineRule="auto"/>
      </w:pPr>
      <w:r>
        <w:continuationSeparator/>
      </w:r>
    </w:p>
  </w:footnote>
  <w:footnote w:type="continuationNotice" w:id="1">
    <w:p w14:paraId="4F1D7160" w14:textId="77777777" w:rsidR="008457AD" w:rsidRDefault="00845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Kopfzeile"/>
      <w:rPr>
        <w:bCs/>
        <w:caps/>
        <w:color w:val="FF0000" w:themeColor="accent6"/>
        <w:sz w:val="22"/>
      </w:rPr>
    </w:pPr>
    <w:r w:rsidRPr="008858FE">
      <w:rPr>
        <w:rStyle w:val="ESMAConfidentialRestricted"/>
        <w:noProof/>
        <w:lang w:val="de-DE" w:eastAsia="de-DE"/>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Kopfzeile"/>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Kopfzeile"/>
    </w:pPr>
  </w:p>
  <w:p w14:paraId="6A43EA5E" w14:textId="4A830C83" w:rsidR="00AD0B10" w:rsidRDefault="00AD0B10" w:rsidP="0043139E">
    <w:pPr>
      <w:pStyle w:val="Kopfzeile"/>
    </w:pPr>
  </w:p>
  <w:p w14:paraId="2083DACE" w14:textId="77777777" w:rsidR="00AD0B10" w:rsidRPr="0043139E" w:rsidRDefault="00AD0B10" w:rsidP="0043139E">
    <w:pPr>
      <w:pStyle w:val="Kopfzeile"/>
    </w:pPr>
  </w:p>
  <w:p w14:paraId="140A363C" w14:textId="77777777" w:rsidR="006A44DA" w:rsidRPr="0043139E" w:rsidRDefault="006A44DA" w:rsidP="0043139E">
    <w:pPr>
      <w:pStyle w:val="Kopfzeile"/>
    </w:pPr>
  </w:p>
  <w:p w14:paraId="66CF4BF9" w14:textId="4F625EE8" w:rsidR="006A44DA" w:rsidRPr="0043139E" w:rsidRDefault="008858FE" w:rsidP="0043139E">
    <w:pPr>
      <w:pStyle w:val="Kopfzeile"/>
      <w:rPr>
        <w:rStyle w:val="ESMARegularuse"/>
        <w:bCs w:val="0"/>
        <w:caps w:val="0"/>
        <w:color w:val="001B4F" w:themeColor="text1" w:themeShade="80"/>
        <w:sz w:val="16"/>
      </w:rPr>
    </w:pPr>
    <w:r w:rsidRPr="0043139E">
      <w:rPr>
        <w:rStyle w:val="ESMARegularuse"/>
        <w:bCs w:val="0"/>
        <w:caps w:val="0"/>
        <w:noProof/>
        <w:color w:val="001B4F" w:themeColor="text1" w:themeShade="80"/>
        <w:sz w:val="16"/>
        <w:lang w:val="de-DE" w:eastAsia="de-DE"/>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Kopfzeile"/>
    </w:pPr>
  </w:p>
  <w:p w14:paraId="70942C9C" w14:textId="77777777" w:rsidR="00672010" w:rsidRPr="0043139E" w:rsidRDefault="00672010" w:rsidP="0043139E">
    <w:pPr>
      <w:pStyle w:val="Kopfzeile"/>
    </w:pPr>
  </w:p>
  <w:p w14:paraId="7F8040EC" w14:textId="77777777" w:rsidR="0018540C" w:rsidRPr="0043139E" w:rsidRDefault="0018540C" w:rsidP="0043139E">
    <w:pPr>
      <w:pStyle w:val="Kopfzeile"/>
    </w:pPr>
  </w:p>
  <w:p w14:paraId="76479F6F" w14:textId="77777777" w:rsidR="00CA565A" w:rsidRPr="0043139E" w:rsidRDefault="00CA565A" w:rsidP="0043139E">
    <w:pPr>
      <w:pStyle w:val="Kopfzeile"/>
    </w:pPr>
  </w:p>
  <w:p w14:paraId="34BC4F59" w14:textId="77777777" w:rsidR="00CA565A" w:rsidRPr="0043139E" w:rsidRDefault="00CA565A" w:rsidP="0043139E">
    <w:pPr>
      <w:pStyle w:val="Kopfzeile"/>
    </w:pPr>
  </w:p>
  <w:p w14:paraId="373CE412" w14:textId="77777777" w:rsidR="0018540C" w:rsidRPr="0043139E" w:rsidRDefault="0018540C" w:rsidP="0043139E">
    <w:pPr>
      <w:pStyle w:val="Kopfzeile"/>
    </w:pPr>
  </w:p>
  <w:p w14:paraId="36065F1B" w14:textId="154438DA" w:rsidR="0018540C" w:rsidRDefault="0018540C" w:rsidP="0043139E">
    <w:pPr>
      <w:pStyle w:val="Kopfzeile"/>
    </w:pPr>
  </w:p>
  <w:p w14:paraId="7545C91A" w14:textId="77777777" w:rsidR="0043139E" w:rsidRPr="0043139E" w:rsidRDefault="0043139E" w:rsidP="004313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Kopfzeile"/>
    </w:pPr>
  </w:p>
  <w:p w14:paraId="410BE8FC" w14:textId="77777777" w:rsidR="006A44DA" w:rsidRDefault="006A44DA">
    <w:pPr>
      <w:pStyle w:val="Kopfzeile"/>
    </w:pPr>
  </w:p>
  <w:p w14:paraId="00F5D8E1" w14:textId="77777777" w:rsidR="006A44DA" w:rsidRDefault="006A44DA">
    <w:pPr>
      <w:pStyle w:val="Kopfzeile"/>
    </w:pPr>
    <w:r>
      <w:rPr>
        <w:noProof/>
        <w:lang w:val="de-DE" w:eastAsia="de-DE"/>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Kopfzeile"/>
    </w:pPr>
  </w:p>
  <w:p w14:paraId="76D78551" w14:textId="45227A06" w:rsidR="00AD0B10" w:rsidRDefault="00AD0B10" w:rsidP="00AD0B10">
    <w:pPr>
      <w:pStyle w:val="Kopfzeile"/>
    </w:pPr>
  </w:p>
  <w:p w14:paraId="56B00CEC" w14:textId="77777777" w:rsidR="00AD0B10" w:rsidRPr="0043139E" w:rsidRDefault="00AD0B10" w:rsidP="00AD0B10">
    <w:pPr>
      <w:pStyle w:val="Kopfzeile"/>
    </w:pPr>
  </w:p>
  <w:p w14:paraId="68227DE6" w14:textId="77777777" w:rsidR="00AD0B10" w:rsidRPr="0043139E" w:rsidRDefault="00AD0B10" w:rsidP="00AD0B10">
    <w:pPr>
      <w:pStyle w:val="Kopfzeile"/>
    </w:pPr>
  </w:p>
  <w:p w14:paraId="0E44DBD1" w14:textId="77777777" w:rsidR="00AD0B10" w:rsidRPr="0043139E" w:rsidRDefault="00AD0B10" w:rsidP="00AD0B10">
    <w:pPr>
      <w:pStyle w:val="Kopfzeile"/>
      <w:rPr>
        <w:rStyle w:val="ESMARegularuse"/>
        <w:bCs w:val="0"/>
        <w:caps w:val="0"/>
        <w:color w:val="001B4F" w:themeColor="text1" w:themeShade="80"/>
        <w:sz w:val="16"/>
      </w:rPr>
    </w:pPr>
    <w:r w:rsidRPr="0043139E">
      <w:rPr>
        <w:rStyle w:val="ESMARegularuse"/>
        <w:bCs w:val="0"/>
        <w:caps w:val="0"/>
        <w:noProof/>
        <w:color w:val="001B4F" w:themeColor="text1" w:themeShade="80"/>
        <w:sz w:val="16"/>
        <w:lang w:val="de-DE" w:eastAsia="de-DE"/>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Kopfzeile"/>
    </w:pPr>
  </w:p>
  <w:p w14:paraId="706EF268" w14:textId="77777777" w:rsidR="00AD0B10" w:rsidRPr="0043139E" w:rsidRDefault="00AD0B10" w:rsidP="00AD0B10">
    <w:pPr>
      <w:pStyle w:val="Kopfzeile"/>
    </w:pPr>
  </w:p>
  <w:p w14:paraId="6B568202" w14:textId="77777777" w:rsidR="00AD0B10" w:rsidRPr="0043139E" w:rsidRDefault="00AD0B10" w:rsidP="00AD0B10">
    <w:pPr>
      <w:pStyle w:val="Kopfzeile"/>
    </w:pPr>
  </w:p>
  <w:p w14:paraId="70C66BCD" w14:textId="77777777" w:rsidR="00AD0B10" w:rsidRPr="0043139E" w:rsidRDefault="00AD0B10" w:rsidP="00AD0B10">
    <w:pPr>
      <w:pStyle w:val="Kopfzeile"/>
    </w:pPr>
  </w:p>
  <w:p w14:paraId="07229907" w14:textId="77777777" w:rsidR="00AD0B10" w:rsidRPr="0043139E" w:rsidRDefault="00AD0B10" w:rsidP="00AD0B10">
    <w:pPr>
      <w:pStyle w:val="Kopfzeile"/>
    </w:pPr>
  </w:p>
  <w:p w14:paraId="55555744" w14:textId="77777777" w:rsidR="00AD0B10" w:rsidRPr="0043139E" w:rsidRDefault="00AD0B10" w:rsidP="00AD0B10">
    <w:pPr>
      <w:pStyle w:val="Kopfzeile"/>
    </w:pPr>
  </w:p>
  <w:p w14:paraId="4601AE9C" w14:textId="77777777" w:rsidR="00AD0B10" w:rsidRDefault="00AD0B10" w:rsidP="00AD0B10">
    <w:pPr>
      <w:pStyle w:val="Kopfzeile"/>
    </w:pPr>
  </w:p>
  <w:p w14:paraId="49946785" w14:textId="77777777" w:rsidR="00AD0B10" w:rsidRPr="0043139E" w:rsidRDefault="00AD0B10" w:rsidP="00AD0B10">
    <w:pPr>
      <w:pStyle w:val="Kopfzeile"/>
    </w:pPr>
  </w:p>
  <w:p w14:paraId="72BAD19F" w14:textId="77777777" w:rsidR="008858FE" w:rsidRPr="00AD0B10" w:rsidRDefault="008858FE" w:rsidP="00AD0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enabsatz"/>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berschrift1"/>
      <w:lvlText w:val="%1"/>
      <w:lvlJc w:val="left"/>
      <w:pPr>
        <w:ind w:left="4686" w:hanging="432"/>
      </w:pPr>
    </w:lvl>
    <w:lvl w:ilvl="1">
      <w:start w:val="1"/>
      <w:numFmt w:val="decimal"/>
      <w:pStyle w:val="berschrift2"/>
      <w:lvlText w:val="%1.%2"/>
      <w:lvlJc w:val="left"/>
      <w:pPr>
        <w:ind w:left="823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558554">
    <w:abstractNumId w:val="11"/>
  </w:num>
  <w:num w:numId="2" w16cid:durableId="1002661217">
    <w:abstractNumId w:val="4"/>
  </w:num>
  <w:num w:numId="3" w16cid:durableId="661736293">
    <w:abstractNumId w:val="9"/>
  </w:num>
  <w:num w:numId="4" w16cid:durableId="1644237006">
    <w:abstractNumId w:val="3"/>
  </w:num>
  <w:num w:numId="5" w16cid:durableId="1866627858">
    <w:abstractNumId w:val="0"/>
  </w:num>
  <w:num w:numId="6" w16cid:durableId="654452030">
    <w:abstractNumId w:val="5"/>
  </w:num>
  <w:num w:numId="7" w16cid:durableId="2040861875">
    <w:abstractNumId w:val="12"/>
  </w:num>
  <w:num w:numId="8" w16cid:durableId="2039770694">
    <w:abstractNumId w:val="2"/>
  </w:num>
  <w:num w:numId="9" w16cid:durableId="1389567832">
    <w:abstractNumId w:val="10"/>
  </w:num>
  <w:num w:numId="10" w16cid:durableId="2142527327">
    <w:abstractNumId w:val="8"/>
  </w:num>
  <w:num w:numId="11" w16cid:durableId="711422594">
    <w:abstractNumId w:val="7"/>
  </w:num>
  <w:num w:numId="12" w16cid:durableId="1087658248">
    <w:abstractNumId w:val="7"/>
    <w:lvlOverride w:ilvl="0">
      <w:startOverride w:val="1"/>
    </w:lvlOverride>
  </w:num>
  <w:num w:numId="13" w16cid:durableId="681132800">
    <w:abstractNumId w:val="1"/>
  </w:num>
  <w:num w:numId="14" w16cid:durableId="1507741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63316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0E1B"/>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59E4"/>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5AB"/>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4EF3"/>
    <w:rsid w:val="002B59F0"/>
    <w:rsid w:val="002B5B01"/>
    <w:rsid w:val="002B6654"/>
    <w:rsid w:val="002B698F"/>
    <w:rsid w:val="002B73FB"/>
    <w:rsid w:val="002B7497"/>
    <w:rsid w:val="002B76FE"/>
    <w:rsid w:val="002B7955"/>
    <w:rsid w:val="002B7A04"/>
    <w:rsid w:val="002B7F6D"/>
    <w:rsid w:val="002C06CE"/>
    <w:rsid w:val="002C1530"/>
    <w:rsid w:val="002C1C33"/>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6D07"/>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19"/>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5B27"/>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65"/>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A4B"/>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410"/>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683E"/>
    <w:rsid w:val="003876C9"/>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4E6C"/>
    <w:rsid w:val="003F5A11"/>
    <w:rsid w:val="003F5B77"/>
    <w:rsid w:val="003F61D7"/>
    <w:rsid w:val="003F6288"/>
    <w:rsid w:val="003F66CD"/>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44D2"/>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51F"/>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BD2"/>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2DC"/>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35"/>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0BF"/>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449"/>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85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1542"/>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5CD7"/>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7AD"/>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394"/>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37C"/>
    <w:rsid w:val="008F54C4"/>
    <w:rsid w:val="008F591C"/>
    <w:rsid w:val="008F59AE"/>
    <w:rsid w:val="008F5C27"/>
    <w:rsid w:val="008F789B"/>
    <w:rsid w:val="00900377"/>
    <w:rsid w:val="0090046C"/>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2E3"/>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86A"/>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11"/>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AE5"/>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1BF"/>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7C"/>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3D"/>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2D5F"/>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5E1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47A"/>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02D"/>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9B4"/>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524"/>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2FCF"/>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2F1"/>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A90"/>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892"/>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43B"/>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4A5"/>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347A"/>
    <w:pPr>
      <w:spacing w:after="250" w:line="276" w:lineRule="auto"/>
      <w:jc w:val="both"/>
    </w:pPr>
    <w:rPr>
      <w:color w:val="181818" w:themeColor="background1" w:themeShade="1A"/>
      <w:sz w:val="22"/>
      <w:lang w:val="en-GB"/>
    </w:rPr>
  </w:style>
  <w:style w:type="paragraph" w:styleId="berschrift1">
    <w:name w:val="heading 1"/>
    <w:basedOn w:val="Standard"/>
    <w:next w:val="Standard"/>
    <w:link w:val="berschrift1Zchn"/>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berschrift2">
    <w:name w:val="heading 2"/>
    <w:basedOn w:val="Standard"/>
    <w:next w:val="Standard"/>
    <w:link w:val="berschrift2Zchn"/>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berschrift3">
    <w:name w:val="heading 3"/>
    <w:basedOn w:val="Standard"/>
    <w:next w:val="Standard"/>
    <w:link w:val="berschrift3Zchn"/>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berschrift7">
    <w:name w:val="heading 7"/>
    <w:basedOn w:val="Standard"/>
    <w:next w:val="Standard"/>
    <w:link w:val="berschrift7Zchn"/>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berschrift8">
    <w:name w:val="heading 8"/>
    <w:basedOn w:val="Standard"/>
    <w:next w:val="Standard"/>
    <w:link w:val="berschrift8Zchn"/>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berschrift9">
    <w:name w:val="heading 9"/>
    <w:basedOn w:val="Standard"/>
    <w:next w:val="Standard"/>
    <w:link w:val="berschrift9Zchn"/>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berschrift3Zchn">
    <w:name w:val="Überschrift 3 Zchn"/>
    <w:basedOn w:val="Absatz-Standardschriftart"/>
    <w:link w:val="berschrift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berschrift1Zchn">
    <w:name w:val="Überschrift 1 Zchn"/>
    <w:basedOn w:val="Absatz-Standardschriftart"/>
    <w:link w:val="berschrift1"/>
    <w:uiPriority w:val="9"/>
    <w:rsid w:val="0082744A"/>
    <w:rPr>
      <w:rFonts w:asciiTheme="majorHAnsi" w:eastAsiaTheme="majorEastAsia" w:hAnsiTheme="majorHAnsi" w:cstheme="majorBidi"/>
      <w:b/>
      <w:color w:val="00379F" w:themeColor="text1"/>
      <w:sz w:val="32"/>
      <w:szCs w:val="32"/>
      <w:lang w:val="en-GB"/>
    </w:rPr>
  </w:style>
  <w:style w:type="character" w:customStyle="1" w:styleId="berschrift2Zchn">
    <w:name w:val="Überschrift 2 Zchn"/>
    <w:basedOn w:val="Absatz-Standardschriftart"/>
    <w:link w:val="berschrift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qFormat/>
    <w:rsid w:val="00F205B9"/>
    <w:pPr>
      <w:numPr>
        <w:numId w:val="0"/>
      </w:numPr>
      <w:ind w:left="792" w:hanging="432"/>
    </w:pPr>
    <w:rPr>
      <w:b/>
      <w:color w:val="00379F" w:themeColor="text1"/>
      <w:sz w:val="28"/>
    </w:rPr>
  </w:style>
  <w:style w:type="character" w:customStyle="1" w:styleId="Title1Char">
    <w:name w:val="Title 1 Char"/>
    <w:basedOn w:val="Absatz-Standardschriftart"/>
    <w:link w:val="Title1"/>
    <w:rsid w:val="00F205B9"/>
    <w:rPr>
      <w:rFonts w:asciiTheme="majorHAnsi" w:hAnsiTheme="majorHAnsi" w:cstheme="majorHAnsi"/>
      <w:b/>
      <w:color w:val="00379F" w:themeColor="text1"/>
      <w:sz w:val="28"/>
      <w:szCs w:val="22"/>
      <w:lang w:val="pt-PT"/>
    </w:rPr>
  </w:style>
  <w:style w:type="paragraph" w:styleId="Listenabsatz">
    <w:name w:val="List Paragraph"/>
    <w:aliases w:val="Paragraphe EI,Paragraphe de liste1,EC"/>
    <w:basedOn w:val="Standard"/>
    <w:link w:val="ListenabsatzZchn"/>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enabsatz"/>
    <w:link w:val="Title3Char"/>
    <w:autoRedefine/>
    <w:rsid w:val="00F205B9"/>
    <w:pPr>
      <w:numPr>
        <w:ilvl w:val="3"/>
        <w:numId w:val="4"/>
      </w:numPr>
    </w:pPr>
  </w:style>
  <w:style w:type="character" w:customStyle="1" w:styleId="Title3Char">
    <w:name w:val="Title 3 Char"/>
    <w:basedOn w:val="Absatz-Standardschriftar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Standard"/>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Absatz-Standardschriftart"/>
    <w:link w:val="DocumentTitle"/>
    <w:rsid w:val="00563C1F"/>
    <w:rPr>
      <w:rFonts w:asciiTheme="majorHAnsi" w:hAnsiTheme="majorHAnsi"/>
      <w:b/>
      <w:color w:val="2D4190"/>
      <w:sz w:val="48"/>
      <w:lang w:val="en-GB"/>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color w:val="181818" w:themeColor="background1" w:themeShade="1A"/>
      <w:sz w:val="22"/>
      <w:szCs w:val="22"/>
      <w:lang w:val="en-GB"/>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spacing w:after="0"/>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el">
    <w:name w:val="Title"/>
    <w:basedOn w:val="Standard"/>
    <w:next w:val="Standard"/>
    <w:link w:val="TitelZchn"/>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elZchn">
    <w:name w:val="Titel Zchn"/>
    <w:basedOn w:val="Absatz-Standardschriftart"/>
    <w:link w:val="Titel"/>
    <w:uiPriority w:val="10"/>
    <w:rsid w:val="00516CBA"/>
    <w:rPr>
      <w:rFonts w:asciiTheme="majorHAnsi" w:eastAsiaTheme="majorEastAsia" w:hAnsiTheme="majorHAnsi" w:cstheme="majorBidi"/>
      <w:b/>
      <w:color w:val="00379F" w:themeColor="text1"/>
      <w:spacing w:val="-10"/>
      <w:sz w:val="56"/>
      <w:szCs w:val="56"/>
      <w:lang w:val="en-GB"/>
    </w:rPr>
  </w:style>
  <w:style w:type="paragraph" w:styleId="Untertitel">
    <w:name w:val="Subtitle"/>
    <w:basedOn w:val="Standard"/>
    <w:next w:val="Standard"/>
    <w:link w:val="UntertitelZchn"/>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UntertitelZchn">
    <w:name w:val="Untertitel Zchn"/>
    <w:basedOn w:val="Absatz-Standardschriftart"/>
    <w:link w:val="Untertitel"/>
    <w:uiPriority w:val="11"/>
    <w:rsid w:val="0082744A"/>
    <w:rPr>
      <w:rFonts w:asciiTheme="majorHAnsi" w:eastAsiaTheme="majorEastAsia" w:hAnsiTheme="majorHAnsi" w:cstheme="majorBidi"/>
      <w:sz w:val="28"/>
      <w:szCs w:val="24"/>
      <w:lang w:val="en-GB"/>
    </w:rPr>
  </w:style>
  <w:style w:type="character" w:customStyle="1" w:styleId="berschrift7Zchn">
    <w:name w:val="Überschrift 7 Zchn"/>
    <w:basedOn w:val="Absatz-Standardschriftart"/>
    <w:link w:val="berschrift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berschrift8Zchn">
    <w:name w:val="Überschrift 8 Zchn"/>
    <w:basedOn w:val="Absatz-Standardschriftart"/>
    <w:link w:val="berschrift8"/>
    <w:uiPriority w:val="9"/>
    <w:semiHidden/>
    <w:rsid w:val="00AA054E"/>
    <w:rPr>
      <w:rFonts w:asciiTheme="majorHAnsi" w:eastAsiaTheme="majorEastAsia" w:hAnsiTheme="majorHAnsi" w:cstheme="majorBidi"/>
      <w:b/>
      <w:bCs/>
      <w:color w:val="007EFF" w:themeColor="text2"/>
      <w:sz w:val="22"/>
      <w:lang w:val="en-GB"/>
    </w:rPr>
  </w:style>
  <w:style w:type="character" w:customStyle="1" w:styleId="berschrift9Zchn">
    <w:name w:val="Überschrift 9 Zchn"/>
    <w:basedOn w:val="Absatz-Standardschriftart"/>
    <w:link w:val="berschrift9"/>
    <w:uiPriority w:val="9"/>
    <w:semiHidden/>
    <w:rsid w:val="00AA054E"/>
    <w:rPr>
      <w:rFonts w:asciiTheme="majorHAnsi" w:eastAsiaTheme="majorEastAsia" w:hAnsiTheme="majorHAnsi" w:cstheme="majorBidi"/>
      <w:b/>
      <w:bCs/>
      <w:i/>
      <w:iCs/>
      <w:color w:val="007EFF" w:themeColor="text2"/>
      <w:sz w:val="22"/>
      <w:lang w:val="en-GB"/>
    </w:rPr>
  </w:style>
  <w:style w:type="paragraph" w:styleId="Beschriftung">
    <w:name w:val="caption"/>
    <w:basedOn w:val="Standard"/>
    <w:next w:val="Standard"/>
    <w:uiPriority w:val="35"/>
    <w:semiHidden/>
    <w:unhideWhenUsed/>
    <w:qFormat/>
    <w:rsid w:val="00AA054E"/>
    <w:pPr>
      <w:spacing w:line="240" w:lineRule="auto"/>
    </w:pPr>
    <w:rPr>
      <w:b/>
      <w:bCs/>
      <w:smallCaps/>
      <w:color w:val="1A69FF" w:themeColor="text1" w:themeTint="A6"/>
      <w:spacing w:val="6"/>
    </w:rPr>
  </w:style>
  <w:style w:type="character" w:styleId="Fett">
    <w:name w:val="Strong"/>
    <w:basedOn w:val="Absatz-Standardschriftart"/>
    <w:uiPriority w:val="22"/>
    <w:qFormat/>
    <w:rsid w:val="00AA054E"/>
    <w:rPr>
      <w:b/>
      <w:bCs/>
    </w:rPr>
  </w:style>
  <w:style w:type="character" w:styleId="Hervorhebung">
    <w:name w:val="Emphasis"/>
    <w:basedOn w:val="Absatz-Standardschriftart"/>
    <w:uiPriority w:val="20"/>
    <w:qFormat/>
    <w:rsid w:val="00AA054E"/>
    <w:rPr>
      <w:i/>
      <w:iCs/>
    </w:rPr>
  </w:style>
  <w:style w:type="paragraph" w:styleId="Zitat">
    <w:name w:val="Quote"/>
    <w:basedOn w:val="Standard"/>
    <w:next w:val="Standard"/>
    <w:link w:val="ZitatZchn"/>
    <w:uiPriority w:val="29"/>
    <w:qFormat/>
    <w:rsid w:val="00AA054E"/>
    <w:pPr>
      <w:spacing w:before="160"/>
      <w:ind w:left="720" w:right="720"/>
    </w:pPr>
    <w:rPr>
      <w:i/>
      <w:iCs/>
      <w:color w:val="0055F7" w:themeColor="text1" w:themeTint="BF"/>
    </w:rPr>
  </w:style>
  <w:style w:type="character" w:customStyle="1" w:styleId="ZitatZchn">
    <w:name w:val="Zitat Zchn"/>
    <w:basedOn w:val="Absatz-Standardschriftart"/>
    <w:link w:val="Zitat"/>
    <w:uiPriority w:val="29"/>
    <w:rsid w:val="00AA054E"/>
    <w:rPr>
      <w:i/>
      <w:iCs/>
      <w:color w:val="0055F7" w:themeColor="text1" w:themeTint="BF"/>
    </w:rPr>
  </w:style>
  <w:style w:type="paragraph" w:styleId="IntensivesZitat">
    <w:name w:val="Intense Quote"/>
    <w:basedOn w:val="Standard"/>
    <w:next w:val="Standard"/>
    <w:link w:val="IntensivesZitatZchn"/>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34009F" w:themeColor="accent1"/>
      <w:sz w:val="28"/>
      <w:szCs w:val="28"/>
    </w:rPr>
  </w:style>
  <w:style w:type="character" w:styleId="SchwacheHervorhebung">
    <w:name w:val="Subtle Emphasis"/>
    <w:basedOn w:val="Absatz-Standardschriftart"/>
    <w:uiPriority w:val="19"/>
    <w:qFormat/>
    <w:rsid w:val="00AA054E"/>
    <w:rPr>
      <w:i/>
      <w:iCs/>
      <w:color w:val="0055F7" w:themeColor="text1" w:themeTint="BF"/>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0055F7" w:themeColor="text1" w:themeTint="BF"/>
      <w:u w:val="single" w:color="4E8BFF" w:themeColor="text1" w:themeTint="80"/>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F205B9"/>
    <w:pPr>
      <w:numPr>
        <w:numId w:val="0"/>
      </w:num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KopfzeileZchn">
    <w:name w:val="Kopfzeile Zchn"/>
    <w:basedOn w:val="Absatz-Standardschriftart"/>
    <w:link w:val="Kopfzeile"/>
    <w:rsid w:val="00AF6B1E"/>
    <w:rPr>
      <w:color w:val="001B4F" w:themeColor="text1" w:themeShade="80"/>
      <w:sz w:val="16"/>
      <w:lang w:val="en-GB"/>
    </w:rPr>
  </w:style>
  <w:style w:type="paragraph" w:styleId="Fuzeile">
    <w:name w:val="footer"/>
    <w:basedOn w:val="Standard"/>
    <w:link w:val="FuzeileZchn"/>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uzeileZchn">
    <w:name w:val="Fußzeile Zchn"/>
    <w:basedOn w:val="Absatz-Standardschriftart"/>
    <w:link w:val="Fuzeile"/>
    <w:uiPriority w:val="99"/>
    <w:rsid w:val="004E5FF8"/>
    <w:rPr>
      <w:color w:val="001B4F" w:themeColor="text1" w:themeShade="80"/>
      <w:sz w:val="16"/>
      <w:lang w:val="en-GB"/>
    </w:rPr>
  </w:style>
  <w:style w:type="paragraph" w:customStyle="1" w:styleId="00aPagenumber">
    <w:name w:val="00a_Page number"/>
    <w:basedOn w:val="Standar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Standard"/>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Verzeichnis1">
    <w:name w:val="toc 1"/>
    <w:basedOn w:val="Standard"/>
    <w:next w:val="Standard"/>
    <w:uiPriority w:val="39"/>
    <w:unhideWhenUsed/>
    <w:qFormat/>
    <w:rsid w:val="00F205B9"/>
    <w:pPr>
      <w:framePr w:hSpace="180" w:wrap="around" w:vAnchor="text" w:hAnchor="margin" w:y="115"/>
      <w:tabs>
        <w:tab w:val="left" w:pos="440"/>
        <w:tab w:val="right" w:leader="dot" w:pos="9062"/>
      </w:tabs>
      <w:spacing w:after="100"/>
    </w:pPr>
  </w:style>
  <w:style w:type="paragraph" w:styleId="Verzeichnis2">
    <w:name w:val="toc 2"/>
    <w:basedOn w:val="Verzeichnis1"/>
    <w:next w:val="Standard"/>
    <w:uiPriority w:val="39"/>
    <w:unhideWhenUsed/>
    <w:qFormat/>
    <w:rsid w:val="00F205B9"/>
    <w:pPr>
      <w:framePr w:wrap="around"/>
      <w:tabs>
        <w:tab w:val="right" w:leader="dot" w:pos="440"/>
      </w:tabs>
      <w:ind w:left="220"/>
    </w:pPr>
  </w:style>
  <w:style w:type="paragraph" w:styleId="Verzeichnis3">
    <w:name w:val="toc 3"/>
    <w:basedOn w:val="Verzeichnis1"/>
    <w:next w:val="Standard"/>
    <w:uiPriority w:val="39"/>
    <w:unhideWhenUsed/>
    <w:qFormat/>
    <w:rsid w:val="00AD0B10"/>
    <w:pPr>
      <w:framePr w:wrap="around"/>
      <w:ind w:left="442"/>
    </w:pPr>
  </w:style>
  <w:style w:type="character" w:styleId="Hyperlink">
    <w:name w:val="Hyperlink"/>
    <w:basedOn w:val="Absatz-Standardschriftart"/>
    <w:uiPriority w:val="99"/>
    <w:unhideWhenUsed/>
    <w:qFormat/>
    <w:rsid w:val="000C1E78"/>
    <w:rPr>
      <w:color w:val="005EBF" w:themeColor="text2" w:themeShade="BF"/>
      <w:u w:val="single"/>
    </w:rPr>
  </w:style>
  <w:style w:type="paragraph" w:customStyle="1" w:styleId="Questionstyle">
    <w:name w:val="Question style"/>
    <w:basedOn w:val="Standard"/>
    <w:next w:val="Standard"/>
    <w:link w:val="QuestionstyleChar"/>
    <w:autoRedefine/>
    <w:qFormat/>
    <w:rsid w:val="00C5469A"/>
    <w:pPr>
      <w:tabs>
        <w:tab w:val="left" w:pos="567"/>
      </w:tabs>
      <w:ind w:hanging="360"/>
      <w:contextualSpacing/>
    </w:pPr>
    <w:rPr>
      <w:b/>
    </w:rPr>
  </w:style>
  <w:style w:type="character" w:customStyle="1" w:styleId="QuestionstyleChar">
    <w:name w:val="Question style Char"/>
    <w:basedOn w:val="Absatz-Standardschriftart"/>
    <w:link w:val="Questionstyle"/>
    <w:rsid w:val="00C5469A"/>
    <w:rPr>
      <w:b/>
      <w:color w:val="181818" w:themeColor="background1" w:themeShade="1A"/>
      <w:sz w:val="22"/>
      <w:lang w:val="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pPr>
      <w:spacing w:after="0" w:line="240" w:lineRule="auto"/>
    </w:pPr>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basedOn w:val="Standard"/>
    <w:link w:val="FunotentextZchn"/>
    <w:autoRedefine/>
    <w:uiPriority w:val="99"/>
    <w:unhideWhenUsed/>
    <w:qFormat/>
    <w:rsid w:val="007A1A9D"/>
    <w:pPr>
      <w:spacing w:after="0" w:line="240" w:lineRule="auto"/>
    </w:pPr>
    <w:rPr>
      <w:sz w:val="16"/>
    </w:rPr>
  </w:style>
  <w:style w:type="character" w:customStyle="1" w:styleId="FunotentextZchn">
    <w:name w:val="Fußnotentext Zchn"/>
    <w:basedOn w:val="Absatz-Standardschriftart"/>
    <w:link w:val="Funotentext"/>
    <w:uiPriority w:val="99"/>
    <w:rsid w:val="007A1A9D"/>
    <w:rPr>
      <w:color w:val="181818" w:themeColor="background1" w:themeShade="1A"/>
      <w:sz w:val="16"/>
      <w:lang w:val="en-GB"/>
    </w:rPr>
  </w:style>
  <w:style w:type="character" w:styleId="Funotenzeichen">
    <w:name w:val="footnote reference"/>
    <w:basedOn w:val="Absatz-Standardschriftart"/>
    <w:uiPriority w:val="99"/>
    <w:semiHidden/>
    <w:unhideWhenUsed/>
    <w:qFormat/>
    <w:rsid w:val="00A91D91"/>
    <w:rPr>
      <w:rFonts w:asciiTheme="majorHAnsi" w:hAnsiTheme="majorHAnsi"/>
      <w:sz w:val="16"/>
      <w:vertAlign w:val="superscript"/>
    </w:rPr>
  </w:style>
  <w:style w:type="paragraph" w:customStyle="1" w:styleId="Footnote">
    <w:name w:val="Footnote"/>
    <w:basedOn w:val="Funotentext"/>
    <w:link w:val="FootnoteChar"/>
    <w:qFormat/>
    <w:rsid w:val="00672C04"/>
    <w:pPr>
      <w:ind w:left="454" w:hanging="454"/>
    </w:pPr>
    <w:rPr>
      <w:lang w:val="nl-BE"/>
    </w:rPr>
  </w:style>
  <w:style w:type="character" w:customStyle="1" w:styleId="FootnoteChar">
    <w:name w:val="Footnote Char"/>
    <w:basedOn w:val="FunotentextZchn"/>
    <w:link w:val="Footnote"/>
    <w:rsid w:val="00672C04"/>
    <w:rPr>
      <w:color w:val="181818" w:themeColor="background1" w:themeShade="1A"/>
      <w:sz w:val="16"/>
      <w:lang w:val="en-GB"/>
    </w:rPr>
  </w:style>
  <w:style w:type="table" w:customStyle="1" w:styleId="GridTable4-Accent11">
    <w:name w:val="Grid Table 4 - Accent 11"/>
    <w:basedOn w:val="NormaleTabelle"/>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Sprechblasentext">
    <w:name w:val="Balloon Text"/>
    <w:basedOn w:val="Standard"/>
    <w:link w:val="SprechblasentextZchn"/>
    <w:uiPriority w:val="99"/>
    <w:semiHidden/>
    <w:unhideWhenUsed/>
    <w:rsid w:val="00715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1BF"/>
    <w:rPr>
      <w:rFonts w:ascii="Tahoma" w:hAnsi="Tahoma" w:cs="Tahoma"/>
      <w:sz w:val="16"/>
      <w:szCs w:val="16"/>
      <w:lang w:val="en-GB"/>
    </w:rPr>
  </w:style>
  <w:style w:type="paragraph" w:styleId="Verzeichnis4">
    <w:name w:val="toc 4"/>
    <w:basedOn w:val="Verzeichnis1"/>
    <w:next w:val="Standard"/>
    <w:uiPriority w:val="39"/>
    <w:unhideWhenUsed/>
    <w:qFormat/>
    <w:rsid w:val="00F205B9"/>
    <w:pPr>
      <w:framePr w:wrap="around"/>
      <w:ind w:left="660"/>
    </w:pPr>
  </w:style>
  <w:style w:type="character" w:styleId="Kommentarzeichen">
    <w:name w:val="annotation reference"/>
    <w:basedOn w:val="Absatz-Standardschriftart"/>
    <w:uiPriority w:val="99"/>
    <w:semiHidden/>
    <w:unhideWhenUsed/>
    <w:rsid w:val="00D33C31"/>
    <w:rPr>
      <w:sz w:val="16"/>
      <w:szCs w:val="16"/>
    </w:rPr>
  </w:style>
  <w:style w:type="paragraph" w:styleId="Kommentartext">
    <w:name w:val="annotation text"/>
    <w:basedOn w:val="Standard"/>
    <w:link w:val="KommentartextZchn"/>
    <w:uiPriority w:val="99"/>
    <w:unhideWhenUsed/>
    <w:rsid w:val="00D33C31"/>
    <w:pPr>
      <w:spacing w:line="240" w:lineRule="auto"/>
    </w:pPr>
    <w:rPr>
      <w:sz w:val="20"/>
    </w:rPr>
  </w:style>
  <w:style w:type="character" w:customStyle="1" w:styleId="KommentartextZchn">
    <w:name w:val="Kommentartext Zchn"/>
    <w:basedOn w:val="Absatz-Standardschriftart"/>
    <w:link w:val="Kommentartext"/>
    <w:uiPriority w:val="99"/>
    <w:rsid w:val="00D33C31"/>
    <w:rPr>
      <w:lang w:val="en-GB"/>
    </w:rPr>
  </w:style>
  <w:style w:type="paragraph" w:styleId="Kommentarthema">
    <w:name w:val="annotation subject"/>
    <w:basedOn w:val="Kommentartext"/>
    <w:next w:val="Kommentartext"/>
    <w:link w:val="KommentarthemaZchn"/>
    <w:uiPriority w:val="99"/>
    <w:semiHidden/>
    <w:unhideWhenUsed/>
    <w:rsid w:val="00D33C31"/>
    <w:rPr>
      <w:b/>
      <w:bCs/>
    </w:rPr>
  </w:style>
  <w:style w:type="character" w:customStyle="1" w:styleId="KommentarthemaZchn">
    <w:name w:val="Kommentarthema Zchn"/>
    <w:basedOn w:val="KommentartextZchn"/>
    <w:link w:val="Kommentarthema"/>
    <w:uiPriority w:val="99"/>
    <w:semiHidden/>
    <w:rsid w:val="00D33C31"/>
    <w:rPr>
      <w:b/>
      <w:bCs/>
      <w:lang w:val="en-GB"/>
    </w:rPr>
  </w:style>
  <w:style w:type="character" w:customStyle="1" w:styleId="NichtaufgelsteErwhnung1">
    <w:name w:val="Nicht aufgelöste Erwähnung1"/>
    <w:basedOn w:val="Absatz-Standardschriftar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Fett"/>
    <w:uiPriority w:val="1"/>
    <w:qFormat/>
    <w:rsid w:val="008858FE"/>
    <w:rPr>
      <w:b w:val="0"/>
      <w:bCs/>
      <w:caps/>
      <w:smallCaps w:val="0"/>
      <w:color w:val="FF0000" w:themeColor="accent6"/>
      <w:sz w:val="22"/>
    </w:rPr>
  </w:style>
  <w:style w:type="paragraph" w:customStyle="1" w:styleId="Disclaimer">
    <w:name w:val="Disclaimer"/>
    <w:basedOn w:val="Standard"/>
    <w:qFormat/>
    <w:rsid w:val="00906D18"/>
    <w:rPr>
      <w:i/>
      <w:iCs/>
      <w:sz w:val="18"/>
      <w:szCs w:val="18"/>
    </w:rPr>
  </w:style>
  <w:style w:type="paragraph" w:customStyle="1" w:styleId="ESMAHeader">
    <w:name w:val="ESMA Header"/>
    <w:basedOn w:val="Kopfzeile"/>
    <w:qFormat/>
    <w:rsid w:val="00AF6B1E"/>
  </w:style>
  <w:style w:type="paragraph" w:customStyle="1" w:styleId="Pageheader">
    <w:name w:val="Page header"/>
    <w:basedOn w:val="Kopfzeile"/>
    <w:next w:val="Kopfzeil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Standard"/>
    <w:qFormat/>
    <w:rsid w:val="00F205B9"/>
    <w:rPr>
      <w:rFonts w:ascii="Arial" w:eastAsia="Times New Roman" w:hAnsi="Arial" w:cs="Arial"/>
      <w:sz w:val="18"/>
      <w:szCs w:val="18"/>
      <w:lang w:eastAsia="de-DE"/>
    </w:rPr>
  </w:style>
  <w:style w:type="paragraph" w:styleId="Verzeichnis5">
    <w:name w:val="toc 5"/>
    <w:basedOn w:val="Standard"/>
    <w:next w:val="Standard"/>
    <w:uiPriority w:val="39"/>
    <w:semiHidden/>
    <w:unhideWhenUsed/>
    <w:qFormat/>
    <w:rsid w:val="00F205B9"/>
    <w:pPr>
      <w:spacing w:after="100"/>
      <w:ind w:left="880"/>
    </w:pPr>
  </w:style>
  <w:style w:type="paragraph" w:styleId="Verzeichnis6">
    <w:name w:val="toc 6"/>
    <w:basedOn w:val="Standard"/>
    <w:next w:val="Standard"/>
    <w:uiPriority w:val="39"/>
    <w:semiHidden/>
    <w:unhideWhenUsed/>
    <w:qFormat/>
    <w:rsid w:val="00F205B9"/>
    <w:pPr>
      <w:spacing w:after="100"/>
      <w:ind w:left="1100"/>
    </w:pPr>
  </w:style>
  <w:style w:type="paragraph" w:styleId="Verzeichnis7">
    <w:name w:val="toc 7"/>
    <w:basedOn w:val="Standard"/>
    <w:next w:val="Standard"/>
    <w:uiPriority w:val="39"/>
    <w:semiHidden/>
    <w:unhideWhenUsed/>
    <w:qFormat/>
    <w:rsid w:val="00F205B9"/>
    <w:pPr>
      <w:spacing w:after="100"/>
      <w:ind w:left="1320"/>
    </w:pPr>
  </w:style>
  <w:style w:type="paragraph" w:styleId="Verzeichnis8">
    <w:name w:val="toc 8"/>
    <w:basedOn w:val="Standard"/>
    <w:next w:val="Standard"/>
    <w:uiPriority w:val="39"/>
    <w:semiHidden/>
    <w:unhideWhenUsed/>
    <w:qFormat/>
    <w:rsid w:val="00F205B9"/>
    <w:pPr>
      <w:spacing w:after="100"/>
      <w:ind w:left="1540"/>
    </w:pPr>
  </w:style>
  <w:style w:type="paragraph" w:styleId="Verzeichnis9">
    <w:name w:val="toc 9"/>
    <w:basedOn w:val="Standard"/>
    <w:next w:val="Standard"/>
    <w:uiPriority w:val="39"/>
    <w:semiHidden/>
    <w:unhideWhenUsed/>
    <w:qFormat/>
    <w:rsid w:val="00F205B9"/>
    <w:pPr>
      <w:spacing w:after="100"/>
      <w:ind w:left="1760"/>
    </w:pPr>
  </w:style>
  <w:style w:type="character" w:styleId="BesuchterLink">
    <w:name w:val="FollowedHyperlink"/>
    <w:basedOn w:val="Absatz-Standardschriftart"/>
    <w:uiPriority w:val="99"/>
    <w:semiHidden/>
    <w:unhideWhenUsed/>
    <w:rsid w:val="0043139E"/>
    <w:rPr>
      <w:color w:val="0174AF" w:themeColor="followedHyperlink"/>
      <w:u w:val="single"/>
    </w:rPr>
  </w:style>
  <w:style w:type="character" w:customStyle="1" w:styleId="ListenabsatzZchn">
    <w:name w:val="Listenabsatz Zchn"/>
    <w:aliases w:val="Paragraphe EI Zchn,Paragraphe de liste1 Zchn,EC Zchn"/>
    <w:link w:val="Listenabsatz"/>
    <w:uiPriority w:val="34"/>
    <w:locked/>
    <w:rsid w:val="00EC6066"/>
    <w:rPr>
      <w:rFonts w:asciiTheme="majorHAnsi" w:hAnsiTheme="majorHAnsi" w:cstheme="majorHAnsi"/>
      <w:color w:val="181818" w:themeColor="background1" w:themeShade="1A"/>
      <w:sz w:val="22"/>
      <w:szCs w:val="22"/>
      <w:lang w:val="pt-PT"/>
    </w:rPr>
  </w:style>
  <w:style w:type="paragraph" w:styleId="berarbeitung">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Standard"/>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Absatz-Standardschriftart"/>
    <w:rsid w:val="00061F32"/>
    <w:rPr>
      <w:rFonts w:ascii="Segoe UI" w:hAnsi="Segoe UI" w:cs="Segoe UI" w:hint="default"/>
      <w:sz w:val="18"/>
      <w:szCs w:val="18"/>
    </w:rPr>
  </w:style>
  <w:style w:type="character" w:customStyle="1" w:styleId="cf11">
    <w:name w:val="cf11"/>
    <w:basedOn w:val="Absatz-Standardschriftart"/>
    <w:rsid w:val="00061F32"/>
    <w:rPr>
      <w:rFonts w:ascii="Segoe UI" w:hAnsi="Segoe UI" w:cs="Segoe UI" w:hint="default"/>
      <w:color w:val="333333"/>
      <w:sz w:val="18"/>
      <w:szCs w:val="18"/>
      <w:shd w:val="clear" w:color="auto" w:fill="FFFFFF"/>
    </w:rPr>
  </w:style>
  <w:style w:type="character" w:customStyle="1" w:styleId="Erwhnung1">
    <w:name w:val="Erwähnung1"/>
    <w:basedOn w:val="Absatz-Standardschriftart"/>
    <w:uiPriority w:val="99"/>
    <w:unhideWhenUsed/>
    <w:rsid w:val="00251F26"/>
    <w:rPr>
      <w:color w:val="2B579A"/>
      <w:shd w:val="clear" w:color="auto" w:fill="E1DFDD"/>
    </w:rPr>
  </w:style>
  <w:style w:type="character" w:styleId="Platzhaltertext">
    <w:name w:val="Placeholder Text"/>
    <w:basedOn w:val="Absatz-Standardschriftar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6999">
      <w:bodyDiv w:val="1"/>
      <w:marLeft w:val="0"/>
      <w:marRight w:val="0"/>
      <w:marTop w:val="0"/>
      <w:marBottom w:val="0"/>
      <w:divBdr>
        <w:top w:val="none" w:sz="0" w:space="0" w:color="auto"/>
        <w:left w:val="none" w:sz="0" w:space="0" w:color="auto"/>
        <w:bottom w:val="none" w:sz="0" w:space="0" w:color="auto"/>
        <w:right w:val="none" w:sz="0" w:space="0" w:color="auto"/>
      </w:divBdr>
    </w:div>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tzhalt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06"/>
    <w:rsid w:val="0026528A"/>
    <w:rsid w:val="004E4CF9"/>
    <w:rsid w:val="005626B6"/>
    <w:rsid w:val="007B1667"/>
    <w:rsid w:val="00813189"/>
    <w:rsid w:val="008222A0"/>
    <w:rsid w:val="00836D47"/>
    <w:rsid w:val="009B6B9C"/>
    <w:rsid w:val="00A159E2"/>
    <w:rsid w:val="00B22006"/>
    <w:rsid w:val="00D128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3.xml><?xml version="1.0" encoding="utf-8"?>
<ds:datastoreItem xmlns:ds="http://schemas.openxmlformats.org/officeDocument/2006/customXml" ds:itemID="{0BD4200E-19A0-4C98-BF18-00EC5896D384}">
  <ds:schemaRefs>
    <ds:schemaRef ds:uri="http://schemas.openxmlformats.org/officeDocument/2006/bibliography"/>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5.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4029</Words>
  <Characters>22120</Characters>
  <Application>Microsoft Office Word</Application>
  <DocSecurity>8</DocSecurity>
  <Lines>451</Lines>
  <Paragraphs>217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Michael Sterzenbach</cp:lastModifiedBy>
  <cp:revision>20</cp:revision>
  <cp:lastPrinted>2023-09-08T15:53:00Z</cp:lastPrinted>
  <dcterms:created xsi:type="dcterms:W3CDTF">2023-12-15T07:40:00Z</dcterms:created>
  <dcterms:modified xsi:type="dcterms:W3CDTF">2023-12-15T09:56:00Z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