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re"/>
          </w:pPr>
          <w:r>
            <w:t>Reply form</w:t>
          </w:r>
        </w:p>
        <w:p w14:paraId="031F2108" w14:textId="314EEC9D" w:rsidR="007E7997" w:rsidRDefault="00D77369" w:rsidP="00D77369">
          <w:pPr>
            <w:pStyle w:val="Sous-titre"/>
            <w:rPr>
              <w:rFonts w:cs="Arial"/>
            </w:rPr>
          </w:pPr>
          <w:r>
            <w:rPr>
              <w:noProof/>
              <w:lang w:val="fr-FR" w:eastAsia="fr-FR"/>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ous-titr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Paragraphedeliste"/>
          </w:pPr>
          <w:r w:rsidRPr="00E13D25">
            <w:t>respond to the question stated;</w:t>
          </w:r>
        </w:p>
        <w:p w14:paraId="72FD40F6" w14:textId="77777777" w:rsidR="002533FC" w:rsidRPr="00E13D25" w:rsidRDefault="002533FC" w:rsidP="00EC6066">
          <w:pPr>
            <w:pStyle w:val="Paragraphedeliste"/>
          </w:pPr>
          <w:r w:rsidRPr="00E13D25">
            <w:t>indicate the specific question to which the comment relates;</w:t>
          </w:r>
        </w:p>
        <w:p w14:paraId="78B206B7" w14:textId="77777777" w:rsidR="002533FC" w:rsidRPr="00E13D25" w:rsidRDefault="002533FC" w:rsidP="00EC6066">
          <w:pPr>
            <w:pStyle w:val="Paragraphedeliste"/>
          </w:pPr>
          <w:r w:rsidRPr="00E13D25">
            <w:t>contain a clear rationale; and</w:t>
          </w:r>
        </w:p>
        <w:p w14:paraId="60B8834E" w14:textId="77777777" w:rsidR="002533FC" w:rsidRPr="00E13D25" w:rsidRDefault="002533FC" w:rsidP="00EC6066">
          <w:pPr>
            <w:pStyle w:val="Paragraphedeliste"/>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20" w:history="1">
            <w:r w:rsidRPr="005B6B12">
              <w:rPr>
                <w:rStyle w:val="Lienhypertexte"/>
              </w:rPr>
              <w:t>www.esma.europa.eu</w:t>
            </w:r>
          </w:hyperlink>
          <w:r w:rsidRPr="005B6B12">
            <w:t xml:space="preserve"> under the heading ‘Your input - Consultations’. </w:t>
          </w:r>
        </w:p>
        <w:p w14:paraId="5E44C845" w14:textId="77777777" w:rsidR="00EC6066" w:rsidRPr="0026459D" w:rsidRDefault="00EC6066" w:rsidP="00EC6066">
          <w:pPr>
            <w:pStyle w:val="Sous-titr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21" w:history="1">
            <w:r w:rsidRPr="005B6B12">
              <w:rPr>
                <w:rStyle w:val="Lienhypertexte"/>
              </w:rPr>
              <w:t>www.esma.europa.eu</w:t>
            </w:r>
          </w:hyperlink>
          <w:r w:rsidRPr="005B6B12">
            <w:t xml:space="preserve"> under the heading </w:t>
          </w:r>
          <w:r w:rsidRPr="00025A7F">
            <w:rPr>
              <w:rStyle w:val="Lienhypertexte"/>
            </w:rPr>
            <w:t>‘</w:t>
          </w:r>
          <w:hyperlink r:id="rId22" w:history="1">
            <w:r>
              <w:rPr>
                <w:rStyle w:val="Lienhypertexte"/>
              </w:rPr>
              <w:t>Data protection</w:t>
            </w:r>
          </w:hyperlink>
          <w:r>
            <w:rPr>
              <w:rStyle w:val="Lienhypertexte"/>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23"/>
          <w:footerReference w:type="default" r:id="rId24"/>
          <w:headerReference w:type="first" r:id="rId25"/>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Titre1"/>
        <w:rPr>
          <w:lang w:val="fr-BE"/>
        </w:rPr>
      </w:pPr>
      <w:r>
        <w:rPr>
          <w:lang w:val="fr-BE"/>
        </w:rPr>
        <w:lastRenderedPageBreak/>
        <w:t xml:space="preserve">General information about </w:t>
      </w:r>
      <w:r w:rsidRPr="00501EF4">
        <w:t>respondent</w:t>
      </w:r>
    </w:p>
    <w:tbl>
      <w:tblPr>
        <w:tblStyle w:val="Grilledutableau"/>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6E6EC5FA" w:rsidR="00635BCA" w:rsidRPr="00557BD2" w:rsidRDefault="00D2431E" w:rsidP="00D21C35">
                <w:r>
                  <w:t>Amundi Asset Management</w:t>
                </w:r>
              </w:p>
            </w:tc>
            <w:permEnd w:id="43071050" w:displacedByCustomXml="next"/>
            <w:bookmarkStart w:id="0" w:name="_GoBack" w:displacedByCustomXml="next"/>
            <w:bookmarkEnd w:id="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5D198817" w:rsidR="00635BCA" w:rsidRPr="00557BD2" w:rsidRDefault="00D2431E" w:rsidP="00D21C35">
                <w:r>
                  <w:t xml:space="preserve">Credit institutions, CSDs, investment firms, market operators, e-money institutions, UCITS management companies, AIFs </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1AC95EE5" w:rsidR="00635BCA" w:rsidRPr="00557BD2" w:rsidRDefault="00CD1749" w:rsidP="00D21C35">
                <w:r>
                  <w:t>France</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Titre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Paragraphedeliste"/>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Paragraphedeliste"/>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00C08D46" w14:textId="77777777" w:rsidR="00DE63EF" w:rsidRPr="007723AE" w:rsidRDefault="00DE63EF" w:rsidP="00DE63EF">
      <w:pPr>
        <w:rPr>
          <w:b/>
          <w:sz w:val="28"/>
          <w:lang w:val="en-US"/>
        </w:rPr>
      </w:pPr>
      <w:permStart w:id="1228560568" w:edGrp="everyone"/>
      <w:r w:rsidRPr="007723AE">
        <w:rPr>
          <w:b/>
          <w:sz w:val="28"/>
          <w:lang w:val="en-US"/>
        </w:rPr>
        <w:t>Introductory Remarks</w:t>
      </w:r>
    </w:p>
    <w:p w14:paraId="75F86FD2" w14:textId="77777777" w:rsidR="00DE63EF" w:rsidRPr="00D545ED" w:rsidRDefault="00DE63EF" w:rsidP="00DE63EF">
      <w:pPr>
        <w:rPr>
          <w:sz w:val="28"/>
          <w:lang w:val="en-US"/>
        </w:rPr>
      </w:pPr>
      <w:r w:rsidRPr="00D545ED">
        <w:rPr>
          <w:sz w:val="28"/>
          <w:lang w:val="en-US"/>
        </w:rPr>
        <w:t>Amundi welcomes the opportunity to share its views with ESMA regarding the potential reduction of securities settlement cycles in the EU.  </w:t>
      </w:r>
    </w:p>
    <w:p w14:paraId="56E6D0BD" w14:textId="77777777" w:rsidR="00DE63EF" w:rsidRPr="00D545ED" w:rsidRDefault="00DE63EF" w:rsidP="00DE63EF">
      <w:pPr>
        <w:rPr>
          <w:sz w:val="28"/>
          <w:lang w:val="en-US"/>
        </w:rPr>
      </w:pPr>
      <w:r w:rsidRPr="00D545ED">
        <w:rPr>
          <w:sz w:val="28"/>
          <w:lang w:val="en-US"/>
        </w:rPr>
        <w:t xml:space="preserve">In light </w:t>
      </w:r>
      <w:r>
        <w:rPr>
          <w:sz w:val="28"/>
          <w:lang w:val="en-US"/>
        </w:rPr>
        <w:t xml:space="preserve">of both, the </w:t>
      </w:r>
      <w:r w:rsidRPr="00D545ED">
        <w:rPr>
          <w:sz w:val="28"/>
          <w:lang w:val="en-US"/>
        </w:rPr>
        <w:t xml:space="preserve">upcoming changes to settlement cycles in the US, Canada and Mexico and </w:t>
      </w:r>
      <w:r>
        <w:rPr>
          <w:sz w:val="28"/>
          <w:lang w:val="en-US"/>
        </w:rPr>
        <w:t xml:space="preserve">the </w:t>
      </w:r>
      <w:r w:rsidRPr="00D545ED">
        <w:rPr>
          <w:sz w:val="28"/>
          <w:lang w:val="en-US"/>
        </w:rPr>
        <w:t>pre-legislative analysis of the matter currently underway in the UK</w:t>
      </w:r>
      <w:r>
        <w:rPr>
          <w:sz w:val="28"/>
          <w:lang w:val="en-US"/>
        </w:rPr>
        <w:t>,</w:t>
      </w:r>
      <w:r w:rsidRPr="00D545ED">
        <w:rPr>
          <w:sz w:val="28"/>
          <w:lang w:val="en-US"/>
        </w:rPr>
        <w:t xml:space="preserve"> it is of evidence that EU lawmakers, regulators and all CMU market participants shall thoroughly consider the topic including opportunities and risk related to it. </w:t>
      </w:r>
    </w:p>
    <w:p w14:paraId="6FE2B501" w14:textId="77777777" w:rsidR="00DE63EF" w:rsidRPr="00D545ED" w:rsidRDefault="00DE63EF" w:rsidP="00DE63EF">
      <w:pPr>
        <w:rPr>
          <w:sz w:val="28"/>
          <w:lang w:val="en-US"/>
        </w:rPr>
      </w:pPr>
      <w:r w:rsidRPr="00D545ED">
        <w:rPr>
          <w:sz w:val="28"/>
          <w:lang w:val="en-US"/>
        </w:rPr>
        <w:t>Reducing securities settlement cycles can bring benefits and will contribute to strengthen safe and efficient capital markets</w:t>
      </w:r>
      <w:r>
        <w:rPr>
          <w:sz w:val="28"/>
          <w:lang w:val="en-US"/>
        </w:rPr>
        <w:t xml:space="preserve">. However, this can be possible </w:t>
      </w:r>
      <w:r w:rsidRPr="00D545ED">
        <w:rPr>
          <w:sz w:val="28"/>
          <w:lang w:val="en-US"/>
        </w:rPr>
        <w:t>only where any legislative measure goes into force without shifting risks amongst actors in the value chain or resulting in unattended consequences, which outweigh its benefits.</w:t>
      </w:r>
    </w:p>
    <w:p w14:paraId="6746D91A" w14:textId="77777777" w:rsidR="00DE63EF" w:rsidRDefault="00DE63EF" w:rsidP="00DE63EF">
      <w:pPr>
        <w:rPr>
          <w:sz w:val="28"/>
          <w:lang w:val="en-US"/>
        </w:rPr>
      </w:pPr>
      <w:r w:rsidRPr="00D545ED">
        <w:rPr>
          <w:sz w:val="28"/>
          <w:lang w:val="en-US"/>
        </w:rPr>
        <w:t>This being said we regret the timing chosen for launching this C</w:t>
      </w:r>
      <w:r>
        <w:rPr>
          <w:sz w:val="28"/>
          <w:lang w:val="en-US"/>
        </w:rPr>
        <w:t xml:space="preserve">all </w:t>
      </w:r>
      <w:r w:rsidRPr="00D545ED">
        <w:rPr>
          <w:sz w:val="28"/>
          <w:lang w:val="en-US"/>
        </w:rPr>
        <w:t>f</w:t>
      </w:r>
      <w:r>
        <w:rPr>
          <w:sz w:val="28"/>
          <w:lang w:val="en-US"/>
        </w:rPr>
        <w:t xml:space="preserve">or </w:t>
      </w:r>
      <w:r w:rsidRPr="00D545ED">
        <w:rPr>
          <w:sz w:val="28"/>
          <w:lang w:val="en-US"/>
        </w:rPr>
        <w:t>E</w:t>
      </w:r>
      <w:r>
        <w:rPr>
          <w:sz w:val="28"/>
          <w:lang w:val="en-US"/>
        </w:rPr>
        <w:t>vidence</w:t>
      </w:r>
      <w:r w:rsidRPr="00D545ED">
        <w:rPr>
          <w:sz w:val="28"/>
          <w:lang w:val="en-US"/>
        </w:rPr>
        <w:t xml:space="preserve"> as we are convinced the exercise would have been much more efficient and meaningful if done after </w:t>
      </w:r>
      <w:r>
        <w:rPr>
          <w:sz w:val="28"/>
          <w:lang w:val="en-US"/>
        </w:rPr>
        <w:t>an appropriate period of time following</w:t>
      </w:r>
      <w:r w:rsidRPr="00D545ED">
        <w:rPr>
          <w:sz w:val="28"/>
          <w:lang w:val="en-US"/>
        </w:rPr>
        <w:t xml:space="preserve"> the </w:t>
      </w:r>
      <w:r>
        <w:rPr>
          <w:sz w:val="28"/>
          <w:lang w:val="en-US"/>
        </w:rPr>
        <w:t>implementation</w:t>
      </w:r>
      <w:r w:rsidRPr="00D545ED">
        <w:rPr>
          <w:sz w:val="28"/>
          <w:lang w:val="en-US"/>
        </w:rPr>
        <w:t xml:space="preserve"> of the changed rules in the US, Canada and Mexico. Lessons to </w:t>
      </w:r>
      <w:proofErr w:type="gramStart"/>
      <w:r w:rsidRPr="00D545ED">
        <w:rPr>
          <w:sz w:val="28"/>
          <w:lang w:val="en-US"/>
        </w:rPr>
        <w:t>be learned</w:t>
      </w:r>
      <w:proofErr w:type="gramEnd"/>
      <w:r w:rsidRPr="00D545ED">
        <w:rPr>
          <w:sz w:val="28"/>
          <w:lang w:val="en-US"/>
        </w:rPr>
        <w:t xml:space="preserve"> from that</w:t>
      </w:r>
      <w:r>
        <w:rPr>
          <w:sz w:val="28"/>
          <w:lang w:val="en-US"/>
        </w:rPr>
        <w:t xml:space="preserve"> major</w:t>
      </w:r>
      <w:r w:rsidRPr="00D545ED">
        <w:rPr>
          <w:sz w:val="28"/>
          <w:lang w:val="en-US"/>
        </w:rPr>
        <w:t xml:space="preserve"> regional move are essential to underpin any valuable assessment for </w:t>
      </w:r>
      <w:r>
        <w:rPr>
          <w:sz w:val="28"/>
          <w:lang w:val="en-US"/>
        </w:rPr>
        <w:t xml:space="preserve">the EU. Then </w:t>
      </w:r>
      <w:r w:rsidRPr="00D545ED">
        <w:rPr>
          <w:sz w:val="28"/>
          <w:lang w:val="en-US"/>
        </w:rPr>
        <w:t>we think ESMA should already decide to comple</w:t>
      </w:r>
      <w:r>
        <w:rPr>
          <w:sz w:val="28"/>
          <w:lang w:val="en-US"/>
        </w:rPr>
        <w:t xml:space="preserve">te its results through a solid cost-benefit analysis </w:t>
      </w:r>
      <w:r w:rsidRPr="00D545ED">
        <w:rPr>
          <w:sz w:val="28"/>
          <w:lang w:val="en-US"/>
        </w:rPr>
        <w:t>conducted at that point in time and before issuing a final report to the European Commission.</w:t>
      </w:r>
    </w:p>
    <w:p w14:paraId="2403B076" w14:textId="77777777" w:rsidR="00DE63EF" w:rsidRPr="006C528E" w:rsidRDefault="00DE63EF" w:rsidP="00DE63EF">
      <w:pPr>
        <w:spacing w:after="0" w:line="240" w:lineRule="auto"/>
        <w:rPr>
          <w:sz w:val="28"/>
          <w:lang w:val="en-US"/>
        </w:rPr>
      </w:pPr>
      <w:r w:rsidRPr="006C528E">
        <w:rPr>
          <w:sz w:val="28"/>
          <w:lang w:val="en-US"/>
        </w:rPr>
        <w:t>When providing responses to this questionnaire, we will only address a shortening of settlement cycle from T+</w:t>
      </w:r>
      <w:proofErr w:type="gramStart"/>
      <w:r w:rsidRPr="006C528E">
        <w:rPr>
          <w:sz w:val="28"/>
          <w:lang w:val="en-US"/>
        </w:rPr>
        <w:t>2</w:t>
      </w:r>
      <w:proofErr w:type="gramEnd"/>
      <w:r w:rsidRPr="006C528E">
        <w:rPr>
          <w:sz w:val="28"/>
          <w:lang w:val="en-US"/>
        </w:rPr>
        <w:t xml:space="preserve"> to T+1. To our opinion, any considerations around a T+</w:t>
      </w:r>
      <w:proofErr w:type="gramStart"/>
      <w:r w:rsidRPr="006C528E">
        <w:rPr>
          <w:sz w:val="28"/>
          <w:lang w:val="en-US"/>
        </w:rPr>
        <w:t>0 settlement</w:t>
      </w:r>
      <w:proofErr w:type="gramEnd"/>
      <w:r w:rsidRPr="006C528E">
        <w:rPr>
          <w:sz w:val="28"/>
          <w:lang w:val="en-US"/>
        </w:rPr>
        <w:t xml:space="preserve"> cycle are pre-matured. T+</w:t>
      </w:r>
      <w:proofErr w:type="gramStart"/>
      <w:r>
        <w:rPr>
          <w:sz w:val="28"/>
          <w:lang w:val="en-US"/>
        </w:rPr>
        <w:t>0</w:t>
      </w:r>
      <w:proofErr w:type="gramEnd"/>
      <w:r w:rsidRPr="006C528E">
        <w:rPr>
          <w:sz w:val="28"/>
          <w:lang w:val="en-US"/>
        </w:rPr>
        <w:t xml:space="preserve"> will raise issues much more significant than a shift to T+1</w:t>
      </w:r>
      <w:r>
        <w:rPr>
          <w:sz w:val="28"/>
          <w:lang w:val="en-US"/>
        </w:rPr>
        <w:t xml:space="preserve">, </w:t>
      </w:r>
      <w:r w:rsidRPr="006C528E">
        <w:rPr>
          <w:sz w:val="28"/>
          <w:lang w:val="en-US"/>
        </w:rPr>
        <w:t xml:space="preserve">which in itself already brings enormous challenges. </w:t>
      </w:r>
    </w:p>
    <w:p w14:paraId="3C955591" w14:textId="77777777" w:rsidR="00DE63EF" w:rsidRPr="006C528E" w:rsidRDefault="00DE63EF" w:rsidP="00DE63EF">
      <w:pPr>
        <w:spacing w:after="0" w:line="240" w:lineRule="auto"/>
        <w:rPr>
          <w:sz w:val="28"/>
          <w:lang w:val="en-US"/>
        </w:rPr>
      </w:pPr>
      <w:r w:rsidRPr="006C528E">
        <w:rPr>
          <w:sz w:val="28"/>
          <w:lang w:val="en-US"/>
        </w:rPr>
        <w:t xml:space="preserve">A switch to T+0 </w:t>
      </w:r>
      <w:r>
        <w:rPr>
          <w:sz w:val="28"/>
          <w:lang w:val="en-US"/>
        </w:rPr>
        <w:t xml:space="preserve">seems </w:t>
      </w:r>
      <w:r w:rsidRPr="006C528E">
        <w:rPr>
          <w:sz w:val="28"/>
          <w:lang w:val="en-US"/>
        </w:rPr>
        <w:t>not a realistic option given the current st</w:t>
      </w:r>
      <w:r>
        <w:rPr>
          <w:sz w:val="28"/>
          <w:lang w:val="en-US"/>
        </w:rPr>
        <w:t xml:space="preserve">ate of European markets: </w:t>
      </w:r>
      <w:r w:rsidRPr="006C528E">
        <w:rPr>
          <w:sz w:val="28"/>
          <w:lang w:val="en-US"/>
        </w:rPr>
        <w:t xml:space="preserve">fragmentation, </w:t>
      </w:r>
      <w:proofErr w:type="spellStart"/>
      <w:r w:rsidRPr="006C528E">
        <w:rPr>
          <w:sz w:val="28"/>
          <w:lang w:val="en-US"/>
        </w:rPr>
        <w:t>unlevel</w:t>
      </w:r>
      <w:proofErr w:type="spellEnd"/>
      <w:r w:rsidRPr="006C528E">
        <w:rPr>
          <w:sz w:val="28"/>
          <w:lang w:val="en-US"/>
        </w:rPr>
        <w:t xml:space="preserve"> landscape of IT systems across the different market players including the very heterogeneous sector of fund distribution and the use of necessary digital ledger technologies still in its infancy.</w:t>
      </w:r>
    </w:p>
    <w:p w14:paraId="48006614" w14:textId="77777777" w:rsidR="00DE63EF" w:rsidRPr="00D545ED" w:rsidRDefault="00DE63EF" w:rsidP="00DE63EF">
      <w:pPr>
        <w:rPr>
          <w:sz w:val="28"/>
          <w:lang w:val="en-US"/>
        </w:rPr>
      </w:pPr>
      <w:r w:rsidRPr="00D545ED">
        <w:rPr>
          <w:sz w:val="28"/>
          <w:lang w:val="en-US"/>
        </w:rPr>
        <w:t xml:space="preserve">   </w:t>
      </w:r>
    </w:p>
    <w:p w14:paraId="5258F544" w14:textId="77777777" w:rsidR="00DE63EF" w:rsidRPr="00533DDB" w:rsidRDefault="00DE63EF" w:rsidP="00DE63EF">
      <w:pPr>
        <w:rPr>
          <w:sz w:val="28"/>
          <w:lang w:val="en-US"/>
        </w:rPr>
      </w:pPr>
      <w:r w:rsidRPr="00533DDB">
        <w:rPr>
          <w:sz w:val="28"/>
          <w:lang w:val="en-US"/>
        </w:rPr>
        <w:t xml:space="preserve">Against this background, our main observations under this </w:t>
      </w:r>
      <w:proofErr w:type="spellStart"/>
      <w:r w:rsidRPr="00533DDB">
        <w:rPr>
          <w:sz w:val="28"/>
          <w:lang w:val="en-US"/>
        </w:rPr>
        <w:t>CfE</w:t>
      </w:r>
      <w:proofErr w:type="spellEnd"/>
      <w:r w:rsidRPr="00533DDB">
        <w:rPr>
          <w:sz w:val="28"/>
          <w:lang w:val="en-US"/>
        </w:rPr>
        <w:t xml:space="preserve"> will point to the following:</w:t>
      </w:r>
    </w:p>
    <w:p w14:paraId="39C6100A" w14:textId="77777777" w:rsidR="00DE63EF" w:rsidRPr="00533DDB" w:rsidRDefault="00DE63EF" w:rsidP="00DE63EF">
      <w:pPr>
        <w:pStyle w:val="Paragraphedeliste"/>
        <w:numPr>
          <w:ilvl w:val="0"/>
          <w:numId w:val="16"/>
        </w:numPr>
        <w:spacing w:after="0" w:line="240" w:lineRule="auto"/>
        <w:jc w:val="left"/>
        <w:rPr>
          <w:sz w:val="28"/>
          <w:lang w:val="en-US"/>
        </w:rPr>
      </w:pPr>
      <w:r w:rsidRPr="00533DDB">
        <w:rPr>
          <w:sz w:val="28"/>
          <w:lang w:val="en-US"/>
        </w:rPr>
        <w:t>Implementing T+1 in the EU has a much higher order of magnitude than the switch in other jurisdictions</w:t>
      </w:r>
    </w:p>
    <w:p w14:paraId="7E621D68" w14:textId="77777777" w:rsidR="00DE63EF" w:rsidRPr="00533DDB" w:rsidRDefault="00DE63EF" w:rsidP="00DE63EF">
      <w:pPr>
        <w:pStyle w:val="Paragraphedeliste"/>
        <w:numPr>
          <w:ilvl w:val="0"/>
          <w:numId w:val="16"/>
        </w:numPr>
        <w:spacing w:after="0" w:line="240" w:lineRule="auto"/>
        <w:jc w:val="left"/>
        <w:rPr>
          <w:sz w:val="28"/>
          <w:lang w:val="en-US"/>
        </w:rPr>
      </w:pPr>
      <w:r w:rsidRPr="00533DDB">
        <w:rPr>
          <w:sz w:val="28"/>
          <w:lang w:val="en-US"/>
        </w:rPr>
        <w:t>Setting a realistic time horizon for achievement is key</w:t>
      </w:r>
    </w:p>
    <w:p w14:paraId="150F0D74" w14:textId="77777777" w:rsidR="00DE63EF" w:rsidRPr="00533DDB" w:rsidRDefault="00DE63EF" w:rsidP="00DE63EF">
      <w:pPr>
        <w:pStyle w:val="Paragraphedeliste"/>
        <w:numPr>
          <w:ilvl w:val="0"/>
          <w:numId w:val="16"/>
        </w:numPr>
        <w:spacing w:after="0" w:line="240" w:lineRule="auto"/>
        <w:jc w:val="left"/>
        <w:rPr>
          <w:sz w:val="28"/>
          <w:lang w:val="en-US"/>
        </w:rPr>
      </w:pPr>
      <w:r w:rsidRPr="00533DDB">
        <w:rPr>
          <w:sz w:val="28"/>
          <w:lang w:val="en-US"/>
        </w:rPr>
        <w:t>Avoid further regional moves to the extent possible</w:t>
      </w:r>
    </w:p>
    <w:p w14:paraId="7D83D98D" w14:textId="77777777" w:rsidR="00DE63EF" w:rsidRPr="00533DDB" w:rsidRDefault="00DE63EF" w:rsidP="00DE63EF">
      <w:pPr>
        <w:pStyle w:val="Paragraphedeliste"/>
        <w:numPr>
          <w:ilvl w:val="0"/>
          <w:numId w:val="16"/>
        </w:numPr>
        <w:spacing w:after="0" w:line="240" w:lineRule="auto"/>
        <w:jc w:val="left"/>
        <w:rPr>
          <w:sz w:val="28"/>
          <w:lang w:val="en-US"/>
        </w:rPr>
      </w:pPr>
      <w:r w:rsidRPr="00533DDB">
        <w:rPr>
          <w:sz w:val="28"/>
          <w:lang w:val="en-US"/>
        </w:rPr>
        <w:t>Factor in the fragmentation of EU markets and infrastructures, multi-currencies, numerous actors in the value chain subject to complex and varying operational and legal environment</w:t>
      </w:r>
    </w:p>
    <w:p w14:paraId="24B5A095" w14:textId="77777777" w:rsidR="00DE63EF" w:rsidRDefault="00DE63EF" w:rsidP="00C5469A">
      <w:pPr>
        <w:pStyle w:val="Paragraphedeliste"/>
        <w:numPr>
          <w:ilvl w:val="0"/>
          <w:numId w:val="16"/>
        </w:numPr>
        <w:spacing w:after="0" w:line="240" w:lineRule="auto"/>
        <w:jc w:val="left"/>
        <w:rPr>
          <w:sz w:val="28"/>
          <w:lang w:val="en-US"/>
        </w:rPr>
      </w:pPr>
      <w:r w:rsidRPr="00533DDB">
        <w:rPr>
          <w:sz w:val="28"/>
          <w:lang w:val="en-US"/>
        </w:rPr>
        <w:t>Thoroughly assess impacts on capacities to automate processes and costs related to it</w:t>
      </w:r>
      <w:r>
        <w:rPr>
          <w:sz w:val="28"/>
          <w:lang w:val="en-US"/>
        </w:rPr>
        <w:t xml:space="preserve">, </w:t>
      </w:r>
    </w:p>
    <w:p w14:paraId="43A4D5EA" w14:textId="253F2BDB" w:rsidR="00DE63EF" w:rsidRDefault="00DE63EF" w:rsidP="00C5469A">
      <w:pPr>
        <w:pStyle w:val="Paragraphedeliste"/>
        <w:numPr>
          <w:ilvl w:val="0"/>
          <w:numId w:val="16"/>
        </w:numPr>
        <w:spacing w:after="0" w:line="240" w:lineRule="auto"/>
        <w:jc w:val="left"/>
        <w:rPr>
          <w:sz w:val="28"/>
          <w:lang w:val="en-US"/>
        </w:rPr>
      </w:pPr>
      <w:r w:rsidRPr="00DE63EF">
        <w:rPr>
          <w:sz w:val="28"/>
          <w:lang w:val="en-US"/>
        </w:rPr>
        <w:t xml:space="preserve">Assess impacts on end investors. </w:t>
      </w:r>
    </w:p>
    <w:p w14:paraId="03823F63" w14:textId="4B1E5D81" w:rsidR="00DE63EF" w:rsidRDefault="00DE63EF" w:rsidP="00DE63EF">
      <w:pPr>
        <w:pStyle w:val="Paragraphedeliste"/>
        <w:numPr>
          <w:ilvl w:val="0"/>
          <w:numId w:val="0"/>
        </w:numPr>
        <w:spacing w:after="0" w:line="240" w:lineRule="auto"/>
        <w:ind w:left="720"/>
        <w:jc w:val="left"/>
        <w:rPr>
          <w:sz w:val="28"/>
          <w:lang w:val="en-US"/>
        </w:rPr>
      </w:pPr>
    </w:p>
    <w:p w14:paraId="755A0C50" w14:textId="77777777" w:rsidR="00DE63EF" w:rsidRDefault="00DE63EF" w:rsidP="00DE63EF">
      <w:pPr>
        <w:spacing w:after="0" w:line="240" w:lineRule="auto"/>
        <w:rPr>
          <w:sz w:val="28"/>
          <w:lang w:val="en-US"/>
        </w:rPr>
      </w:pPr>
      <w:r w:rsidRPr="007723AE">
        <w:rPr>
          <w:b/>
          <w:sz w:val="28"/>
          <w:lang w:val="en-US"/>
        </w:rPr>
        <w:t xml:space="preserve">Response </w:t>
      </w:r>
      <w:r>
        <w:rPr>
          <w:b/>
          <w:sz w:val="28"/>
          <w:lang w:val="en-US"/>
        </w:rPr>
        <w:t xml:space="preserve">to </w:t>
      </w:r>
      <w:r w:rsidRPr="007723AE">
        <w:rPr>
          <w:b/>
          <w:sz w:val="28"/>
          <w:lang w:val="en-US"/>
        </w:rPr>
        <w:t>Q1</w:t>
      </w:r>
      <w:r>
        <w:rPr>
          <w:sz w:val="28"/>
          <w:lang w:val="en-US"/>
        </w:rPr>
        <w:t>:</w:t>
      </w:r>
    </w:p>
    <w:p w14:paraId="1A9761CF" w14:textId="77777777" w:rsidR="00DE63EF" w:rsidRDefault="00DE63EF" w:rsidP="00DE63EF">
      <w:pPr>
        <w:spacing w:after="0" w:line="240" w:lineRule="auto"/>
        <w:rPr>
          <w:sz w:val="28"/>
          <w:lang w:val="en-US"/>
        </w:rPr>
      </w:pPr>
    </w:p>
    <w:p w14:paraId="3C9008B5" w14:textId="77777777" w:rsidR="00DE63EF" w:rsidRDefault="00DE63EF" w:rsidP="00DE63EF">
      <w:pPr>
        <w:spacing w:after="0" w:line="240" w:lineRule="auto"/>
        <w:rPr>
          <w:sz w:val="28"/>
          <w:lang w:val="en-US"/>
        </w:rPr>
      </w:pPr>
      <w:r>
        <w:rPr>
          <w:sz w:val="28"/>
          <w:lang w:val="en-US"/>
        </w:rPr>
        <w:t>The first and foremost problem we have identified in case of a precipitated decision to impose a T+1 cycle is the costly impact on markets’ liquidity arising from the following:</w:t>
      </w:r>
    </w:p>
    <w:p w14:paraId="7CAADEAB" w14:textId="77777777" w:rsidR="00DE63EF" w:rsidRDefault="00DE63EF" w:rsidP="00DE63EF">
      <w:pPr>
        <w:pStyle w:val="Paragraphedeliste"/>
        <w:numPr>
          <w:ilvl w:val="0"/>
          <w:numId w:val="16"/>
        </w:numPr>
        <w:spacing w:after="0" w:line="240" w:lineRule="auto"/>
        <w:contextualSpacing/>
        <w:jc w:val="left"/>
        <w:rPr>
          <w:sz w:val="28"/>
          <w:lang w:val="en-US"/>
        </w:rPr>
      </w:pPr>
      <w:r>
        <w:rPr>
          <w:sz w:val="28"/>
          <w:lang w:val="en-US"/>
        </w:rPr>
        <w:t>The expected important rise in trade fails.</w:t>
      </w:r>
    </w:p>
    <w:p w14:paraId="422D3AEF" w14:textId="77777777" w:rsidR="00DE63EF" w:rsidRDefault="00DE63EF" w:rsidP="00DE63EF">
      <w:pPr>
        <w:pStyle w:val="Paragraphedeliste"/>
        <w:numPr>
          <w:ilvl w:val="0"/>
          <w:numId w:val="16"/>
        </w:numPr>
        <w:spacing w:after="0" w:line="240" w:lineRule="auto"/>
        <w:contextualSpacing/>
        <w:jc w:val="left"/>
        <w:rPr>
          <w:sz w:val="28"/>
          <w:lang w:val="en-US"/>
        </w:rPr>
      </w:pPr>
      <w:r>
        <w:rPr>
          <w:sz w:val="28"/>
          <w:lang w:val="en-US"/>
        </w:rPr>
        <w:t>More specifically, the deterioration of securities lending / repo markets, as traders need time to make sure they can deliver the securities they (may) have sold to other market actors, notably the ones belonging to the buy-side,</w:t>
      </w:r>
    </w:p>
    <w:p w14:paraId="5C3AC38E" w14:textId="77777777" w:rsidR="00DE63EF" w:rsidRDefault="00DE63EF" w:rsidP="00DE63EF">
      <w:pPr>
        <w:pStyle w:val="Paragraphedeliste"/>
        <w:spacing w:after="0" w:line="240" w:lineRule="auto"/>
        <w:rPr>
          <w:sz w:val="28"/>
          <w:lang w:val="en-US"/>
        </w:rPr>
      </w:pPr>
    </w:p>
    <w:p w14:paraId="556D0B88" w14:textId="77777777" w:rsidR="00DE63EF" w:rsidRPr="007723AE" w:rsidRDefault="00DE63EF" w:rsidP="00DE63EF">
      <w:pPr>
        <w:spacing w:after="0" w:line="240" w:lineRule="auto"/>
        <w:rPr>
          <w:sz w:val="28"/>
          <w:lang w:val="en-US"/>
        </w:rPr>
      </w:pPr>
      <w:r>
        <w:rPr>
          <w:sz w:val="28"/>
          <w:lang w:val="en-US"/>
        </w:rPr>
        <w:t xml:space="preserve">Eventually, market makers will reflect these additional and significant costs in the quotes they will provide to market participants, including mutual funds. Funds’ shareholders, e.g. end-investors, including retail investors, </w:t>
      </w:r>
      <w:proofErr w:type="gramStart"/>
      <w:r>
        <w:rPr>
          <w:sz w:val="28"/>
          <w:lang w:val="en-US"/>
        </w:rPr>
        <w:t>will indirectly be charged</w:t>
      </w:r>
      <w:proofErr w:type="gramEnd"/>
      <w:r>
        <w:rPr>
          <w:sz w:val="28"/>
          <w:lang w:val="en-US"/>
        </w:rPr>
        <w:t xml:space="preserve"> these costs through a decline in funds’ performances.</w:t>
      </w:r>
    </w:p>
    <w:p w14:paraId="53603E4A" w14:textId="77777777" w:rsidR="00DE63EF" w:rsidRDefault="00DE63EF" w:rsidP="00DE63EF">
      <w:pPr>
        <w:spacing w:after="0" w:line="240" w:lineRule="auto"/>
        <w:rPr>
          <w:sz w:val="28"/>
          <w:lang w:val="en-US"/>
        </w:rPr>
      </w:pPr>
    </w:p>
    <w:p w14:paraId="2E428D94" w14:textId="77777777" w:rsidR="00DE63EF" w:rsidRDefault="00DE63EF" w:rsidP="00DE63EF">
      <w:pPr>
        <w:spacing w:after="0" w:line="240" w:lineRule="auto"/>
        <w:rPr>
          <w:sz w:val="28"/>
          <w:lang w:val="en-US"/>
        </w:rPr>
      </w:pPr>
      <w:r>
        <w:rPr>
          <w:sz w:val="28"/>
          <w:lang w:val="en-US"/>
        </w:rPr>
        <w:t>Secondly, a hasty and/or non-harmonized decision to shortened EU market settlement cycle would necessarily create a gap between the fund shares and market instruments respective settlement cycles, giving rise to costly discrepancies between the two and this, mostly at the expenses of end investors. This would be particularly harmful for ETF management activities given their trading specificities. Indeed, this category of funds generally trade on several venues, which implies cross-CSD operations where more time is required to ensure an accurate cross border settlement of relating operations.</w:t>
      </w:r>
    </w:p>
    <w:p w14:paraId="4A3E216F" w14:textId="77777777" w:rsidR="00DE63EF" w:rsidRDefault="00DE63EF" w:rsidP="00DE63EF">
      <w:pPr>
        <w:spacing w:after="0" w:line="240" w:lineRule="auto"/>
        <w:rPr>
          <w:sz w:val="28"/>
          <w:lang w:val="en-US"/>
        </w:rPr>
      </w:pPr>
    </w:p>
    <w:p w14:paraId="4C9581C8" w14:textId="77777777" w:rsidR="00DE63EF" w:rsidRPr="007723AE" w:rsidRDefault="00DE63EF" w:rsidP="00DE63EF">
      <w:pPr>
        <w:spacing w:after="0" w:line="240" w:lineRule="auto"/>
        <w:rPr>
          <w:sz w:val="28"/>
          <w:lang w:val="en-US"/>
        </w:rPr>
      </w:pPr>
      <w:r>
        <w:rPr>
          <w:sz w:val="28"/>
          <w:lang w:val="en-US"/>
        </w:rPr>
        <w:t xml:space="preserve">Last, but not least, a move of EU markets from T+2 to T+1 would also harm FX markets, with major impacts on actively or passively managed funds that implement multi-currency investment strategies. Notably, the settlement cycle reduction will demand changing pre-trade and post-trade processes on both operational and IT standpoints, giving rise to higher direct and indirect costs. Such a negative environment </w:t>
      </w:r>
      <w:proofErr w:type="gramStart"/>
      <w:r>
        <w:rPr>
          <w:sz w:val="28"/>
          <w:lang w:val="en-US"/>
        </w:rPr>
        <w:t>would be aggravated</w:t>
      </w:r>
      <w:proofErr w:type="gramEnd"/>
      <w:r>
        <w:rPr>
          <w:sz w:val="28"/>
          <w:lang w:val="en-US"/>
        </w:rPr>
        <w:t xml:space="preserve"> by the fragmentation of EU FX markets, made of several currencies.</w:t>
      </w:r>
    </w:p>
    <w:p w14:paraId="66F5F441" w14:textId="77777777" w:rsidR="00DE63EF" w:rsidRPr="00DE63EF" w:rsidRDefault="00DE63EF" w:rsidP="00DE63EF">
      <w:pPr>
        <w:pStyle w:val="Paragraphedeliste"/>
        <w:numPr>
          <w:ilvl w:val="0"/>
          <w:numId w:val="0"/>
        </w:numPr>
        <w:spacing w:after="0" w:line="240" w:lineRule="auto"/>
        <w:ind w:left="720"/>
        <w:jc w:val="left"/>
        <w:rPr>
          <w:sz w:val="28"/>
          <w:lang w:val="en-US"/>
        </w:rPr>
      </w:pPr>
    </w:p>
    <w:permEnd w:id="1228560568"/>
    <w:p w14:paraId="7E8CEB1B" w14:textId="21AEA2B6"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315D81FB" w14:textId="34B60754" w:rsidR="00DE63EF" w:rsidRDefault="00DE63EF" w:rsidP="00DE63EF">
      <w:pPr>
        <w:pStyle w:val="Paragraphedeliste"/>
        <w:numPr>
          <w:ilvl w:val="0"/>
          <w:numId w:val="17"/>
        </w:numPr>
        <w:spacing w:after="160" w:line="252" w:lineRule="auto"/>
        <w:contextualSpacing/>
        <w:jc w:val="left"/>
        <w:rPr>
          <w:sz w:val="28"/>
          <w:lang w:val="en-US"/>
        </w:rPr>
      </w:pPr>
      <w:permStart w:id="45707097" w:edGrp="everyone"/>
      <w:r>
        <w:rPr>
          <w:sz w:val="28"/>
          <w:lang w:val="en-US"/>
        </w:rPr>
        <w:t xml:space="preserve"> </w:t>
      </w:r>
      <w:r w:rsidRPr="001E08DC">
        <w:rPr>
          <w:sz w:val="28"/>
          <w:lang w:val="en-US"/>
        </w:rPr>
        <w:t>Though hedging practices are not usually in the remit of traditional fund managers, it is clear that market-making activities will function much less fluently in a shortened settlement cycle environment, due to heightened difficulty for traders to rely on a “safe” settlement when initiating a position. As mentioned in our response to Q1, a move to T+</w:t>
      </w:r>
      <w:proofErr w:type="gramStart"/>
      <w:r w:rsidRPr="001E08DC">
        <w:rPr>
          <w:sz w:val="28"/>
          <w:lang w:val="en-US"/>
        </w:rPr>
        <w:t>1</w:t>
      </w:r>
      <w:proofErr w:type="gramEnd"/>
      <w:r w:rsidRPr="001E08DC">
        <w:rPr>
          <w:sz w:val="28"/>
          <w:lang w:val="en-US"/>
        </w:rPr>
        <w:t xml:space="preserve"> would inevitably impair markets’ liquidity, thus cut the performance provided by</w:t>
      </w:r>
      <w:r>
        <w:rPr>
          <w:sz w:val="28"/>
          <w:lang w:val="en-US"/>
        </w:rPr>
        <w:t xml:space="preserve"> EU-domiciled mutual funds and</w:t>
      </w:r>
      <w:r w:rsidRPr="001E08DC">
        <w:rPr>
          <w:sz w:val="28"/>
          <w:lang w:val="en-US"/>
        </w:rPr>
        <w:t xml:space="preserve"> weaken their attractiveness. </w:t>
      </w:r>
    </w:p>
    <w:p w14:paraId="26D87874" w14:textId="77777777" w:rsidR="00DE63EF" w:rsidRDefault="00DE63EF" w:rsidP="00DE63EF">
      <w:pPr>
        <w:ind w:left="1070" w:hanging="360"/>
        <w:rPr>
          <w:sz w:val="28"/>
          <w:lang w:val="en-US"/>
        </w:rPr>
      </w:pPr>
      <w:r w:rsidRPr="00DE63EF">
        <w:rPr>
          <w:sz w:val="28"/>
          <w:lang w:val="en-US"/>
        </w:rPr>
        <w:t xml:space="preserve">Consequences regarding a potential rise in pre-hedging practices: we do not have any clear view on this point, which will need to </w:t>
      </w:r>
      <w:proofErr w:type="gramStart"/>
      <w:r w:rsidRPr="00DE63EF">
        <w:rPr>
          <w:sz w:val="28"/>
          <w:lang w:val="en-US"/>
        </w:rPr>
        <w:t>be further analyzed</w:t>
      </w:r>
      <w:proofErr w:type="gramEnd"/>
      <w:r w:rsidRPr="00DE63EF">
        <w:rPr>
          <w:sz w:val="28"/>
          <w:lang w:val="en-US"/>
        </w:rPr>
        <w:t xml:space="preserve"> based on feedback received from sell side participants relying on those practices.</w:t>
      </w:r>
    </w:p>
    <w:p w14:paraId="528E6910" w14:textId="24F7FBCA" w:rsidR="00C5469A" w:rsidRPr="00DE63EF" w:rsidRDefault="00DE63EF" w:rsidP="00DE63EF">
      <w:pPr>
        <w:pStyle w:val="Paragraphedeliste"/>
        <w:numPr>
          <w:ilvl w:val="0"/>
          <w:numId w:val="17"/>
        </w:numPr>
        <w:rPr>
          <w:sz w:val="28"/>
          <w:lang w:val="en-US"/>
        </w:rPr>
      </w:pPr>
      <w:r>
        <w:rPr>
          <w:sz w:val="28"/>
          <w:lang w:val="en-US"/>
        </w:rPr>
        <w:t xml:space="preserve"> </w:t>
      </w:r>
      <w:r w:rsidRPr="00DE63EF">
        <w:rPr>
          <w:sz w:val="28"/>
          <w:lang w:val="en-US"/>
        </w:rPr>
        <w:t xml:space="preserve">Please, see the last part of our response to Q1. The upcoming move of US markets to T+1 is expected to generate serious issues in the FX markets - which currently settle on a T+2 basis - by compressing </w:t>
      </w:r>
      <w:proofErr w:type="gramStart"/>
      <w:r w:rsidRPr="00DE63EF">
        <w:rPr>
          <w:sz w:val="28"/>
          <w:lang w:val="en-US"/>
        </w:rPr>
        <w:t>the</w:t>
      </w:r>
      <w:proofErr w:type="gramEnd"/>
      <w:r w:rsidRPr="00DE63EF">
        <w:rPr>
          <w:sz w:val="28"/>
          <w:lang w:val="en-US"/>
        </w:rPr>
        <w:t xml:space="preserve"> task chain from the trade to its definitive settlement. It will also oblige market participants, including managers of global fixed income, or global equity funds, to deal with different timeframes when implementing multi-currency operations. As for other parts of the markets, only drawbacks have to be feared with less liquidity and more costly fails.</w:t>
      </w:r>
      <w:r w:rsidR="00C5469A">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584C4273" w14:textId="77777777" w:rsidR="00DE63EF" w:rsidRDefault="00DE63EF" w:rsidP="00DE63EF">
      <w:pPr>
        <w:rPr>
          <w:sz w:val="28"/>
          <w:lang w:val="en-US"/>
        </w:rPr>
      </w:pPr>
      <w:permStart w:id="1188046948" w:edGrp="everyone"/>
      <w:r>
        <w:rPr>
          <w:sz w:val="28"/>
          <w:lang w:val="en-US"/>
        </w:rPr>
        <w:t>We tend to reach the highest possible level of STP rate across all types of transactions or instruments. This is the case for equity-linked transactions, and, in a lesser extent, for bond-linked transactions. Maintaining the existing rates would represent a serious challenge should EU regulators decide to shorten market settlement cycle to T+1 without giving reasonable time to market participants to adapt. Obviously, improving the quality of SSI (standard settlement instructions), accelerating the automation of processes or increasing the use of market platforms (Central Trade Matching for example) will help to maintain and to increase these rates.</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027BA32D" w14:textId="77777777" w:rsidR="00DE63EF" w:rsidRDefault="00DE63EF" w:rsidP="00DE63EF">
      <w:pPr>
        <w:rPr>
          <w:sz w:val="28"/>
          <w:lang w:val="en-US"/>
        </w:rPr>
      </w:pPr>
      <w:permStart w:id="19423711" w:edGrp="everyone"/>
      <w:r>
        <w:rPr>
          <w:sz w:val="28"/>
          <w:lang w:val="en-US"/>
        </w:rPr>
        <w:t xml:space="preserve">As already mentioned, shortening settlement </w:t>
      </w:r>
      <w:proofErr w:type="gramStart"/>
      <w:r>
        <w:rPr>
          <w:sz w:val="28"/>
          <w:lang w:val="en-US"/>
        </w:rPr>
        <w:t>cycle  for</w:t>
      </w:r>
      <w:proofErr w:type="gramEnd"/>
      <w:r>
        <w:rPr>
          <w:sz w:val="28"/>
          <w:lang w:val="en-US"/>
        </w:rPr>
        <w:t xml:space="preserve"> EU markets would not only affect post-trade processes, but would also deteriorate the functioning of all components of financial markets. </w:t>
      </w:r>
    </w:p>
    <w:p w14:paraId="5C2FAB72" w14:textId="77777777" w:rsidR="00DE63EF" w:rsidRDefault="00DE63EF" w:rsidP="00DE63EF">
      <w:pPr>
        <w:rPr>
          <w:sz w:val="28"/>
          <w:lang w:val="en-US"/>
        </w:rPr>
      </w:pPr>
      <w:r>
        <w:rPr>
          <w:sz w:val="28"/>
          <w:lang w:val="en-US"/>
        </w:rPr>
        <w:t xml:space="preserve">Trading activities </w:t>
      </w:r>
      <w:proofErr w:type="gramStart"/>
      <w:r>
        <w:rPr>
          <w:sz w:val="28"/>
          <w:lang w:val="en-US"/>
        </w:rPr>
        <w:t>could be impacted</w:t>
      </w:r>
      <w:proofErr w:type="gramEnd"/>
      <w:r>
        <w:rPr>
          <w:sz w:val="28"/>
          <w:lang w:val="en-US"/>
        </w:rPr>
        <w:t xml:space="preserve"> by such a move, as the likely rise in fails and relating costs could negatively affect market liquidity. Both fixed income and equity markets traders would have to face additional risk due to growing uncertainty when providing a quotation to market participants. This </w:t>
      </w:r>
      <w:proofErr w:type="gramStart"/>
      <w:r>
        <w:rPr>
          <w:sz w:val="28"/>
          <w:lang w:val="en-US"/>
        </w:rPr>
        <w:t>will be reflected</w:t>
      </w:r>
      <w:proofErr w:type="gramEnd"/>
      <w:r>
        <w:rPr>
          <w:sz w:val="28"/>
          <w:lang w:val="en-US"/>
        </w:rPr>
        <w:t xml:space="preserve"> in the securities lending and repo markets as it will be more challenging to borrow securities. Indeed, some security lenders - currently </w:t>
      </w:r>
      <w:proofErr w:type="gramStart"/>
      <w:r>
        <w:rPr>
          <w:sz w:val="28"/>
          <w:lang w:val="en-US"/>
        </w:rPr>
        <w:t>active  -</w:t>
      </w:r>
      <w:proofErr w:type="gramEnd"/>
      <w:r>
        <w:rPr>
          <w:sz w:val="28"/>
          <w:lang w:val="en-US"/>
        </w:rPr>
        <w:t xml:space="preserve"> would probably exit these markets for the abovementioned reasons. </w:t>
      </w:r>
    </w:p>
    <w:p w14:paraId="2BD113CD" w14:textId="77777777" w:rsidR="00DE63EF" w:rsidRDefault="00DE63EF" w:rsidP="00DE63EF">
      <w:pPr>
        <w:rPr>
          <w:sz w:val="28"/>
          <w:lang w:val="en-US"/>
        </w:rPr>
      </w:pPr>
      <w:r>
        <w:rPr>
          <w:sz w:val="28"/>
          <w:lang w:val="en-US"/>
        </w:rPr>
        <w:t xml:space="preserve">The performance of mutual funds, including the ones held by retail investors, </w:t>
      </w:r>
      <w:proofErr w:type="gramStart"/>
      <w:r>
        <w:rPr>
          <w:sz w:val="28"/>
          <w:lang w:val="en-US"/>
        </w:rPr>
        <w:t>would be doubly affected</w:t>
      </w:r>
      <w:proofErr w:type="gramEnd"/>
      <w:r>
        <w:rPr>
          <w:sz w:val="28"/>
          <w:lang w:val="en-US"/>
        </w:rPr>
        <w:t>. First, less liquidity would lead to a more expensive access to financial markets. Second, mutual funds could be obliged to reduce, or abandon, their securities lending / repo operations, thus missing a source of additional performance. Both factors would obviously impair funds’ attractiveness, thus divert retail investors from these products.</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27A205C" w14:textId="77777777" w:rsidR="00DE63EF" w:rsidRPr="009B150C" w:rsidRDefault="00DE63EF" w:rsidP="00DE63EF">
      <w:pPr>
        <w:rPr>
          <w:sz w:val="28"/>
          <w:lang w:val="en-US"/>
        </w:rPr>
      </w:pPr>
      <w:permStart w:id="1238857977" w:edGrp="everyone"/>
      <w:r w:rsidRPr="009B150C">
        <w:rPr>
          <w:sz w:val="28"/>
          <w:lang w:val="en-US"/>
        </w:rPr>
        <w:t xml:space="preserve">A meaningful cost analysis as requested under this question is impossible to </w:t>
      </w:r>
      <w:proofErr w:type="gramStart"/>
      <w:r w:rsidRPr="009B150C">
        <w:rPr>
          <w:sz w:val="28"/>
          <w:lang w:val="en-US"/>
        </w:rPr>
        <w:t>be conducted</w:t>
      </w:r>
      <w:proofErr w:type="gramEnd"/>
      <w:r w:rsidRPr="009B150C">
        <w:rPr>
          <w:sz w:val="28"/>
          <w:lang w:val="en-US"/>
        </w:rPr>
        <w:t xml:space="preserve"> at this stage as we are lacking reliable elements on all fronts. </w:t>
      </w:r>
    </w:p>
    <w:p w14:paraId="023845AA" w14:textId="4DF23879" w:rsidR="00DE63EF" w:rsidRDefault="00DE63EF" w:rsidP="00DE63EF">
      <w:pPr>
        <w:rPr>
          <w:sz w:val="28"/>
          <w:lang w:val="en-US"/>
        </w:rPr>
      </w:pPr>
      <w:r w:rsidRPr="009B150C">
        <w:rPr>
          <w:sz w:val="28"/>
          <w:lang w:val="en-US"/>
        </w:rPr>
        <w:t xml:space="preserve">As already </w:t>
      </w:r>
      <w:proofErr w:type="gramStart"/>
      <w:r>
        <w:rPr>
          <w:sz w:val="28"/>
          <w:lang w:val="en-US"/>
        </w:rPr>
        <w:t>stated</w:t>
      </w:r>
      <w:proofErr w:type="gramEnd"/>
      <w:r>
        <w:rPr>
          <w:sz w:val="28"/>
          <w:lang w:val="en-US"/>
        </w:rPr>
        <w:t xml:space="preserve"> the implementation of</w:t>
      </w:r>
      <w:r w:rsidRPr="009B150C">
        <w:rPr>
          <w:sz w:val="28"/>
          <w:lang w:val="en-US"/>
        </w:rPr>
        <w:t xml:space="preserve"> T+1 will severely impact the whole value chain involved in the settlement lifecycle. This also includes</w:t>
      </w:r>
      <w:r>
        <w:rPr>
          <w:sz w:val="28"/>
          <w:lang w:val="en-US"/>
        </w:rPr>
        <w:t>,</w:t>
      </w:r>
      <w:r w:rsidRPr="009B150C">
        <w:rPr>
          <w:sz w:val="28"/>
          <w:lang w:val="en-US"/>
        </w:rPr>
        <w:t xml:space="preserve"> in the case of asset managers</w:t>
      </w:r>
      <w:r>
        <w:rPr>
          <w:sz w:val="28"/>
          <w:lang w:val="en-US"/>
        </w:rPr>
        <w:t>,</w:t>
      </w:r>
      <w:r w:rsidRPr="009B150C">
        <w:rPr>
          <w:sz w:val="28"/>
          <w:lang w:val="en-US"/>
        </w:rPr>
        <w:t xml:space="preserve"> third party service providers, which are essential to fund management and distribution of our products (Fund administrators, distributors …) and last but not least investors.  What </w:t>
      </w:r>
      <w:proofErr w:type="gramStart"/>
      <w:r w:rsidRPr="009B150C">
        <w:rPr>
          <w:sz w:val="28"/>
          <w:lang w:val="en-US"/>
        </w:rPr>
        <w:t>can be said</w:t>
      </w:r>
      <w:proofErr w:type="gramEnd"/>
      <w:r w:rsidRPr="009B150C">
        <w:rPr>
          <w:sz w:val="28"/>
          <w:lang w:val="en-US"/>
        </w:rPr>
        <w:t xml:space="preserve"> with certainty is that asset managers will be confronted to significant direct and indirect costs including but not limited to:</w:t>
      </w:r>
    </w:p>
    <w:p w14:paraId="682B9A2A"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Operational and IT costs</w:t>
      </w:r>
    </w:p>
    <w:p w14:paraId="6BC6306C"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 xml:space="preserve">Staffing costs </w:t>
      </w:r>
    </w:p>
    <w:p w14:paraId="2D3C800B"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Trading Costs for accessing liquidity and risk pricing as borrowing and financing will become more expensive</w:t>
      </w:r>
    </w:p>
    <w:p w14:paraId="0508F38D"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Funding Costs</w:t>
      </w:r>
    </w:p>
    <w:p w14:paraId="43741BA0"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Costs related to the expected increase of settlement fails</w:t>
      </w:r>
    </w:p>
    <w:p w14:paraId="585493D4"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 xml:space="preserve">Pass through costs to be absorbed from service providers, intermediaries and  market infrastructures </w:t>
      </w:r>
    </w:p>
    <w:p w14:paraId="3FB80987" w14:textId="77777777" w:rsidR="00DE63EF" w:rsidRPr="009B150C" w:rsidRDefault="00DE63EF" w:rsidP="00DE63EF">
      <w:pPr>
        <w:pStyle w:val="Paragraphedeliste"/>
        <w:numPr>
          <w:ilvl w:val="0"/>
          <w:numId w:val="18"/>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Legal costs</w:t>
      </w:r>
      <w:r>
        <w:rPr>
          <w:rFonts w:asciiTheme="minorHAnsi" w:hAnsiTheme="minorHAnsi" w:cstheme="minorBidi"/>
          <w:sz w:val="28"/>
          <w:lang w:val="en-US"/>
        </w:rPr>
        <w:t xml:space="preserve"> </w:t>
      </w:r>
    </w:p>
    <w:p w14:paraId="051111A9" w14:textId="0E5B073E" w:rsidR="00DE63EF" w:rsidRPr="009B150C" w:rsidRDefault="00DE63EF" w:rsidP="00DE63EF">
      <w:pPr>
        <w:rPr>
          <w:sz w:val="28"/>
          <w:lang w:val="en-US"/>
        </w:rPr>
      </w:pP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3E9BECA9" w14:textId="77777777" w:rsidR="00DE63EF" w:rsidRDefault="00DE63EF" w:rsidP="00DE63EF">
      <w:pPr>
        <w:rPr>
          <w:sz w:val="28"/>
          <w:lang w:val="en-US"/>
        </w:rPr>
      </w:pPr>
      <w:permStart w:id="367399486" w:edGrp="everyone"/>
      <w:r>
        <w:rPr>
          <w:sz w:val="28"/>
          <w:lang w:val="en-US"/>
        </w:rPr>
        <w:t>While it is difficult to provide precise figures, we expect that the hastier a move to T+</w:t>
      </w:r>
      <w:proofErr w:type="gramStart"/>
      <w:r>
        <w:rPr>
          <w:sz w:val="28"/>
          <w:lang w:val="en-US"/>
        </w:rPr>
        <w:t>1</w:t>
      </w:r>
      <w:proofErr w:type="gramEnd"/>
      <w:r>
        <w:rPr>
          <w:sz w:val="28"/>
          <w:lang w:val="en-US"/>
        </w:rPr>
        <w:t xml:space="preserve"> is imposed to market participants, the more likely we will see a spike in settlement fails. On top of this assessment, where a market crisis occurred during the period when market participants will have to comply with these new rules, financial stability would be further at risk.</w:t>
      </w:r>
    </w:p>
    <w:p w14:paraId="7ED2E81B" w14:textId="77777777" w:rsidR="00DE63EF" w:rsidRDefault="00DE63EF" w:rsidP="00DE63EF">
      <w:pPr>
        <w:rPr>
          <w:sz w:val="28"/>
          <w:lang w:val="en-US"/>
        </w:rPr>
      </w:pPr>
      <w:r>
        <w:rPr>
          <w:sz w:val="28"/>
          <w:lang w:val="en-US"/>
        </w:rPr>
        <w:t xml:space="preserve">It is again highly recommended to provide EU actors with reasonable time for them to </w:t>
      </w:r>
      <w:proofErr w:type="gramStart"/>
      <w:r>
        <w:rPr>
          <w:sz w:val="28"/>
          <w:lang w:val="en-US"/>
        </w:rPr>
        <w:t>get prepared</w:t>
      </w:r>
      <w:proofErr w:type="gramEnd"/>
      <w:r>
        <w:rPr>
          <w:sz w:val="28"/>
          <w:lang w:val="en-US"/>
        </w:rPr>
        <w:t xml:space="preserve"> for such a change.</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7AEBF524" w14:textId="77777777" w:rsidR="00DE63EF" w:rsidRDefault="00DE63EF" w:rsidP="00DE63EF">
      <w:pPr>
        <w:rPr>
          <w:sz w:val="28"/>
          <w:lang w:val="en-US"/>
        </w:rPr>
      </w:pPr>
      <w:permStart w:id="1217420632" w:edGrp="everyone"/>
      <w:r>
        <w:rPr>
          <w:sz w:val="28"/>
          <w:lang w:val="en-US"/>
        </w:rPr>
        <w:t xml:space="preserve">The upcoming change in US market settlement cycle rules </w:t>
      </w:r>
      <w:proofErr w:type="gramStart"/>
      <w:r>
        <w:rPr>
          <w:sz w:val="28"/>
          <w:lang w:val="en-US"/>
        </w:rPr>
        <w:t>should be seen</w:t>
      </w:r>
      <w:proofErr w:type="gramEnd"/>
      <w:r>
        <w:rPr>
          <w:sz w:val="28"/>
          <w:lang w:val="en-US"/>
        </w:rPr>
        <w:t xml:space="preserve"> as an opportunity to make a comprehensive assessment of the impact involved by a similar change in EU market rules.</w:t>
      </w:r>
    </w:p>
    <w:p w14:paraId="49284DA1" w14:textId="77777777" w:rsidR="00DE63EF" w:rsidRDefault="00DE63EF" w:rsidP="00DE63EF">
      <w:pPr>
        <w:rPr>
          <w:sz w:val="28"/>
          <w:lang w:val="en-US"/>
        </w:rPr>
      </w:pPr>
      <w:r>
        <w:rPr>
          <w:sz w:val="28"/>
          <w:lang w:val="en-US"/>
        </w:rPr>
        <w:t xml:space="preserve">All things being equal, we can expect that the surge in settlement fails </w:t>
      </w:r>
      <w:proofErr w:type="gramStart"/>
      <w:r>
        <w:rPr>
          <w:sz w:val="28"/>
          <w:lang w:val="en-US"/>
        </w:rPr>
        <w:t>will be followed</w:t>
      </w:r>
      <w:proofErr w:type="gramEnd"/>
      <w:r>
        <w:rPr>
          <w:sz w:val="28"/>
          <w:lang w:val="en-US"/>
        </w:rPr>
        <w:t xml:space="preserve"> by a bounce in settlement efficiency rates and with more severe consequences as for other jurisdictions (i.e. penalty regime under CSDR). </w:t>
      </w:r>
    </w:p>
    <w:p w14:paraId="2A36F487" w14:textId="77777777" w:rsidR="00DE63EF" w:rsidRDefault="00DE63EF" w:rsidP="00DE63EF">
      <w:pPr>
        <w:rPr>
          <w:sz w:val="28"/>
          <w:lang w:val="en-US"/>
        </w:rPr>
      </w:pPr>
      <w:r>
        <w:rPr>
          <w:sz w:val="28"/>
          <w:lang w:val="en-US"/>
        </w:rPr>
        <w:t xml:space="preserve">In this </w:t>
      </w:r>
      <w:proofErr w:type="gramStart"/>
      <w:r>
        <w:rPr>
          <w:sz w:val="28"/>
          <w:lang w:val="en-US"/>
        </w:rPr>
        <w:t>context</w:t>
      </w:r>
      <w:proofErr w:type="gramEnd"/>
      <w:r>
        <w:rPr>
          <w:sz w:val="28"/>
          <w:lang w:val="en-US"/>
        </w:rPr>
        <w:t xml:space="preserve"> we would like to stress the following: though this review has not yet ended, we understand that the introduction of MBI (mandatory buy-in) requirements could be triggered by a surge in settlement fails during the first phase of the application of the new penalty regime. Thus, there is a significant risk to see MBI rules being </w:t>
      </w:r>
      <w:proofErr w:type="gramStart"/>
      <w:r>
        <w:rPr>
          <w:sz w:val="28"/>
          <w:lang w:val="en-US"/>
        </w:rPr>
        <w:t>adopted</w:t>
      </w:r>
      <w:proofErr w:type="gramEnd"/>
      <w:r>
        <w:rPr>
          <w:sz w:val="28"/>
          <w:lang w:val="en-US"/>
        </w:rPr>
        <w:t xml:space="preserve"> and implemented only because of a shortened settlement cycle being adopted and implemented by EU lawmakers without the necessary prior upgrade of settlement efficiencies. With respect to MBI, we would like to recall that almost all market participants, whether from the sell-side or the buy-side, have expressed their deep concerns by strongly opposing the inclusion of such mechanism, seen as a liquidity-killer, in CSDR. </w:t>
      </w:r>
    </w:p>
    <w:p w14:paraId="194FAD1F" w14:textId="77777777" w:rsidR="00DE63EF" w:rsidRDefault="00DE63EF" w:rsidP="00DE63EF">
      <w:pPr>
        <w:rPr>
          <w:sz w:val="28"/>
          <w:lang w:val="en-US"/>
        </w:rPr>
      </w:pPr>
      <w:r>
        <w:rPr>
          <w:sz w:val="28"/>
          <w:lang w:val="en-US"/>
        </w:rPr>
        <w:t>We can see here an additional reason why not unreasonably rushing into such a change and giving stakeholders enough time to assess the impact of this move, before defining a legislative calendar for implementation.</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50E9DBB9" w14:textId="77777777" w:rsidR="00DE63EF" w:rsidRDefault="00DE63EF" w:rsidP="00DE63EF">
      <w:pPr>
        <w:rPr>
          <w:sz w:val="28"/>
          <w:szCs w:val="28"/>
          <w:lang w:val="en-US"/>
        </w:rPr>
      </w:pPr>
      <w:permStart w:id="736563321" w:edGrp="everyone"/>
      <w:r>
        <w:rPr>
          <w:sz w:val="28"/>
          <w:szCs w:val="28"/>
          <w:lang w:val="en-US"/>
        </w:rPr>
        <w:t xml:space="preserve">One example of the potential costly impacts ESMA should take into consideration </w:t>
      </w:r>
      <w:proofErr w:type="gramStart"/>
      <w:r>
        <w:rPr>
          <w:sz w:val="28"/>
          <w:szCs w:val="28"/>
          <w:lang w:val="en-US"/>
        </w:rPr>
        <w:t>can be found</w:t>
      </w:r>
      <w:proofErr w:type="gramEnd"/>
      <w:r>
        <w:rPr>
          <w:sz w:val="28"/>
          <w:szCs w:val="28"/>
          <w:lang w:val="en-US"/>
        </w:rPr>
        <w:t xml:space="preserve"> in the CLS (continuous linked settlement) practices. Indeed, using CLS enables market operators to regroup, compensate, and automate a series of FX operations settlement, thus reducing the risk of fails. However, to be eligible for settlement in CLS, trades instructions need to be sent and matched in CLS via custodians earlier than for  gross settlement (CLS cut-off is midnight CET, but for most currencies European custodians typically only accept to settle in CLS when trade instructions are received before 17:00 or 18:00 for settlement on T+1). </w:t>
      </w:r>
      <w:proofErr w:type="gramStart"/>
      <w:r>
        <w:rPr>
          <w:sz w:val="28"/>
          <w:szCs w:val="28"/>
          <w:lang w:val="en-US"/>
        </w:rPr>
        <w:t>A T+1 settlement cycle will prevent a number of operations from being settled through CLS (T+1 transactions executed late in the afternoon and all T+0 trades), thus obliging counterparties to use bilateral settlement which is operationally risky in time-compressed conditions, increases the risk of fails (creating potential claims) and the impact of potential defaults (CLS settlement is payment vs payment).  </w:t>
      </w:r>
      <w:proofErr w:type="gramEnd"/>
    </w:p>
    <w:p w14:paraId="369F1635" w14:textId="77777777" w:rsidR="00DE63EF" w:rsidRDefault="00DE63EF" w:rsidP="00DE63EF">
      <w:pPr>
        <w:rPr>
          <w:sz w:val="28"/>
          <w:szCs w:val="28"/>
          <w:lang w:val="en-US"/>
        </w:rPr>
      </w:pPr>
      <w:r>
        <w:rPr>
          <w:sz w:val="28"/>
          <w:szCs w:val="28"/>
          <w:lang w:val="en-US"/>
        </w:rPr>
        <w:t xml:space="preserve">Because settling gross (outside of CLS) significantly increases counterparty risk for both sides of the trade, the pricing of </w:t>
      </w:r>
      <w:proofErr w:type="gramStart"/>
      <w:r>
        <w:rPr>
          <w:sz w:val="28"/>
          <w:szCs w:val="28"/>
          <w:lang w:val="en-US"/>
        </w:rPr>
        <w:t>our counterparties</w:t>
      </w:r>
      <w:proofErr w:type="gramEnd"/>
      <w:r>
        <w:rPr>
          <w:sz w:val="28"/>
          <w:szCs w:val="28"/>
          <w:lang w:val="en-US"/>
        </w:rPr>
        <w:t xml:space="preserve"> will eventually reflect this added risk and the cost of execution for the portfolios will therefore increase for the trades impacted by the shortening of settlement cycle. </w:t>
      </w:r>
    </w:p>
    <w:p w14:paraId="1023CC78" w14:textId="77777777" w:rsidR="00DE63EF" w:rsidRDefault="00DE63EF" w:rsidP="00DE63EF">
      <w:pPr>
        <w:rPr>
          <w:sz w:val="28"/>
          <w:szCs w:val="28"/>
          <w:lang w:val="en-US"/>
        </w:rPr>
      </w:pPr>
      <w:proofErr w:type="gramStart"/>
      <w:r>
        <w:rPr>
          <w:sz w:val="28"/>
          <w:szCs w:val="28"/>
          <w:lang w:val="en-US"/>
        </w:rPr>
        <w:t>Again</w:t>
      </w:r>
      <w:proofErr w:type="gramEnd"/>
      <w:r>
        <w:rPr>
          <w:sz w:val="28"/>
          <w:szCs w:val="28"/>
          <w:lang w:val="en-US"/>
        </w:rPr>
        <w:t xml:space="preserve"> it is easy to anticipate the unnecessary damages and associated costs that a move to T+1 would have on these activities.</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463355C8" w14:textId="77777777" w:rsidR="00DE63EF" w:rsidRPr="009B150C" w:rsidRDefault="00DE63EF" w:rsidP="00DE63EF">
      <w:pPr>
        <w:rPr>
          <w:sz w:val="28"/>
          <w:szCs w:val="28"/>
          <w:lang w:val="en-US"/>
        </w:rPr>
      </w:pPr>
      <w:permStart w:id="1982556193" w:edGrp="everyone"/>
      <w:r w:rsidRPr="009B150C">
        <w:rPr>
          <w:sz w:val="28"/>
          <w:szCs w:val="28"/>
          <w:lang w:val="en-US"/>
        </w:rPr>
        <w:t xml:space="preserve">We think that all listed potential benefits should be supported by a qualitative and quantitative </w:t>
      </w:r>
      <w:proofErr w:type="gramStart"/>
      <w:r w:rsidRPr="009B150C">
        <w:rPr>
          <w:sz w:val="28"/>
          <w:szCs w:val="28"/>
          <w:lang w:val="en-US"/>
        </w:rPr>
        <w:t>assessment which</w:t>
      </w:r>
      <w:proofErr w:type="gramEnd"/>
      <w:r w:rsidRPr="009B150C">
        <w:rPr>
          <w:sz w:val="28"/>
          <w:szCs w:val="28"/>
          <w:lang w:val="en-US"/>
        </w:rPr>
        <w:t xml:space="preserve"> is not available yet. From a buy side perspective, we do not see direct benefits other than the elimination of misalignment with the US</w:t>
      </w:r>
      <w:r>
        <w:rPr>
          <w:sz w:val="28"/>
          <w:szCs w:val="28"/>
          <w:lang w:val="en-US"/>
        </w:rPr>
        <w:t xml:space="preserve"> or other jurisdictions</w:t>
      </w:r>
      <w:r w:rsidRPr="009B150C">
        <w:rPr>
          <w:sz w:val="28"/>
          <w:szCs w:val="28"/>
          <w:lang w:val="en-US"/>
        </w:rPr>
        <w:t>.</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658C3F46" w14:textId="77777777" w:rsidR="00DE63EF" w:rsidRPr="009B150C" w:rsidRDefault="00DE63EF" w:rsidP="00DE63EF">
      <w:pPr>
        <w:rPr>
          <w:sz w:val="28"/>
          <w:szCs w:val="28"/>
          <w:lang w:val="en-US"/>
        </w:rPr>
      </w:pPr>
      <w:permStart w:id="639642393" w:edGrp="everyone"/>
      <w:r w:rsidRPr="009B150C">
        <w:rPr>
          <w:sz w:val="28"/>
          <w:szCs w:val="28"/>
          <w:lang w:val="en-US"/>
        </w:rPr>
        <w:t xml:space="preserve">At this stage, we cannot see any quantifiable direct savings for asset managers and their investors. </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6618F9E3" w14:textId="77777777" w:rsidR="00DE63EF" w:rsidRPr="009B150C" w:rsidRDefault="00DE63EF" w:rsidP="005D59DC">
      <w:pPr>
        <w:rPr>
          <w:sz w:val="28"/>
          <w:szCs w:val="28"/>
          <w:lang w:val="en-US"/>
        </w:rPr>
      </w:pPr>
      <w:permStart w:id="78006216" w:edGrp="everyone"/>
      <w:r w:rsidRPr="009B150C">
        <w:rPr>
          <w:sz w:val="28"/>
          <w:szCs w:val="28"/>
          <w:lang w:val="en-US"/>
        </w:rPr>
        <w:t>More automated processes, aligned settlement practices across the pan European post trade ecosystem and reduced number of national CSDs are necessary and would bring on-going savings over time but this is independent from a shortened settlement cycle.</w:t>
      </w:r>
    </w:p>
    <w:p w14:paraId="01127EAF" w14:textId="77777777" w:rsidR="00DE63EF" w:rsidRDefault="00DE63EF" w:rsidP="00C5469A">
      <w:pPr>
        <w:rPr>
          <w:sz w:val="28"/>
          <w:szCs w:val="28"/>
          <w:lang w:val="en-US"/>
        </w:rPr>
      </w:pPr>
      <w:r w:rsidRPr="009B150C">
        <w:rPr>
          <w:sz w:val="28"/>
          <w:szCs w:val="28"/>
          <w:lang w:val="en-US"/>
        </w:rPr>
        <w:t xml:space="preserve">Reforms and work should in a first step focus on increasing the efficiency and safety of post trade markets before </w:t>
      </w:r>
      <w:r>
        <w:rPr>
          <w:sz w:val="28"/>
          <w:szCs w:val="28"/>
          <w:lang w:val="en-US"/>
        </w:rPr>
        <w:t xml:space="preserve">mandatory </w:t>
      </w:r>
      <w:r w:rsidRPr="009B150C">
        <w:rPr>
          <w:sz w:val="28"/>
          <w:szCs w:val="28"/>
          <w:lang w:val="en-US"/>
        </w:rPr>
        <w:t>T+</w:t>
      </w:r>
      <w:proofErr w:type="gramStart"/>
      <w:r w:rsidRPr="009B150C">
        <w:rPr>
          <w:sz w:val="28"/>
          <w:szCs w:val="28"/>
          <w:lang w:val="en-US"/>
        </w:rPr>
        <w:t>1</w:t>
      </w:r>
      <w:proofErr w:type="gramEnd"/>
      <w:r w:rsidRPr="009B150C">
        <w:rPr>
          <w:sz w:val="28"/>
          <w:szCs w:val="28"/>
          <w:lang w:val="en-US"/>
        </w:rPr>
        <w:t xml:space="preserve"> comes as a consequence. </w:t>
      </w:r>
    </w:p>
    <w:permEnd w:id="78006216"/>
    <w:p w14:paraId="25446109" w14:textId="50B66A22"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216E2F74" w14:textId="77777777" w:rsidR="00DE63EF" w:rsidRDefault="00DE63EF" w:rsidP="00DE63EF">
      <w:pPr>
        <w:rPr>
          <w:sz w:val="28"/>
          <w:lang w:val="en-US"/>
        </w:rPr>
      </w:pPr>
      <w:permStart w:id="27267923" w:edGrp="everyone"/>
      <w:r>
        <w:rPr>
          <w:sz w:val="28"/>
          <w:lang w:val="en-US"/>
        </w:rPr>
        <w:t>As already mentioned, market liquidity is likely to be seriously impacted by a shorter settlement cycle that would have been decided and implemented with an unrealistic calendar and/or insufficiently harmonized manner.</w:t>
      </w:r>
    </w:p>
    <w:p w14:paraId="1B1F2F83" w14:textId="77777777" w:rsidR="00DE63EF" w:rsidRDefault="00DE63EF" w:rsidP="00DE63EF">
      <w:pPr>
        <w:rPr>
          <w:sz w:val="28"/>
          <w:lang w:val="en-US"/>
        </w:rPr>
      </w:pPr>
      <w:r>
        <w:rPr>
          <w:sz w:val="28"/>
          <w:lang w:val="en-US"/>
        </w:rPr>
        <w:t>Less liquidity in financial markets will impair investment funds’ attractiveness. This is the exact opposite of the objective sought by the CMU project aiming to increase the participation of EU citizens to the EU real economy financing through capital markets.</w:t>
      </w:r>
    </w:p>
    <w:permEnd w:id="27267923"/>
    <w:p w14:paraId="1B6472CD" w14:textId="77777777" w:rsidR="00C5469A" w:rsidRDefault="00C5469A" w:rsidP="00C5469A">
      <w:r>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18B82D06" w14:textId="77777777" w:rsidR="00DE63EF" w:rsidRDefault="00DE63EF" w:rsidP="00DE63EF">
      <w:pPr>
        <w:rPr>
          <w:sz w:val="28"/>
          <w:lang w:val="en-US"/>
        </w:rPr>
      </w:pPr>
      <w:permStart w:id="75696228" w:edGrp="everyone"/>
      <w:r>
        <w:rPr>
          <w:sz w:val="28"/>
          <w:lang w:val="en-US"/>
        </w:rPr>
        <w:t>We unfortunately hardly see any benefit for retail clients as long as the consequences of a move to T+</w:t>
      </w:r>
      <w:proofErr w:type="gramStart"/>
      <w:r>
        <w:rPr>
          <w:sz w:val="28"/>
          <w:lang w:val="en-US"/>
        </w:rPr>
        <w:t>1</w:t>
      </w:r>
      <w:proofErr w:type="gramEnd"/>
      <w:r>
        <w:rPr>
          <w:sz w:val="28"/>
          <w:lang w:val="en-US"/>
        </w:rPr>
        <w:t xml:space="preserve"> will result in withdrawing performance from the products they invest in. In addition, the decline in market liquidity could force asset managers to close some of the funds they offer once assessed that such funds have lost their ability to provide attractive performance to their shareholders. Benefit </w:t>
      </w:r>
      <w:proofErr w:type="gramStart"/>
      <w:r>
        <w:rPr>
          <w:sz w:val="28"/>
          <w:lang w:val="en-US"/>
        </w:rPr>
        <w:t>will be found</w:t>
      </w:r>
      <w:proofErr w:type="gramEnd"/>
      <w:r>
        <w:rPr>
          <w:sz w:val="28"/>
          <w:lang w:val="en-US"/>
        </w:rPr>
        <w:t xml:space="preserve"> for retail clients if regulators coordinate their processes on a global basis on this topic that obviously involves markets that are widely interconnected. </w:t>
      </w:r>
      <w:proofErr w:type="gramStart"/>
      <w:r>
        <w:rPr>
          <w:sz w:val="28"/>
          <w:lang w:val="en-US"/>
        </w:rPr>
        <w:t>As it has not been the case with the US decision taken in February 2023, policy makers and regulators of other important jurisdictions, such as EU and UK, should closely coordinate their efforts and granting actors involved in the settlement lifecycle already time needed to adapt their systems and tools  including  their front, middle and back-office processes, to the upcoming change in US markets.</w:t>
      </w:r>
      <w:proofErr w:type="gramEnd"/>
      <w:r>
        <w:rPr>
          <w:sz w:val="28"/>
          <w:lang w:val="en-US"/>
        </w:rPr>
        <w:t xml:space="preserve"> </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1D3694CB" w14:textId="77777777" w:rsidR="00C375CC" w:rsidRDefault="00C375CC" w:rsidP="00C375CC">
      <w:pPr>
        <w:rPr>
          <w:sz w:val="28"/>
          <w:lang w:val="en-US"/>
        </w:rPr>
      </w:pPr>
      <w:permStart w:id="1702320082" w:edGrp="everyone"/>
      <w:r>
        <w:rPr>
          <w:sz w:val="28"/>
          <w:lang w:val="en-US"/>
        </w:rPr>
        <w:t>Please, see our response to the question 13.</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4EFA1DA4" w14:textId="1C9EE1B6" w:rsidR="00C375CC" w:rsidRDefault="00C375CC" w:rsidP="00C375CC">
      <w:pPr>
        <w:rPr>
          <w:sz w:val="28"/>
          <w:lang w:val="en-US"/>
        </w:rPr>
      </w:pPr>
      <w:permStart w:id="1673478500" w:edGrp="everyone"/>
      <w:r w:rsidRPr="009B150C">
        <w:rPr>
          <w:sz w:val="28"/>
          <w:lang w:val="en-US"/>
        </w:rPr>
        <w:t>Definition of a roadmap to T+</w:t>
      </w:r>
      <w:proofErr w:type="gramStart"/>
      <w:r w:rsidRPr="009B150C">
        <w:rPr>
          <w:sz w:val="28"/>
          <w:lang w:val="en-US"/>
        </w:rPr>
        <w:t>1</w:t>
      </w:r>
      <w:proofErr w:type="gramEnd"/>
      <w:r w:rsidRPr="009B150C">
        <w:rPr>
          <w:sz w:val="28"/>
          <w:lang w:val="en-US"/>
        </w:rPr>
        <w:t xml:space="preserve"> in the EU should comprise the following milestones</w:t>
      </w:r>
    </w:p>
    <w:p w14:paraId="4DB6E2A6" w14:textId="77777777" w:rsidR="00C375CC" w:rsidRDefault="00C375CC" w:rsidP="00C375CC">
      <w:pPr>
        <w:pStyle w:val="Paragraphedeliste"/>
        <w:numPr>
          <w:ilvl w:val="0"/>
          <w:numId w:val="19"/>
        </w:numPr>
        <w:spacing w:after="160" w:line="252" w:lineRule="auto"/>
        <w:contextualSpacing/>
        <w:jc w:val="left"/>
        <w:rPr>
          <w:rFonts w:asciiTheme="minorHAnsi" w:hAnsiTheme="minorHAnsi" w:cstheme="minorBidi"/>
          <w:sz w:val="28"/>
          <w:lang w:val="en-US"/>
        </w:rPr>
      </w:pPr>
      <w:r>
        <w:rPr>
          <w:rFonts w:asciiTheme="minorHAnsi" w:hAnsiTheme="minorHAnsi" w:cstheme="minorBidi"/>
          <w:sz w:val="28"/>
          <w:lang w:val="en-US"/>
        </w:rPr>
        <w:t>Give EU market participants needed time to implement the shift in North America</w:t>
      </w:r>
    </w:p>
    <w:p w14:paraId="7C21C681" w14:textId="77777777" w:rsidR="00C375CC" w:rsidRPr="009B150C" w:rsidRDefault="00C375CC" w:rsidP="00C375CC">
      <w:pPr>
        <w:pStyle w:val="Paragraphedeliste"/>
        <w:numPr>
          <w:ilvl w:val="0"/>
          <w:numId w:val="19"/>
        </w:numPr>
        <w:spacing w:after="160" w:line="252" w:lineRule="auto"/>
        <w:contextualSpacing/>
        <w:jc w:val="left"/>
        <w:rPr>
          <w:rFonts w:asciiTheme="minorHAnsi" w:hAnsiTheme="minorHAnsi" w:cstheme="minorBidi"/>
          <w:sz w:val="28"/>
          <w:lang w:val="en-US"/>
        </w:rPr>
      </w:pPr>
      <w:r>
        <w:rPr>
          <w:rFonts w:asciiTheme="minorHAnsi" w:hAnsiTheme="minorHAnsi" w:cstheme="minorBidi"/>
          <w:sz w:val="28"/>
          <w:lang w:val="en-US"/>
        </w:rPr>
        <w:t xml:space="preserve">Conduct </w:t>
      </w:r>
      <w:r w:rsidRPr="009B150C">
        <w:rPr>
          <w:rFonts w:asciiTheme="minorHAnsi" w:hAnsiTheme="minorHAnsi" w:cstheme="minorBidi"/>
          <w:sz w:val="28"/>
          <w:lang w:val="en-US"/>
        </w:rPr>
        <w:t>Solid Cost/Benefit Analysis based amongst others on data and experiences gathered from the US switch</w:t>
      </w:r>
    </w:p>
    <w:p w14:paraId="36C938A7" w14:textId="77777777" w:rsidR="00C375CC" w:rsidRPr="009B150C" w:rsidRDefault="00C375CC" w:rsidP="00C375CC">
      <w:pPr>
        <w:pStyle w:val="Paragraphedeliste"/>
        <w:numPr>
          <w:ilvl w:val="0"/>
          <w:numId w:val="19"/>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Scaling of necessary technical, operational, legal and regulatory pre-requisites an</w:t>
      </w:r>
      <w:r>
        <w:rPr>
          <w:rFonts w:asciiTheme="minorHAnsi" w:hAnsiTheme="minorHAnsi" w:cstheme="minorBidi"/>
          <w:sz w:val="28"/>
          <w:lang w:val="en-US"/>
        </w:rPr>
        <w:t>d</w:t>
      </w:r>
      <w:r w:rsidRPr="009B150C">
        <w:rPr>
          <w:rFonts w:asciiTheme="minorHAnsi" w:hAnsiTheme="minorHAnsi" w:cstheme="minorBidi"/>
          <w:sz w:val="28"/>
          <w:lang w:val="en-US"/>
        </w:rPr>
        <w:t xml:space="preserve"> solution buildings</w:t>
      </w:r>
    </w:p>
    <w:p w14:paraId="608F26D2" w14:textId="77777777" w:rsidR="00C375CC" w:rsidRPr="009B150C" w:rsidRDefault="00C375CC" w:rsidP="00C375CC">
      <w:pPr>
        <w:pStyle w:val="Paragraphedeliste"/>
        <w:numPr>
          <w:ilvl w:val="0"/>
          <w:numId w:val="19"/>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 xml:space="preserve">Based on </w:t>
      </w:r>
      <w:r>
        <w:rPr>
          <w:rFonts w:asciiTheme="minorHAnsi" w:hAnsiTheme="minorHAnsi" w:cstheme="minorBidi"/>
          <w:sz w:val="28"/>
          <w:lang w:val="en-US"/>
        </w:rPr>
        <w:t>2</w:t>
      </w:r>
      <w:r w:rsidRPr="009B150C">
        <w:rPr>
          <w:rFonts w:asciiTheme="minorHAnsi" w:hAnsiTheme="minorHAnsi" w:cstheme="minorBidi"/>
          <w:sz w:val="28"/>
          <w:lang w:val="en-US"/>
        </w:rPr>
        <w:t xml:space="preserve"> and </w:t>
      </w:r>
      <w:r>
        <w:rPr>
          <w:rFonts w:asciiTheme="minorHAnsi" w:hAnsiTheme="minorHAnsi" w:cstheme="minorBidi"/>
          <w:sz w:val="28"/>
          <w:lang w:val="en-US"/>
        </w:rPr>
        <w:t>3</w:t>
      </w:r>
      <w:r w:rsidRPr="009B150C">
        <w:rPr>
          <w:rFonts w:asciiTheme="minorHAnsi" w:hAnsiTheme="minorHAnsi" w:cstheme="minorBidi"/>
          <w:sz w:val="28"/>
          <w:lang w:val="en-US"/>
        </w:rPr>
        <w:t xml:space="preserve"> definition of reasonable calendar for the EU</w:t>
      </w:r>
    </w:p>
    <w:p w14:paraId="6ED1436B" w14:textId="77777777" w:rsidR="00C375CC" w:rsidRDefault="00C375CC" w:rsidP="00C375CC">
      <w:pPr>
        <w:pStyle w:val="Paragraphedeliste"/>
        <w:numPr>
          <w:ilvl w:val="0"/>
          <w:numId w:val="19"/>
        </w:numPr>
        <w:spacing w:after="160" w:line="252" w:lineRule="auto"/>
        <w:contextualSpacing/>
        <w:jc w:val="left"/>
        <w:rPr>
          <w:rFonts w:asciiTheme="minorHAnsi" w:hAnsiTheme="minorHAnsi" w:cstheme="minorBidi"/>
          <w:sz w:val="28"/>
          <w:lang w:val="en-US"/>
        </w:rPr>
      </w:pPr>
      <w:r w:rsidRPr="009B150C">
        <w:rPr>
          <w:rFonts w:asciiTheme="minorHAnsi" w:hAnsiTheme="minorHAnsi" w:cstheme="minorBidi"/>
          <w:sz w:val="28"/>
          <w:lang w:val="en-US"/>
        </w:rPr>
        <w:t>Coordination with 3rd countries (</w:t>
      </w:r>
      <w:r>
        <w:rPr>
          <w:rFonts w:asciiTheme="minorHAnsi" w:hAnsiTheme="minorHAnsi" w:cstheme="minorBidi"/>
          <w:sz w:val="28"/>
          <w:lang w:val="en-US"/>
        </w:rPr>
        <w:t xml:space="preserve">notably the </w:t>
      </w:r>
      <w:r w:rsidRPr="009B150C">
        <w:rPr>
          <w:rFonts w:asciiTheme="minorHAnsi" w:hAnsiTheme="minorHAnsi" w:cstheme="minorBidi"/>
          <w:sz w:val="28"/>
          <w:lang w:val="en-US"/>
        </w:rPr>
        <w:t>UK) to secure alignment and respond to interconnectedness issues</w:t>
      </w:r>
    </w:p>
    <w:p w14:paraId="20E152C3" w14:textId="77777777" w:rsidR="00C375CC" w:rsidRDefault="00C375CC" w:rsidP="00C5469A">
      <w:pPr>
        <w:rPr>
          <w:sz w:val="28"/>
          <w:lang w:val="en-US"/>
        </w:rPr>
      </w:pPr>
      <w:r w:rsidRPr="00C375CC">
        <w:rPr>
          <w:sz w:val="28"/>
          <w:lang w:val="en-US"/>
        </w:rPr>
        <w:t>Provide for an implementation period of at least 12 month after entry into force of new regulation.</w:t>
      </w:r>
    </w:p>
    <w:permEnd w:id="1673478500"/>
    <w:p w14:paraId="5D6602EE" w14:textId="485C882F"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351A63AB" w14:textId="77777777" w:rsidR="00C375CC" w:rsidRDefault="00C375CC" w:rsidP="00C375CC">
      <w:pPr>
        <w:rPr>
          <w:sz w:val="28"/>
          <w:lang w:val="en-US"/>
        </w:rPr>
      </w:pPr>
      <w:permStart w:id="1134712045" w:edGrp="everyone"/>
      <w:r>
        <w:rPr>
          <w:sz w:val="28"/>
          <w:lang w:val="en-US"/>
        </w:rPr>
        <w:t xml:space="preserve">As already mentioned in our responses to previous questions, we highly recommend EU institutions to take sufficient time for any shortening of settlement cycles to </w:t>
      </w:r>
      <w:proofErr w:type="gramStart"/>
      <w:r>
        <w:rPr>
          <w:sz w:val="28"/>
          <w:lang w:val="en-US"/>
        </w:rPr>
        <w:t>be implemented</w:t>
      </w:r>
      <w:proofErr w:type="gramEnd"/>
      <w:r>
        <w:rPr>
          <w:sz w:val="28"/>
          <w:lang w:val="en-US"/>
        </w:rPr>
        <w:t xml:space="preserve">. Notably, it is crucial to wait for the upcoming shift in US markets to </w:t>
      </w:r>
      <w:proofErr w:type="gramStart"/>
      <w:r>
        <w:rPr>
          <w:sz w:val="28"/>
          <w:lang w:val="en-US"/>
        </w:rPr>
        <w:t>be absorbed</w:t>
      </w:r>
      <w:proofErr w:type="gramEnd"/>
      <w:r>
        <w:rPr>
          <w:sz w:val="28"/>
          <w:lang w:val="en-US"/>
        </w:rPr>
        <w:t xml:space="preserve"> by market participants before taking any step regarding European markets.</w:t>
      </w:r>
    </w:p>
    <w:p w14:paraId="506E6738" w14:textId="77777777" w:rsidR="00C375CC" w:rsidRPr="00684D54" w:rsidRDefault="00C375CC" w:rsidP="00C375CC">
      <w:pPr>
        <w:rPr>
          <w:sz w:val="28"/>
          <w:lang w:val="en-US"/>
        </w:rPr>
      </w:pPr>
      <w:r>
        <w:rPr>
          <w:sz w:val="28"/>
          <w:lang w:val="en-US"/>
        </w:rPr>
        <w:t>Consequently, EU institutions should follow the abovementioned approach.</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226B2C37" w14:textId="3F03550C" w:rsidR="00C375CC" w:rsidRPr="001224C1" w:rsidRDefault="00C375CC" w:rsidP="00C375CC">
      <w:pPr>
        <w:rPr>
          <w:lang w:val="en-US"/>
        </w:rPr>
      </w:pPr>
      <w:permStart w:id="1013345542" w:edGrp="everyone"/>
      <w:r w:rsidRPr="00BA78D6">
        <w:rPr>
          <w:rFonts w:ascii="Calibri" w:hAnsi="Calibri" w:cs="Calibri"/>
          <w:sz w:val="28"/>
          <w:lang w:val="en-US"/>
          <w14:ligatures w14:val="standardContextual"/>
        </w:rPr>
        <w:t>In principal</w:t>
      </w:r>
      <w:r>
        <w:rPr>
          <w:rFonts w:ascii="Calibri" w:hAnsi="Calibri" w:cs="Calibri"/>
          <w:sz w:val="28"/>
          <w:lang w:val="en-US"/>
          <w14:ligatures w14:val="standardContextual"/>
        </w:rPr>
        <w:t>,</w:t>
      </w:r>
      <w:r w:rsidRPr="00BA78D6">
        <w:rPr>
          <w:rFonts w:ascii="Calibri" w:hAnsi="Calibri" w:cs="Calibri"/>
          <w:sz w:val="28"/>
          <w:lang w:val="en-US"/>
          <w14:ligatures w14:val="standardContextual"/>
        </w:rPr>
        <w:t xml:space="preserve"> we think the current scope is adequate.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2F4D8E43" w14:textId="77777777" w:rsidR="00C375CC" w:rsidRPr="00BA78D6" w:rsidRDefault="00C375CC" w:rsidP="00C375CC">
      <w:pPr>
        <w:spacing w:line="240" w:lineRule="auto"/>
        <w:rPr>
          <w:rFonts w:ascii="Calibri" w:hAnsi="Calibri" w:cs="Calibri"/>
          <w:sz w:val="28"/>
          <w:lang w:val="en-US"/>
          <w14:ligatures w14:val="standardContextual"/>
        </w:rPr>
      </w:pPr>
      <w:permStart w:id="254495919" w:edGrp="everyone"/>
      <w:r w:rsidRPr="00BA78D6">
        <w:rPr>
          <w:rFonts w:ascii="Calibri" w:hAnsi="Calibri" w:cs="Calibri"/>
          <w:sz w:val="28"/>
          <w:lang w:val="en-US"/>
          <w14:ligatures w14:val="standardContextual"/>
        </w:rPr>
        <w:t>Yes, this is possible and already the case today (e.g. gilts and treasuries already settle on a T+</w:t>
      </w:r>
      <w:proofErr w:type="gramStart"/>
      <w:r w:rsidRPr="00BA78D6">
        <w:rPr>
          <w:rFonts w:ascii="Calibri" w:hAnsi="Calibri" w:cs="Calibri"/>
          <w:sz w:val="28"/>
          <w:lang w:val="en-US"/>
          <w14:ligatures w14:val="standardContextual"/>
        </w:rPr>
        <w:t>1</w:t>
      </w:r>
      <w:proofErr w:type="gramEnd"/>
      <w:r w:rsidRPr="00BA78D6">
        <w:rPr>
          <w:rFonts w:ascii="Calibri" w:hAnsi="Calibri" w:cs="Calibri"/>
          <w:sz w:val="28"/>
          <w:lang w:val="en-US"/>
          <w14:ligatures w14:val="standardContextual"/>
        </w:rPr>
        <w:t xml:space="preserve"> settlement cycle).  </w:t>
      </w:r>
    </w:p>
    <w:p w14:paraId="4D57754F" w14:textId="77777777" w:rsidR="00C375CC" w:rsidRPr="00BA78D6" w:rsidRDefault="00C375CC" w:rsidP="00C375CC">
      <w:pPr>
        <w:rPr>
          <w:rFonts w:ascii="Calibri" w:hAnsi="Calibri" w:cs="Calibri"/>
          <w:sz w:val="28"/>
          <w:lang w:val="en-US"/>
          <w14:ligatures w14:val="standardContextual"/>
        </w:rPr>
      </w:pPr>
      <w:r w:rsidRPr="00BA78D6">
        <w:rPr>
          <w:rFonts w:ascii="Calibri" w:hAnsi="Calibri" w:cs="Calibri"/>
          <w:sz w:val="28"/>
          <w:lang w:val="en-US"/>
          <w14:ligatures w14:val="standardContextual"/>
        </w:rPr>
        <w:t xml:space="preserve">In terms of giving preference to certain instrument types, we </w:t>
      </w:r>
      <w:r>
        <w:rPr>
          <w:rFonts w:ascii="Calibri" w:hAnsi="Calibri" w:cs="Calibri"/>
          <w:sz w:val="28"/>
          <w:lang w:val="en-US"/>
          <w14:ligatures w14:val="standardContextual"/>
        </w:rPr>
        <w:t xml:space="preserve">do not believe </w:t>
      </w:r>
      <w:r w:rsidRPr="00BA78D6">
        <w:rPr>
          <w:rFonts w:ascii="Calibri" w:hAnsi="Calibri" w:cs="Calibri"/>
          <w:sz w:val="28"/>
          <w:lang w:val="en-US"/>
          <w14:ligatures w14:val="standardContextual"/>
        </w:rPr>
        <w:t xml:space="preserve">that phasing would be </w:t>
      </w:r>
      <w:proofErr w:type="gramStart"/>
      <w:r>
        <w:rPr>
          <w:rFonts w:ascii="Calibri" w:hAnsi="Calibri" w:cs="Calibri"/>
          <w:sz w:val="28"/>
          <w:lang w:val="en-US"/>
          <w14:ligatures w14:val="standardContextual"/>
        </w:rPr>
        <w:t>adequate</w:t>
      </w:r>
      <w:proofErr w:type="gramEnd"/>
      <w:r>
        <w:rPr>
          <w:rFonts w:ascii="Calibri" w:hAnsi="Calibri" w:cs="Calibri"/>
          <w:sz w:val="28"/>
          <w:lang w:val="en-US"/>
          <w14:ligatures w14:val="standardContextual"/>
        </w:rPr>
        <w:t xml:space="preserve"> as it will bring costly complexity </w:t>
      </w:r>
      <w:r w:rsidRPr="00BA78D6">
        <w:rPr>
          <w:rFonts w:ascii="Calibri" w:hAnsi="Calibri" w:cs="Calibri"/>
          <w:sz w:val="28"/>
          <w:lang w:val="en-US"/>
          <w14:ligatures w14:val="standardContextual"/>
        </w:rPr>
        <w:t>notably for multi-asset portfolios</w:t>
      </w:r>
      <w:r>
        <w:rPr>
          <w:rFonts w:ascii="Calibri" w:hAnsi="Calibri" w:cs="Calibri"/>
          <w:sz w:val="28"/>
          <w:lang w:val="en-US"/>
          <w14:ligatures w14:val="standardContextual"/>
        </w:rPr>
        <w:t>.</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03EE242F" w14:textId="77777777" w:rsidR="00C375CC" w:rsidRPr="00BA78D6" w:rsidRDefault="00C375CC" w:rsidP="00C375CC">
      <w:pPr>
        <w:rPr>
          <w:rFonts w:ascii="Calibri" w:hAnsi="Calibri" w:cs="Calibri"/>
          <w:sz w:val="28"/>
          <w:lang w:val="en-US"/>
          <w14:ligatures w14:val="standardContextual"/>
        </w:rPr>
      </w:pPr>
      <w:permStart w:id="1982605857" w:edGrp="everyone"/>
      <w:r>
        <w:rPr>
          <w:rFonts w:ascii="Calibri" w:hAnsi="Calibri" w:cs="Calibri"/>
          <w:sz w:val="28"/>
          <w:lang w:val="en-US"/>
          <w14:ligatures w14:val="standardContextual"/>
        </w:rPr>
        <w:t>Please refer to our response to Q18.</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104C1E5D" w14:textId="77777777" w:rsidR="00C375CC" w:rsidRPr="00BA78D6" w:rsidRDefault="00C375CC" w:rsidP="00C375CC">
      <w:pPr>
        <w:rPr>
          <w:rFonts w:ascii="Calibri" w:hAnsi="Calibri" w:cs="Calibri"/>
          <w:sz w:val="28"/>
          <w:lang w:val="en-US"/>
          <w14:ligatures w14:val="standardContextual"/>
        </w:rPr>
      </w:pPr>
      <w:permStart w:id="558774206" w:edGrp="everyone"/>
      <w:r w:rsidRPr="00BA78D6">
        <w:rPr>
          <w:rFonts w:ascii="Calibri" w:hAnsi="Calibri" w:cs="Calibri"/>
          <w:sz w:val="28"/>
          <w:lang w:val="en-US"/>
          <w14:ligatures w14:val="standardContextual"/>
        </w:rPr>
        <w:t xml:space="preserve">We do not see reason or need to bring other transactions currently excluded into scope of the mandatory settlement cycle under Art. </w:t>
      </w:r>
      <w:proofErr w:type="gramStart"/>
      <w:r w:rsidRPr="00BA78D6">
        <w:rPr>
          <w:rFonts w:ascii="Calibri" w:hAnsi="Calibri" w:cs="Calibri"/>
          <w:sz w:val="28"/>
          <w:lang w:val="en-US"/>
          <w14:ligatures w14:val="standardContextual"/>
        </w:rPr>
        <w:t>5</w:t>
      </w:r>
      <w:proofErr w:type="gramEnd"/>
      <w:r w:rsidRPr="00BA78D6">
        <w:rPr>
          <w:rFonts w:ascii="Calibri" w:hAnsi="Calibri" w:cs="Calibri"/>
          <w:sz w:val="28"/>
          <w:lang w:val="en-US"/>
          <w14:ligatures w14:val="standardContextual"/>
        </w:rPr>
        <w:t xml:space="preserve"> CSDR.</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32677937" w14:textId="77777777" w:rsidR="00B83B20" w:rsidRPr="00BA78D6" w:rsidRDefault="00B83B20" w:rsidP="00B83B20">
      <w:pPr>
        <w:rPr>
          <w:rFonts w:ascii="Calibri" w:hAnsi="Calibri" w:cs="Calibri"/>
          <w:sz w:val="28"/>
          <w:lang w:val="en-US"/>
          <w14:ligatures w14:val="standardContextual"/>
        </w:rPr>
      </w:pPr>
      <w:permStart w:id="6054277" w:edGrp="everyone"/>
      <w:r w:rsidRPr="00BA78D6">
        <w:rPr>
          <w:rFonts w:ascii="Calibri" w:hAnsi="Calibri" w:cs="Calibri"/>
          <w:sz w:val="28"/>
          <w:lang w:val="en-US"/>
          <w14:ligatures w14:val="standardContextual"/>
        </w:rPr>
        <w:t xml:space="preserve">We refer to various papers of our industry associations which </w:t>
      </w:r>
      <w:proofErr w:type="gramStart"/>
      <w:r w:rsidRPr="00BA78D6">
        <w:rPr>
          <w:rFonts w:ascii="Calibri" w:hAnsi="Calibri" w:cs="Calibri"/>
          <w:sz w:val="28"/>
          <w:lang w:val="en-US"/>
          <w14:ligatures w14:val="standardContextual"/>
        </w:rPr>
        <w:t>ha</w:t>
      </w:r>
      <w:r>
        <w:rPr>
          <w:rFonts w:ascii="Calibri" w:hAnsi="Calibri" w:cs="Calibri"/>
          <w:sz w:val="28"/>
          <w:lang w:val="en-US"/>
          <w14:ligatures w14:val="standardContextual"/>
        </w:rPr>
        <w:t>ve</w:t>
      </w:r>
      <w:r w:rsidRPr="00BA78D6">
        <w:rPr>
          <w:rFonts w:ascii="Calibri" w:hAnsi="Calibri" w:cs="Calibri"/>
          <w:sz w:val="28"/>
          <w:lang w:val="en-US"/>
          <w14:ligatures w14:val="standardContextual"/>
        </w:rPr>
        <w:t xml:space="preserve"> been shared</w:t>
      </w:r>
      <w:proofErr w:type="gramEnd"/>
      <w:r w:rsidRPr="00BA78D6">
        <w:rPr>
          <w:rFonts w:ascii="Calibri" w:hAnsi="Calibri" w:cs="Calibri"/>
          <w:sz w:val="28"/>
          <w:lang w:val="en-US"/>
          <w14:ligatures w14:val="standardContextual"/>
        </w:rPr>
        <w:t xml:space="preserve"> with the European Commission and ESMA over the summer and which extensively develop on consequences of misalignment following the regional move in North America as from May 2024.</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530EB80E" w14:textId="77777777" w:rsidR="00B83B20" w:rsidRPr="00850FEC" w:rsidRDefault="00B83B20" w:rsidP="00B83B20">
      <w:pPr>
        <w:rPr>
          <w:rFonts w:ascii="Calibri" w:hAnsi="Calibri" w:cs="Calibri"/>
          <w:sz w:val="28"/>
          <w:lang w:val="en-US"/>
          <w14:ligatures w14:val="standardContextual"/>
        </w:rPr>
      </w:pPr>
      <w:permStart w:id="1778254877" w:edGrp="everyone"/>
      <w:r w:rsidRPr="00850FEC">
        <w:rPr>
          <w:rFonts w:ascii="Calibri" w:hAnsi="Calibri" w:cs="Calibri"/>
          <w:sz w:val="28"/>
          <w:lang w:val="en-US"/>
          <w14:ligatures w14:val="standardContextual"/>
        </w:rPr>
        <w:t xml:space="preserve">We would call for building harmonized approaches amongst ESMA and European National Competent Authorities in regards to interpretation of fund regulations and notably in regards to cash </w:t>
      </w:r>
      <w:r>
        <w:rPr>
          <w:rFonts w:ascii="Calibri" w:hAnsi="Calibri" w:cs="Calibri"/>
          <w:sz w:val="28"/>
          <w:lang w:val="en-US"/>
          <w14:ligatures w14:val="standardContextual"/>
        </w:rPr>
        <w:t xml:space="preserve">and borrowing </w:t>
      </w:r>
      <w:r w:rsidRPr="00850FEC">
        <w:rPr>
          <w:rFonts w:ascii="Calibri" w:hAnsi="Calibri" w:cs="Calibri"/>
          <w:sz w:val="28"/>
          <w:lang w:val="en-US"/>
          <w14:ligatures w14:val="standardContextual"/>
        </w:rPr>
        <w:t xml:space="preserve">limits. </w:t>
      </w:r>
      <w:r>
        <w:rPr>
          <w:rFonts w:ascii="Calibri" w:hAnsi="Calibri" w:cs="Calibri"/>
          <w:sz w:val="28"/>
          <w:lang w:val="en-US"/>
          <w14:ligatures w14:val="standardContextual"/>
        </w:rPr>
        <w:t xml:space="preserve"> Crossing </w:t>
      </w:r>
      <w:r w:rsidRPr="00850FEC">
        <w:rPr>
          <w:rFonts w:ascii="Calibri" w:hAnsi="Calibri" w:cs="Calibri"/>
          <w:sz w:val="28"/>
          <w:lang w:val="en-US"/>
          <w14:ligatures w14:val="standardContextual"/>
        </w:rPr>
        <w:t>limits under UCITSD as the sole result of international misaligned settlement cycles should at least temporarily benefit from forbearance.</w:t>
      </w:r>
      <w:r>
        <w:rPr>
          <w:rFonts w:ascii="Calibri" w:hAnsi="Calibri" w:cs="Calibri"/>
          <w:sz w:val="28"/>
          <w:lang w:val="en-US"/>
          <w14:ligatures w14:val="standardContextual"/>
        </w:rPr>
        <w:t xml:space="preserve"> For further detail, we refer to different papers shared by our industry associations with ESMA.</w:t>
      </w:r>
    </w:p>
    <w:p w14:paraId="76B7D244" w14:textId="77777777" w:rsidR="00B83B20" w:rsidRDefault="00B83B20" w:rsidP="00B83B20">
      <w:pPr>
        <w:rPr>
          <w:rFonts w:ascii="Calibri" w:hAnsi="Calibri" w:cs="Calibri"/>
          <w:sz w:val="28"/>
          <w:lang w:val="en-US"/>
          <w14:ligatures w14:val="standardContextual"/>
        </w:rPr>
      </w:pPr>
      <w:r w:rsidRPr="00850FEC">
        <w:rPr>
          <w:rFonts w:ascii="Calibri" w:hAnsi="Calibri" w:cs="Calibri"/>
          <w:sz w:val="28"/>
          <w:lang w:val="en-US"/>
          <w14:ligatures w14:val="standardContextual"/>
        </w:rPr>
        <w:t xml:space="preserve">Expected substantial increase of settlement fails when </w:t>
      </w:r>
      <w:r>
        <w:rPr>
          <w:rFonts w:ascii="Calibri" w:hAnsi="Calibri" w:cs="Calibri"/>
          <w:sz w:val="28"/>
          <w:lang w:val="en-US"/>
          <w14:ligatures w14:val="standardContextual"/>
        </w:rPr>
        <w:t xml:space="preserve">EU shifts to </w:t>
      </w:r>
      <w:r w:rsidRPr="00850FEC">
        <w:rPr>
          <w:rFonts w:ascii="Calibri" w:hAnsi="Calibri" w:cs="Calibri"/>
          <w:sz w:val="28"/>
          <w:lang w:val="en-US"/>
          <w14:ligatures w14:val="standardContextual"/>
        </w:rPr>
        <w:t xml:space="preserve">a </w:t>
      </w:r>
      <w:r>
        <w:rPr>
          <w:rFonts w:ascii="Calibri" w:hAnsi="Calibri" w:cs="Calibri"/>
          <w:sz w:val="28"/>
          <w:lang w:val="en-US"/>
          <w14:ligatures w14:val="standardContextual"/>
        </w:rPr>
        <w:t xml:space="preserve">legally </w:t>
      </w:r>
      <w:r w:rsidRPr="00850FEC">
        <w:rPr>
          <w:rFonts w:ascii="Calibri" w:hAnsi="Calibri" w:cs="Calibri"/>
          <w:sz w:val="28"/>
          <w:lang w:val="en-US"/>
          <w14:ligatures w14:val="standardContextual"/>
        </w:rPr>
        <w:t>prescribed T+</w:t>
      </w:r>
      <w:proofErr w:type="gramStart"/>
      <w:r w:rsidRPr="00850FEC">
        <w:rPr>
          <w:rFonts w:ascii="Calibri" w:hAnsi="Calibri" w:cs="Calibri"/>
          <w:sz w:val="28"/>
          <w:lang w:val="en-US"/>
          <w14:ligatures w14:val="standardContextual"/>
        </w:rPr>
        <w:t>1</w:t>
      </w:r>
      <w:proofErr w:type="gramEnd"/>
      <w:r w:rsidRPr="00850FEC">
        <w:rPr>
          <w:rFonts w:ascii="Calibri" w:hAnsi="Calibri" w:cs="Calibri"/>
          <w:sz w:val="28"/>
          <w:lang w:val="en-US"/>
          <w14:ligatures w14:val="standardContextual"/>
        </w:rPr>
        <w:t xml:space="preserve"> settlement cycle should also</w:t>
      </w:r>
      <w:r>
        <w:rPr>
          <w:rFonts w:ascii="Calibri" w:hAnsi="Calibri" w:cs="Calibri"/>
          <w:sz w:val="28"/>
          <w:lang w:val="en-US"/>
          <w14:ligatures w14:val="standardContextual"/>
        </w:rPr>
        <w:t xml:space="preserve"> be on radar screen and </w:t>
      </w:r>
      <w:r w:rsidRPr="00850FEC">
        <w:rPr>
          <w:rFonts w:ascii="Calibri" w:hAnsi="Calibri" w:cs="Calibri"/>
          <w:sz w:val="28"/>
          <w:lang w:val="en-US"/>
          <w14:ligatures w14:val="standardContextual"/>
        </w:rPr>
        <w:t>lead to timely reconsideration of penalty mechanism under CSDR</w:t>
      </w:r>
      <w:r>
        <w:rPr>
          <w:rFonts w:ascii="Calibri" w:hAnsi="Calibri" w:cs="Calibri"/>
          <w:sz w:val="28"/>
          <w:lang w:val="en-US"/>
          <w14:ligatures w14:val="standardContextual"/>
        </w:rPr>
        <w:t xml:space="preserve">. The risk of </w:t>
      </w:r>
      <w:r w:rsidRPr="00850FEC">
        <w:rPr>
          <w:rFonts w:ascii="Calibri" w:hAnsi="Calibri" w:cs="Calibri"/>
          <w:sz w:val="28"/>
          <w:lang w:val="en-US"/>
          <w14:ligatures w14:val="standardContextual"/>
        </w:rPr>
        <w:t xml:space="preserve">triggering introduction of mandatory buy-ins </w:t>
      </w:r>
      <w:r>
        <w:rPr>
          <w:rFonts w:ascii="Calibri" w:hAnsi="Calibri" w:cs="Calibri"/>
          <w:sz w:val="28"/>
          <w:lang w:val="en-US"/>
          <w14:ligatures w14:val="standardContextual"/>
        </w:rPr>
        <w:t xml:space="preserve">as now foreseen under CSDR Refit </w:t>
      </w:r>
      <w:r w:rsidRPr="00850FEC">
        <w:rPr>
          <w:rFonts w:ascii="Calibri" w:hAnsi="Calibri" w:cs="Calibri"/>
          <w:sz w:val="28"/>
          <w:lang w:val="en-US"/>
          <w14:ligatures w14:val="standardContextual"/>
        </w:rPr>
        <w:t>on disproportionate grounds</w:t>
      </w:r>
      <w:r>
        <w:rPr>
          <w:rFonts w:ascii="Calibri" w:hAnsi="Calibri" w:cs="Calibri"/>
          <w:sz w:val="28"/>
          <w:lang w:val="en-US"/>
          <w14:ligatures w14:val="standardContextual"/>
        </w:rPr>
        <w:t xml:space="preserve"> </w:t>
      </w:r>
      <w:proofErr w:type="gramStart"/>
      <w:r>
        <w:rPr>
          <w:rFonts w:ascii="Calibri" w:hAnsi="Calibri" w:cs="Calibri"/>
          <w:sz w:val="28"/>
          <w:lang w:val="en-US"/>
          <w14:ligatures w14:val="standardContextual"/>
        </w:rPr>
        <w:t>should be avoided</w:t>
      </w:r>
      <w:proofErr w:type="gramEnd"/>
      <w:r>
        <w:rPr>
          <w:rFonts w:ascii="Calibri" w:hAnsi="Calibri" w:cs="Calibri"/>
          <w:sz w:val="28"/>
          <w:lang w:val="en-US"/>
          <w14:ligatures w14:val="standardContextual"/>
        </w:rPr>
        <w:t xml:space="preserve"> based on necessary exemptions in this regard</w:t>
      </w:r>
      <w:r w:rsidRPr="00850FEC">
        <w:rPr>
          <w:rFonts w:ascii="Calibri" w:hAnsi="Calibri" w:cs="Calibri"/>
          <w:sz w:val="28"/>
          <w:lang w:val="en-US"/>
          <w14:ligatures w14:val="standardContextual"/>
        </w:rPr>
        <w:t>.</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5CD67C75" w14:textId="77777777" w:rsidR="00B83B20" w:rsidRPr="00850FEC" w:rsidRDefault="00B83B20" w:rsidP="00B83B20">
      <w:pPr>
        <w:rPr>
          <w:rFonts w:ascii="Calibri" w:hAnsi="Calibri" w:cs="Calibri"/>
          <w:sz w:val="28"/>
          <w:lang w:val="en-US"/>
          <w14:ligatures w14:val="standardContextual"/>
        </w:rPr>
      </w:pPr>
      <w:permStart w:id="1174998131" w:edGrp="everyone"/>
      <w:r w:rsidRPr="00850FEC">
        <w:rPr>
          <w:rFonts w:ascii="Calibri" w:hAnsi="Calibri" w:cs="Calibri"/>
          <w:sz w:val="28"/>
          <w:lang w:val="en-US"/>
          <w14:ligatures w14:val="standardContextual"/>
        </w:rPr>
        <w:t>Again, misalignment bring</w:t>
      </w:r>
      <w:r>
        <w:rPr>
          <w:rFonts w:ascii="Calibri" w:hAnsi="Calibri" w:cs="Calibri"/>
          <w:sz w:val="28"/>
          <w:lang w:val="en-US"/>
          <w14:ligatures w14:val="standardContextual"/>
        </w:rPr>
        <w:t>s</w:t>
      </w:r>
      <w:r w:rsidRPr="00850FEC">
        <w:rPr>
          <w:rFonts w:ascii="Calibri" w:hAnsi="Calibri" w:cs="Calibri"/>
          <w:sz w:val="28"/>
          <w:lang w:val="en-US"/>
          <w14:ligatures w14:val="standardContextual"/>
        </w:rPr>
        <w:t xml:space="preserve"> substantial concerns </w:t>
      </w:r>
      <w:proofErr w:type="gramStart"/>
      <w:r w:rsidRPr="00850FEC">
        <w:rPr>
          <w:rFonts w:ascii="Calibri" w:hAnsi="Calibri" w:cs="Calibri"/>
          <w:sz w:val="28"/>
          <w:lang w:val="en-US"/>
          <w14:ligatures w14:val="standardContextual"/>
        </w:rPr>
        <w:t>which we do not doubt and we</w:t>
      </w:r>
      <w:proofErr w:type="gramEnd"/>
      <w:r w:rsidRPr="00850FEC">
        <w:rPr>
          <w:rFonts w:ascii="Calibri" w:hAnsi="Calibri" w:cs="Calibri"/>
          <w:sz w:val="28"/>
          <w:lang w:val="en-US"/>
          <w14:ligatures w14:val="standardContextual"/>
        </w:rPr>
        <w:t xml:space="preserve"> are fond of aligned approaches globally. </w:t>
      </w:r>
    </w:p>
    <w:p w14:paraId="2B716E32" w14:textId="77777777" w:rsidR="00B83B20" w:rsidRPr="00850FEC" w:rsidRDefault="00B83B20" w:rsidP="00B83B20">
      <w:pPr>
        <w:rPr>
          <w:rFonts w:ascii="Calibri" w:hAnsi="Calibri" w:cs="Calibri"/>
          <w:sz w:val="28"/>
          <w:lang w:val="en-US"/>
          <w14:ligatures w14:val="standardContextual"/>
        </w:rPr>
      </w:pPr>
      <w:r w:rsidRPr="00850FEC">
        <w:rPr>
          <w:rFonts w:ascii="Calibri" w:hAnsi="Calibri" w:cs="Calibri"/>
          <w:sz w:val="28"/>
          <w:lang w:val="en-US"/>
          <w14:ligatures w14:val="standardContextual"/>
        </w:rPr>
        <w:t xml:space="preserve">There is a global dimension in making changes to settlement cycles and coordinated approaches between international financial markets and </w:t>
      </w:r>
      <w:r>
        <w:rPr>
          <w:rFonts w:ascii="Calibri" w:hAnsi="Calibri" w:cs="Calibri"/>
          <w:sz w:val="28"/>
          <w:lang w:val="en-US"/>
          <w14:ligatures w14:val="standardContextual"/>
        </w:rPr>
        <w:t>their respective rule</w:t>
      </w:r>
      <w:r w:rsidRPr="00850FEC">
        <w:rPr>
          <w:rFonts w:ascii="Calibri" w:hAnsi="Calibri" w:cs="Calibri"/>
          <w:sz w:val="28"/>
          <w:lang w:val="en-US"/>
          <w14:ligatures w14:val="standardContextual"/>
        </w:rPr>
        <w:t xml:space="preserve"> makers would</w:t>
      </w:r>
      <w:r>
        <w:rPr>
          <w:rFonts w:ascii="Calibri" w:hAnsi="Calibri" w:cs="Calibri"/>
          <w:sz w:val="28"/>
          <w:lang w:val="en-US"/>
          <w14:ligatures w14:val="standardContextual"/>
        </w:rPr>
        <w:t>,</w:t>
      </w:r>
      <w:r w:rsidRPr="00850FEC">
        <w:rPr>
          <w:rFonts w:ascii="Calibri" w:hAnsi="Calibri" w:cs="Calibri"/>
          <w:sz w:val="28"/>
          <w:lang w:val="en-US"/>
          <w14:ligatures w14:val="standardContextual"/>
        </w:rPr>
        <w:t xml:space="preserve"> in our opinion</w:t>
      </w:r>
      <w:r>
        <w:rPr>
          <w:rFonts w:ascii="Calibri" w:hAnsi="Calibri" w:cs="Calibri"/>
          <w:sz w:val="28"/>
          <w:lang w:val="en-US"/>
          <w14:ligatures w14:val="standardContextual"/>
        </w:rPr>
        <w:t>,</w:t>
      </w:r>
      <w:r w:rsidRPr="00850FEC">
        <w:rPr>
          <w:rFonts w:ascii="Calibri" w:hAnsi="Calibri" w:cs="Calibri"/>
          <w:sz w:val="28"/>
          <w:lang w:val="en-US"/>
          <w14:ligatures w14:val="standardContextual"/>
        </w:rPr>
        <w:t xml:space="preserve"> be contributors to a smooth implementation avoiding to the greatest extent possible unintended consequences stemming from misalignment. This becomes also </w:t>
      </w:r>
      <w:proofErr w:type="gramStart"/>
      <w:r w:rsidRPr="00850FEC">
        <w:rPr>
          <w:rFonts w:ascii="Calibri" w:hAnsi="Calibri" w:cs="Calibri"/>
          <w:sz w:val="28"/>
          <w:lang w:val="en-US"/>
          <w14:ligatures w14:val="standardContextual"/>
        </w:rPr>
        <w:t>more true</w:t>
      </w:r>
      <w:proofErr w:type="gramEnd"/>
      <w:r w:rsidRPr="00850FEC">
        <w:rPr>
          <w:rFonts w:ascii="Calibri" w:hAnsi="Calibri" w:cs="Calibri"/>
          <w:sz w:val="28"/>
          <w:lang w:val="en-US"/>
          <w14:ligatures w14:val="standardContextual"/>
        </w:rPr>
        <w:t xml:space="preserve"> where there is substantial cross border business at stake like for the EU and the UK.</w:t>
      </w:r>
    </w:p>
    <w:p w14:paraId="399D37E6" w14:textId="77777777" w:rsidR="00B83B20" w:rsidRPr="00850FEC" w:rsidRDefault="00B83B20" w:rsidP="00B83B20">
      <w:pPr>
        <w:rPr>
          <w:rFonts w:ascii="Calibri" w:hAnsi="Calibri" w:cs="Calibri"/>
          <w:sz w:val="28"/>
          <w:lang w:val="en-US"/>
          <w14:ligatures w14:val="standardContextual"/>
        </w:rPr>
      </w:pPr>
      <w:r w:rsidRPr="00850FEC">
        <w:rPr>
          <w:rFonts w:ascii="Calibri" w:hAnsi="Calibri" w:cs="Calibri"/>
          <w:sz w:val="28"/>
          <w:lang w:val="en-US"/>
          <w14:ligatures w14:val="standardContextual"/>
        </w:rPr>
        <w:t xml:space="preserve">This being said harmonization with other non-EU jurisdictions </w:t>
      </w:r>
      <w:r>
        <w:rPr>
          <w:rFonts w:ascii="Calibri" w:hAnsi="Calibri" w:cs="Calibri"/>
          <w:sz w:val="28"/>
          <w:lang w:val="en-US"/>
          <w14:ligatures w14:val="standardContextual"/>
        </w:rPr>
        <w:t xml:space="preserve">can </w:t>
      </w:r>
      <w:r w:rsidRPr="00850FEC">
        <w:rPr>
          <w:rFonts w:ascii="Calibri" w:hAnsi="Calibri" w:cs="Calibri"/>
          <w:sz w:val="28"/>
          <w:lang w:val="en-US"/>
          <w14:ligatures w14:val="standardContextual"/>
        </w:rPr>
        <w:t xml:space="preserve">certainly not become the “one and only” guiding principal when setting a legislative roadmap. </w:t>
      </w:r>
    </w:p>
    <w:p w14:paraId="5F76542F" w14:textId="77777777" w:rsidR="00B83B20" w:rsidRPr="008B6835" w:rsidRDefault="00B83B20" w:rsidP="00B83B20">
      <w:pPr>
        <w:rPr>
          <w:lang w:val="en-US"/>
        </w:rPr>
      </w:pPr>
      <w:proofErr w:type="gramStart"/>
      <w:r w:rsidRPr="00850FEC">
        <w:rPr>
          <w:rFonts w:ascii="Calibri" w:hAnsi="Calibri" w:cs="Calibri"/>
          <w:sz w:val="28"/>
          <w:lang w:val="en-US"/>
          <w14:ligatures w14:val="standardContextual"/>
        </w:rPr>
        <w:t>The “credo” of the benefits of aligned reduction of settlement cycles can only be reasonable uphold where (</w:t>
      </w:r>
      <w:proofErr w:type="spellStart"/>
      <w:r w:rsidRPr="00850FEC">
        <w:rPr>
          <w:rFonts w:ascii="Calibri" w:hAnsi="Calibri" w:cs="Calibri"/>
          <w:sz w:val="28"/>
          <w:lang w:val="en-US"/>
          <w14:ligatures w14:val="standardContextual"/>
        </w:rPr>
        <w:t>i</w:t>
      </w:r>
      <w:proofErr w:type="spellEnd"/>
      <w:r w:rsidRPr="00850FEC">
        <w:rPr>
          <w:rFonts w:ascii="Calibri" w:hAnsi="Calibri" w:cs="Calibri"/>
          <w:sz w:val="28"/>
          <w:lang w:val="en-US"/>
          <w14:ligatures w14:val="standardContextual"/>
        </w:rPr>
        <w:t xml:space="preserve">) a thorough CBA has been conducted showing that measurable benefits outweigh the risks,  (ii) an international </w:t>
      </w:r>
      <w:proofErr w:type="spellStart"/>
      <w:r w:rsidRPr="00850FEC">
        <w:rPr>
          <w:rFonts w:ascii="Calibri" w:hAnsi="Calibri" w:cs="Calibri"/>
          <w:sz w:val="28"/>
          <w:lang w:val="en-US"/>
          <w14:ligatures w14:val="standardContextual"/>
        </w:rPr>
        <w:t>harmonised</w:t>
      </w:r>
      <w:proofErr w:type="spellEnd"/>
      <w:r w:rsidRPr="00850FEC">
        <w:rPr>
          <w:rFonts w:ascii="Calibri" w:hAnsi="Calibri" w:cs="Calibri"/>
          <w:sz w:val="28"/>
          <w:lang w:val="en-US"/>
          <w14:ligatures w14:val="standardContextual"/>
        </w:rPr>
        <w:t xml:space="preserve"> implementation calendar do take into account the individual degree of complexities and necessary pre-requisites in different jurisdictions and (iii) market participants have been given reasonable time to adapt to avoid inadvertent consequences.</w:t>
      </w:r>
      <w:proofErr w:type="gramEnd"/>
      <w:r w:rsidRPr="00850FEC">
        <w:rPr>
          <w:rFonts w:ascii="Calibri" w:hAnsi="Calibri" w:cs="Calibri"/>
          <w:sz w:val="28"/>
          <w:lang w:val="en-US"/>
          <w14:ligatures w14:val="standardContextual"/>
        </w:rPr>
        <w:t xml:space="preserve"> </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10F4651C" w14:textId="77777777" w:rsidR="00B83B20" w:rsidRDefault="00B83B20" w:rsidP="00B83B20">
      <w:pPr>
        <w:rPr>
          <w:sz w:val="28"/>
          <w:lang w:val="en-US"/>
        </w:rPr>
      </w:pPr>
      <w:permStart w:id="2138049322" w:edGrp="everyone"/>
      <w:r>
        <w:rPr>
          <w:sz w:val="28"/>
          <w:lang w:val="en-US"/>
        </w:rPr>
        <w:t>We are convinced that experiencing the first stage described in our response to question 16 will provide the opportunity to better assess the need – or not - for EU institutions to imitate the decision taken by their US peers. Only then, it will possible to identify any other indirect benefit to the Capital Markets Union and the EU’s position internationally.</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386C353E" w14:textId="77777777" w:rsidR="00B83B20" w:rsidRPr="000E0028" w:rsidRDefault="00B83B20" w:rsidP="00B83B20">
      <w:pPr>
        <w:rPr>
          <w:sz w:val="28"/>
          <w:lang w:val="en-US"/>
        </w:rPr>
      </w:pPr>
      <w:permStart w:id="1765815298" w:edGrp="everyone"/>
      <w:r w:rsidRPr="000E0028">
        <w:rPr>
          <w:sz w:val="28"/>
          <w:lang w:val="en-US"/>
        </w:rPr>
        <w:t>The misalignment of settlement cycles with the US, Canada and Mexico will become a matter of fact as from May next year. Considerable investments and efforts are made to prepare for May 2024 regional transition and put EU players in a better position to assess what transition to T+</w:t>
      </w:r>
      <w:proofErr w:type="gramStart"/>
      <w:r w:rsidRPr="000E0028">
        <w:rPr>
          <w:sz w:val="28"/>
          <w:lang w:val="en-US"/>
        </w:rPr>
        <w:t>1</w:t>
      </w:r>
      <w:proofErr w:type="gramEnd"/>
      <w:r w:rsidRPr="000E0028">
        <w:rPr>
          <w:sz w:val="28"/>
          <w:lang w:val="en-US"/>
        </w:rPr>
        <w:t xml:space="preserve"> would imply in the EU. </w:t>
      </w:r>
    </w:p>
    <w:p w14:paraId="2A4352C8" w14:textId="77777777" w:rsidR="00B83B20" w:rsidRPr="000E0028" w:rsidRDefault="00B83B20" w:rsidP="00B83B20">
      <w:pPr>
        <w:rPr>
          <w:sz w:val="28"/>
          <w:lang w:val="en-US"/>
        </w:rPr>
      </w:pPr>
      <w:r w:rsidRPr="000E0028">
        <w:rPr>
          <w:sz w:val="28"/>
          <w:lang w:val="en-US"/>
        </w:rPr>
        <w:t>Still the US transition will not be representative even if it will teach some lessons and certain solutions being implemented could prove adequate for an EU T+</w:t>
      </w:r>
      <w:proofErr w:type="gramStart"/>
      <w:r w:rsidRPr="000E0028">
        <w:rPr>
          <w:sz w:val="28"/>
          <w:lang w:val="en-US"/>
        </w:rPr>
        <w:t>1</w:t>
      </w:r>
      <w:proofErr w:type="gramEnd"/>
      <w:r w:rsidRPr="000E0028">
        <w:rPr>
          <w:sz w:val="28"/>
          <w:lang w:val="en-US"/>
        </w:rPr>
        <w:t xml:space="preserve"> project.</w:t>
      </w:r>
      <w:r>
        <w:rPr>
          <w:sz w:val="28"/>
          <w:lang w:val="en-US"/>
        </w:rPr>
        <w:t xml:space="preserve"> </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1D8641D4" w14:textId="77777777" w:rsidR="00B83B20" w:rsidRDefault="00B83B20" w:rsidP="00B83B20">
      <w:pPr>
        <w:rPr>
          <w:sz w:val="28"/>
          <w:lang w:val="en-US"/>
        </w:rPr>
      </w:pPr>
      <w:permStart w:id="1934034529" w:edGrp="everyone"/>
      <w:r>
        <w:rPr>
          <w:sz w:val="28"/>
          <w:lang w:val="en-US"/>
        </w:rPr>
        <w:t>All things being equal, it would be theoretically preferable for portfolio managers to operate with identical settlement cycles across all markets.</w:t>
      </w:r>
    </w:p>
    <w:p w14:paraId="42981E5F" w14:textId="1AD74B95" w:rsidR="00B83B20" w:rsidRDefault="00B83B20" w:rsidP="00B83B20">
      <w:pPr>
        <w:rPr>
          <w:sz w:val="28"/>
          <w:lang w:val="en-US"/>
        </w:rPr>
      </w:pPr>
      <w:r>
        <w:rPr>
          <w:sz w:val="28"/>
          <w:lang w:val="en-US"/>
        </w:rPr>
        <w:t xml:space="preserve">However, two key points have to </w:t>
      </w:r>
      <w:proofErr w:type="gramStart"/>
      <w:r>
        <w:rPr>
          <w:sz w:val="28"/>
          <w:lang w:val="en-US"/>
        </w:rPr>
        <w:t>be factored in</w:t>
      </w:r>
      <w:proofErr w:type="gramEnd"/>
      <w:r>
        <w:rPr>
          <w:sz w:val="28"/>
          <w:lang w:val="en-US"/>
        </w:rPr>
        <w:t xml:space="preserve"> when assessing the necessity to align the settlement cycles:</w:t>
      </w:r>
    </w:p>
    <w:p w14:paraId="15D9447D" w14:textId="77777777" w:rsidR="00B83B20" w:rsidRDefault="00B83B20" w:rsidP="00B83B20">
      <w:pPr>
        <w:pStyle w:val="Paragraphedeliste"/>
        <w:numPr>
          <w:ilvl w:val="0"/>
          <w:numId w:val="20"/>
        </w:numPr>
        <w:spacing w:after="160" w:line="252" w:lineRule="auto"/>
        <w:contextualSpacing/>
        <w:jc w:val="left"/>
        <w:rPr>
          <w:sz w:val="28"/>
          <w:lang w:val="en-US"/>
        </w:rPr>
      </w:pPr>
      <w:r w:rsidRPr="000F02A3">
        <w:rPr>
          <w:sz w:val="28"/>
          <w:lang w:val="en-US"/>
        </w:rPr>
        <w:t>What should be the ideal length of time dedicated to settlement cycl</w:t>
      </w:r>
      <w:r>
        <w:rPr>
          <w:sz w:val="28"/>
          <w:lang w:val="en-US"/>
        </w:rPr>
        <w:t>es? T+</w:t>
      </w:r>
      <w:proofErr w:type="gramStart"/>
      <w:r>
        <w:rPr>
          <w:sz w:val="28"/>
          <w:lang w:val="en-US"/>
        </w:rPr>
        <w:t>2</w:t>
      </w:r>
      <w:proofErr w:type="gramEnd"/>
      <w:r>
        <w:rPr>
          <w:sz w:val="28"/>
          <w:lang w:val="en-US"/>
        </w:rPr>
        <w:t>? T+</w:t>
      </w:r>
      <w:proofErr w:type="gramStart"/>
      <w:r>
        <w:rPr>
          <w:sz w:val="28"/>
          <w:lang w:val="en-US"/>
        </w:rPr>
        <w:t>1</w:t>
      </w:r>
      <w:proofErr w:type="gramEnd"/>
      <w:r>
        <w:rPr>
          <w:sz w:val="28"/>
          <w:lang w:val="en-US"/>
        </w:rPr>
        <w:t>?</w:t>
      </w:r>
    </w:p>
    <w:p w14:paraId="507B634D" w14:textId="43CDB3FD" w:rsidR="00B83B20" w:rsidRPr="00B83B20" w:rsidRDefault="00B83B20" w:rsidP="00B83B20">
      <w:pPr>
        <w:pStyle w:val="Paragraphedeliste"/>
        <w:numPr>
          <w:ilvl w:val="0"/>
          <w:numId w:val="20"/>
        </w:numPr>
        <w:spacing w:after="160" w:line="252" w:lineRule="auto"/>
        <w:contextualSpacing/>
        <w:jc w:val="left"/>
        <w:rPr>
          <w:sz w:val="28"/>
          <w:lang w:val="en-US"/>
        </w:rPr>
      </w:pPr>
      <w:r>
        <w:rPr>
          <w:sz w:val="28"/>
          <w:lang w:val="en-US"/>
        </w:rPr>
        <w:t>No alignment of settlement cycles will change the different of time zones across the different markets. Indeed, seeking a unification of settlement cycles, down to T+</w:t>
      </w:r>
      <w:proofErr w:type="gramStart"/>
      <w:r>
        <w:rPr>
          <w:sz w:val="28"/>
          <w:lang w:val="en-US"/>
        </w:rPr>
        <w:t>1</w:t>
      </w:r>
      <w:proofErr w:type="gramEnd"/>
      <w:r>
        <w:rPr>
          <w:sz w:val="28"/>
          <w:lang w:val="en-US"/>
        </w:rPr>
        <w:t>, or even T+0 can be extremely challenging, or even pointless when adopted across markets with different times zones.</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4369CD3E" w14:textId="77777777" w:rsidR="00B83B20" w:rsidRDefault="00B83B20" w:rsidP="00B15C0B">
      <w:permStart w:id="1617899118" w:edGrp="everyone"/>
      <w:r>
        <w:t>None</w:t>
      </w:r>
    </w:p>
    <w:permEnd w:id="1617899118"/>
    <w:p w14:paraId="04595985" w14:textId="00291726" w:rsidR="00B15C0B" w:rsidRPr="00C5469A" w:rsidRDefault="00C5469A" w:rsidP="00B15C0B">
      <w:r>
        <w:t>&lt;ESMA_QUESTION_SETT_27&gt;</w:t>
      </w:r>
    </w:p>
    <w:sectPr w:rsidR="00B15C0B" w:rsidRPr="00C5469A" w:rsidSect="00AD0B10">
      <w:headerReference w:type="default" r:id="rId26"/>
      <w:footerReference w:type="default" r:id="rId27"/>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F265" w14:textId="77777777" w:rsidR="00582588" w:rsidRDefault="00582588" w:rsidP="007E7997">
      <w:pPr>
        <w:spacing w:line="240" w:lineRule="auto"/>
      </w:pPr>
      <w:r>
        <w:separator/>
      </w:r>
    </w:p>
  </w:endnote>
  <w:endnote w:type="continuationSeparator" w:id="0">
    <w:p w14:paraId="0DB68E98" w14:textId="77777777" w:rsidR="00582588" w:rsidRDefault="00582588" w:rsidP="007E7997">
      <w:pPr>
        <w:spacing w:line="240" w:lineRule="auto"/>
      </w:pPr>
      <w:r>
        <w:continuationSeparator/>
      </w:r>
    </w:p>
  </w:endnote>
  <w:endnote w:type="continuationNotice" w:id="1">
    <w:p w14:paraId="36A6019B" w14:textId="77777777" w:rsidR="00582588" w:rsidRDefault="005825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B930" w14:textId="77777777" w:rsidR="00CD1749" w:rsidRDefault="00CD1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B396" w14:textId="77777777" w:rsidR="00CD1749" w:rsidRDefault="00CD174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264A" w14:textId="77777777" w:rsidR="00CD1749" w:rsidRDefault="00CD174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6F5CA203" w:rsidR="00787413" w:rsidRPr="004E5FF8" w:rsidRDefault="0043139E" w:rsidP="004E5FF8">
        <w:pPr>
          <w:pStyle w:val="Pieddepage"/>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Lienhypertexte"/>
              <w:rFonts w:ascii="Arial" w:hAnsi="Arial" w:cs="Arial"/>
              <w:sz w:val="15"/>
              <w:szCs w:val="15"/>
              <w:lang w:val="fr-FR"/>
            </w:rPr>
            <w:t>www.esma.</w:t>
          </w:r>
          <w:r w:rsidRPr="00A8626B">
            <w:rPr>
              <w:rStyle w:val="Lienhypertexte"/>
              <w:sz w:val="15"/>
              <w:szCs w:val="15"/>
              <w:lang w:val="fr-BE"/>
            </w:rPr>
            <w:t>europa</w:t>
          </w:r>
          <w:r w:rsidRPr="00A8626B">
            <w:rPr>
              <w:rStyle w:val="Lienhypertexte"/>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D2431E">
          <w:rPr>
            <w:noProof/>
            <w:lang w:val="fr-FR"/>
          </w:rPr>
          <w:t>3</w:t>
        </w:r>
        <w:r w:rsidR="006A44DA">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024557"/>
      <w:docPartObj>
        <w:docPartGallery w:val="Page Numbers (Bottom of Page)"/>
        <w:docPartUnique/>
      </w:docPartObj>
    </w:sdtPr>
    <w:sdtEndPr>
      <w:rPr>
        <w:noProof/>
      </w:rPr>
    </w:sdtEndPr>
    <w:sdtContent>
      <w:p w14:paraId="5AA6C61A" w14:textId="73399973" w:rsidR="006A44DA" w:rsidRDefault="006A44DA" w:rsidP="00B73281">
        <w:pPr>
          <w:pStyle w:val="Pieddepage"/>
          <w:jc w:val="right"/>
        </w:pPr>
        <w:r>
          <w:fldChar w:fldCharType="begin"/>
        </w:r>
        <w:r>
          <w:instrText xml:space="preserve"> PAGE   \* MERGEFORMAT </w:instrText>
        </w:r>
        <w:r>
          <w:fldChar w:fldCharType="separate"/>
        </w:r>
        <w:r w:rsidR="00D2431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9590" w14:textId="77777777" w:rsidR="00582588" w:rsidRDefault="00582588" w:rsidP="007E7997">
      <w:pPr>
        <w:spacing w:line="240" w:lineRule="auto"/>
      </w:pPr>
      <w:r>
        <w:separator/>
      </w:r>
    </w:p>
  </w:footnote>
  <w:footnote w:type="continuationSeparator" w:id="0">
    <w:p w14:paraId="72020CCD" w14:textId="77777777" w:rsidR="00582588" w:rsidRDefault="00582588" w:rsidP="007E7997">
      <w:pPr>
        <w:spacing w:line="240" w:lineRule="auto"/>
      </w:pPr>
      <w:r>
        <w:continuationSeparator/>
      </w:r>
    </w:p>
  </w:footnote>
  <w:footnote w:type="continuationNotice" w:id="1">
    <w:p w14:paraId="6FE75894" w14:textId="77777777" w:rsidR="00582588" w:rsidRDefault="005825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EFA3" w14:textId="77777777" w:rsidR="00CD1749" w:rsidRDefault="00CD17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29F2" w14:textId="77777777" w:rsidR="00CD1749" w:rsidRDefault="00CD174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2034" w14:textId="2FE584B9" w:rsidR="00D77369" w:rsidRPr="008858FE" w:rsidRDefault="00D77369" w:rsidP="008858FE">
    <w:pPr>
      <w:pStyle w:val="En-tte"/>
      <w:rPr>
        <w:bCs/>
        <w:caps/>
        <w:color w:val="FF0000" w:themeColor="accent6"/>
        <w:sz w:val="22"/>
      </w:rPr>
    </w:pPr>
    <w:r w:rsidRPr="008858FE">
      <w:rPr>
        <w:rStyle w:val="ESMAConfidentialRestricted"/>
        <w:noProof/>
        <w:lang w:val="fr-FR" w:eastAsia="fr-FR"/>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En-tte"/>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BFB72" w14:textId="122D2DD4" w:rsidR="006A44DA" w:rsidRDefault="006A44DA" w:rsidP="0043139E">
    <w:pPr>
      <w:pStyle w:val="En-tte"/>
    </w:pPr>
  </w:p>
  <w:p w14:paraId="6A43EA5E" w14:textId="4A830C83" w:rsidR="00AD0B10" w:rsidRDefault="00AD0B10" w:rsidP="0043139E">
    <w:pPr>
      <w:pStyle w:val="En-tte"/>
    </w:pPr>
  </w:p>
  <w:p w14:paraId="2083DACE" w14:textId="77777777" w:rsidR="00AD0B10" w:rsidRPr="0043139E" w:rsidRDefault="00AD0B10" w:rsidP="0043139E">
    <w:pPr>
      <w:pStyle w:val="En-tte"/>
    </w:pPr>
  </w:p>
  <w:p w14:paraId="140A363C" w14:textId="77777777" w:rsidR="006A44DA" w:rsidRPr="0043139E" w:rsidRDefault="006A44DA" w:rsidP="0043139E">
    <w:pPr>
      <w:pStyle w:val="En-tte"/>
    </w:pPr>
  </w:p>
  <w:p w14:paraId="66CF4BF9" w14:textId="4F625EE8" w:rsidR="006A44DA" w:rsidRPr="0043139E" w:rsidRDefault="008858FE" w:rsidP="0043139E">
    <w:pPr>
      <w:pStyle w:val="En-tte"/>
      <w:rPr>
        <w:rStyle w:val="ESMARegularuse"/>
        <w:bCs w:val="0"/>
        <w:caps w:val="0"/>
        <w:color w:val="001B4F" w:themeColor="text1" w:themeShade="80"/>
        <w:sz w:val="16"/>
      </w:rPr>
    </w:pPr>
    <w:r w:rsidRPr="0043139E">
      <w:rPr>
        <w:rStyle w:val="ESMARegularuse"/>
        <w:bCs w:val="0"/>
        <w:caps w:val="0"/>
        <w:noProof/>
        <w:color w:val="001B4F" w:themeColor="text1" w:themeShade="80"/>
        <w:sz w:val="16"/>
        <w:lang w:val="fr-FR" w:eastAsia="fr-FR"/>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En-tte"/>
    </w:pPr>
  </w:p>
  <w:p w14:paraId="70942C9C" w14:textId="77777777" w:rsidR="00672010" w:rsidRPr="0043139E" w:rsidRDefault="00672010" w:rsidP="0043139E">
    <w:pPr>
      <w:pStyle w:val="En-tte"/>
    </w:pPr>
  </w:p>
  <w:p w14:paraId="7F8040EC" w14:textId="77777777" w:rsidR="0018540C" w:rsidRPr="0043139E" w:rsidRDefault="0018540C" w:rsidP="0043139E">
    <w:pPr>
      <w:pStyle w:val="En-tte"/>
    </w:pPr>
  </w:p>
  <w:p w14:paraId="76479F6F" w14:textId="77777777" w:rsidR="00CA565A" w:rsidRPr="0043139E" w:rsidRDefault="00CA565A" w:rsidP="0043139E">
    <w:pPr>
      <w:pStyle w:val="En-tte"/>
    </w:pPr>
  </w:p>
  <w:p w14:paraId="34BC4F59" w14:textId="77777777" w:rsidR="00CA565A" w:rsidRPr="0043139E" w:rsidRDefault="00CA565A" w:rsidP="0043139E">
    <w:pPr>
      <w:pStyle w:val="En-tte"/>
    </w:pPr>
  </w:p>
  <w:p w14:paraId="373CE412" w14:textId="77777777" w:rsidR="0018540C" w:rsidRPr="0043139E" w:rsidRDefault="0018540C" w:rsidP="0043139E">
    <w:pPr>
      <w:pStyle w:val="En-tte"/>
    </w:pPr>
  </w:p>
  <w:p w14:paraId="36065F1B" w14:textId="154438DA" w:rsidR="0018540C" w:rsidRDefault="0018540C" w:rsidP="0043139E">
    <w:pPr>
      <w:pStyle w:val="En-tte"/>
    </w:pPr>
  </w:p>
  <w:p w14:paraId="7545C91A" w14:textId="77777777" w:rsidR="0043139E" w:rsidRPr="0043139E" w:rsidRDefault="0043139E" w:rsidP="0043139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D944" w14:textId="77777777" w:rsidR="006A44DA" w:rsidRDefault="006A44DA">
    <w:pPr>
      <w:pStyle w:val="En-tte"/>
    </w:pPr>
  </w:p>
  <w:p w14:paraId="410BE8FC" w14:textId="77777777" w:rsidR="006A44DA" w:rsidRDefault="006A44DA">
    <w:pPr>
      <w:pStyle w:val="En-tte"/>
    </w:pPr>
  </w:p>
  <w:p w14:paraId="00F5D8E1" w14:textId="77777777" w:rsidR="006A44DA" w:rsidRDefault="006A44DA">
    <w:pPr>
      <w:pStyle w:val="En-tte"/>
    </w:pPr>
    <w:r>
      <w:rPr>
        <w:noProof/>
        <w:lang w:val="fr-FR" w:eastAsia="fr-FR"/>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4B74" w14:textId="7D6DC2CF" w:rsidR="00AD0B10" w:rsidRDefault="00AD0B10" w:rsidP="00AD0B10">
    <w:pPr>
      <w:pStyle w:val="En-tte"/>
    </w:pPr>
  </w:p>
  <w:p w14:paraId="76D78551" w14:textId="45227A06" w:rsidR="00AD0B10" w:rsidRDefault="00AD0B10" w:rsidP="00AD0B10">
    <w:pPr>
      <w:pStyle w:val="En-tte"/>
    </w:pPr>
  </w:p>
  <w:p w14:paraId="56B00CEC" w14:textId="77777777" w:rsidR="00AD0B10" w:rsidRPr="0043139E" w:rsidRDefault="00AD0B10" w:rsidP="00AD0B10">
    <w:pPr>
      <w:pStyle w:val="En-tte"/>
    </w:pPr>
  </w:p>
  <w:p w14:paraId="68227DE6" w14:textId="77777777" w:rsidR="00AD0B10" w:rsidRPr="0043139E" w:rsidRDefault="00AD0B10" w:rsidP="00AD0B10">
    <w:pPr>
      <w:pStyle w:val="En-tte"/>
    </w:pPr>
  </w:p>
  <w:p w14:paraId="0E44DBD1" w14:textId="77777777" w:rsidR="00AD0B10" w:rsidRPr="0043139E" w:rsidRDefault="00AD0B10" w:rsidP="00AD0B10">
    <w:pPr>
      <w:pStyle w:val="En-tte"/>
      <w:rPr>
        <w:rStyle w:val="ESMARegularuse"/>
        <w:bCs w:val="0"/>
        <w:caps w:val="0"/>
        <w:color w:val="001B4F" w:themeColor="text1" w:themeShade="80"/>
        <w:sz w:val="16"/>
      </w:rPr>
    </w:pPr>
    <w:r w:rsidRPr="0043139E">
      <w:rPr>
        <w:rStyle w:val="ESMARegularuse"/>
        <w:bCs w:val="0"/>
        <w:caps w:val="0"/>
        <w:noProof/>
        <w:color w:val="001B4F" w:themeColor="text1" w:themeShade="80"/>
        <w:sz w:val="16"/>
        <w:lang w:val="fr-FR" w:eastAsia="fr-FR"/>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En-tte"/>
    </w:pPr>
  </w:p>
  <w:p w14:paraId="706EF268" w14:textId="77777777" w:rsidR="00AD0B10" w:rsidRPr="0043139E" w:rsidRDefault="00AD0B10" w:rsidP="00AD0B10">
    <w:pPr>
      <w:pStyle w:val="En-tte"/>
    </w:pPr>
  </w:p>
  <w:p w14:paraId="6B568202" w14:textId="77777777" w:rsidR="00AD0B10" w:rsidRPr="0043139E" w:rsidRDefault="00AD0B10" w:rsidP="00AD0B10">
    <w:pPr>
      <w:pStyle w:val="En-tte"/>
    </w:pPr>
  </w:p>
  <w:p w14:paraId="70C66BCD" w14:textId="77777777" w:rsidR="00AD0B10" w:rsidRPr="0043139E" w:rsidRDefault="00AD0B10" w:rsidP="00AD0B10">
    <w:pPr>
      <w:pStyle w:val="En-tte"/>
    </w:pPr>
  </w:p>
  <w:p w14:paraId="07229907" w14:textId="77777777" w:rsidR="00AD0B10" w:rsidRPr="0043139E" w:rsidRDefault="00AD0B10" w:rsidP="00AD0B10">
    <w:pPr>
      <w:pStyle w:val="En-tte"/>
    </w:pPr>
  </w:p>
  <w:p w14:paraId="55555744" w14:textId="77777777" w:rsidR="00AD0B10" w:rsidRPr="0043139E" w:rsidRDefault="00AD0B10" w:rsidP="00AD0B10">
    <w:pPr>
      <w:pStyle w:val="En-tte"/>
    </w:pPr>
  </w:p>
  <w:p w14:paraId="4601AE9C" w14:textId="77777777" w:rsidR="00AD0B10" w:rsidRDefault="00AD0B10" w:rsidP="00AD0B10">
    <w:pPr>
      <w:pStyle w:val="En-tte"/>
    </w:pPr>
  </w:p>
  <w:p w14:paraId="49946785" w14:textId="77777777" w:rsidR="00AD0B10" w:rsidRPr="0043139E" w:rsidRDefault="00AD0B10" w:rsidP="00AD0B10">
    <w:pPr>
      <w:pStyle w:val="En-tte"/>
    </w:pPr>
  </w:p>
  <w:p w14:paraId="72BAD19F" w14:textId="77777777" w:rsidR="008858FE" w:rsidRPr="00AD0B10" w:rsidRDefault="008858FE" w:rsidP="00AD0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F59DA"/>
    <w:multiLevelType w:val="hybridMultilevel"/>
    <w:tmpl w:val="08F85010"/>
    <w:lvl w:ilvl="0" w:tplc="9A8C86B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Titre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EA61840"/>
    <w:multiLevelType w:val="hybridMultilevel"/>
    <w:tmpl w:val="6624CD50"/>
    <w:lvl w:ilvl="0" w:tplc="30EC5BE8">
      <w:start w:val="1"/>
      <w:numFmt w:val="bullet"/>
      <w:pStyle w:val="Paragraphedeliste"/>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9" w15:restartNumberingAfterBreak="0">
    <w:nsid w:val="44263592"/>
    <w:multiLevelType w:val="hybridMultilevel"/>
    <w:tmpl w:val="34CCBEC2"/>
    <w:lvl w:ilvl="0" w:tplc="68D2A1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3229D3"/>
    <w:multiLevelType w:val="hybridMultilevel"/>
    <w:tmpl w:val="42B23904"/>
    <w:lvl w:ilvl="0" w:tplc="2D7426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0272BFB"/>
    <w:multiLevelType w:val="hybridMultilevel"/>
    <w:tmpl w:val="7DB88352"/>
    <w:lvl w:ilvl="0" w:tplc="22440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D1101"/>
    <w:multiLevelType w:val="multilevel"/>
    <w:tmpl w:val="647663A2"/>
    <w:lvl w:ilvl="0">
      <w:start w:val="1"/>
      <w:numFmt w:val="decimal"/>
      <w:pStyle w:val="Titre1"/>
      <w:lvlText w:val="%1"/>
      <w:lvlJc w:val="left"/>
      <w:pPr>
        <w:ind w:left="4686" w:hanging="432"/>
      </w:pPr>
    </w:lvl>
    <w:lvl w:ilvl="1">
      <w:start w:val="1"/>
      <w:numFmt w:val="decimal"/>
      <w:pStyle w:val="Titre2"/>
      <w:lvlText w:val="%1.%2"/>
      <w:lvlJc w:val="left"/>
      <w:pPr>
        <w:ind w:left="823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D32C5"/>
    <w:multiLevelType w:val="hybridMultilevel"/>
    <w:tmpl w:val="A84A9326"/>
    <w:lvl w:ilvl="0" w:tplc="1FD6BA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4"/>
  </w:num>
  <w:num w:numId="5">
    <w:abstractNumId w:val="0"/>
  </w:num>
  <w:num w:numId="6">
    <w:abstractNumId w:val="6"/>
  </w:num>
  <w:num w:numId="7">
    <w:abstractNumId w:val="16"/>
  </w:num>
  <w:num w:numId="8">
    <w:abstractNumId w:val="2"/>
  </w:num>
  <w:num w:numId="9">
    <w:abstractNumId w:val="14"/>
  </w:num>
  <w:num w:numId="10">
    <w:abstractNumId w:val="11"/>
  </w:num>
  <w:num w:numId="11">
    <w:abstractNumId w:val="8"/>
  </w:num>
  <w:num w:numId="12">
    <w:abstractNumId w:val="8"/>
    <w:lvlOverride w:ilvl="0">
      <w:startOverride w:val="1"/>
    </w:lvlOverride>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
  </w:num>
  <w:num w:numId="18">
    <w:abstractNumId w:val="9"/>
  </w:num>
  <w:num w:numId="19">
    <w:abstractNumId w:val="12"/>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27B"/>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20"/>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5CC"/>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1749"/>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31E"/>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5A16"/>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3EF"/>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Titre1">
    <w:name w:val="heading 1"/>
    <w:basedOn w:val="Normal"/>
    <w:next w:val="Normal"/>
    <w:link w:val="Titre1C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re2">
    <w:name w:val="heading 2"/>
    <w:basedOn w:val="Normal"/>
    <w:next w:val="Normal"/>
    <w:link w:val="Titre2C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Titre3">
    <w:name w:val="heading 3"/>
    <w:basedOn w:val="Normal"/>
    <w:next w:val="Normal"/>
    <w:link w:val="Titre3C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Titre4">
    <w:name w:val="heading 4"/>
    <w:basedOn w:val="Normal"/>
    <w:next w:val="Normal"/>
    <w:link w:val="Titre4C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Titre5">
    <w:name w:val="heading 5"/>
    <w:basedOn w:val="Normal"/>
    <w:next w:val="Normal"/>
    <w:link w:val="Titre5C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Titre6">
    <w:name w:val="heading 6"/>
    <w:basedOn w:val="Normal"/>
    <w:next w:val="Normal"/>
    <w:link w:val="Titre6C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Titre7">
    <w:name w:val="heading 7"/>
    <w:basedOn w:val="Normal"/>
    <w:next w:val="Normal"/>
    <w:link w:val="Titre7C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re8">
    <w:name w:val="heading 8"/>
    <w:basedOn w:val="Normal"/>
    <w:next w:val="Normal"/>
    <w:link w:val="Titre8C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Titre9">
    <w:name w:val="heading 9"/>
    <w:basedOn w:val="Normal"/>
    <w:next w:val="Normal"/>
    <w:link w:val="Titre9C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6B12"/>
    <w:pPr>
      <w:spacing w:after="0" w:line="240" w:lineRule="auto"/>
    </w:pPr>
    <w:rPr>
      <w:lang w:val="en-GB"/>
    </w:rPr>
  </w:style>
  <w:style w:type="character" w:customStyle="1" w:styleId="Titre4Car">
    <w:name w:val="Titre 4 Car"/>
    <w:basedOn w:val="Policepardfaut"/>
    <w:link w:val="Titre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Titre3Car">
    <w:name w:val="Titre 3 Car"/>
    <w:basedOn w:val="Policepardfaut"/>
    <w:link w:val="Titre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Titre1Car">
    <w:name w:val="Titre 1 Car"/>
    <w:basedOn w:val="Policepardfaut"/>
    <w:link w:val="Titre1"/>
    <w:uiPriority w:val="9"/>
    <w:rsid w:val="0082744A"/>
    <w:rPr>
      <w:rFonts w:asciiTheme="majorHAnsi" w:eastAsiaTheme="majorEastAsia" w:hAnsiTheme="majorHAnsi" w:cstheme="majorBidi"/>
      <w:b/>
      <w:color w:val="00379F" w:themeColor="text1"/>
      <w:sz w:val="32"/>
      <w:szCs w:val="32"/>
      <w:lang w:val="en-GB"/>
    </w:rPr>
  </w:style>
  <w:style w:type="character" w:customStyle="1" w:styleId="Titre2Car">
    <w:name w:val="Titre 2 Car"/>
    <w:basedOn w:val="Policepardfaut"/>
    <w:link w:val="Titre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Policepardfaut"/>
    <w:link w:val="Subtitle1"/>
    <w:rsid w:val="003C4EB5"/>
    <w:rPr>
      <w:rFonts w:cs="Times New Roman"/>
      <w:b/>
      <w:sz w:val="20"/>
      <w:szCs w:val="24"/>
      <w:lang w:val="en-GB" w:eastAsia="de-DE"/>
    </w:rPr>
  </w:style>
  <w:style w:type="paragraph" w:customStyle="1" w:styleId="Title1">
    <w:name w:val="Title 1"/>
    <w:basedOn w:val="Paragraphedeliste"/>
    <w:link w:val="Title1Char"/>
    <w:qFormat/>
    <w:rsid w:val="00F205B9"/>
    <w:pPr>
      <w:numPr>
        <w:numId w:val="0"/>
      </w:numPr>
      <w:ind w:left="792" w:hanging="432"/>
    </w:pPr>
    <w:rPr>
      <w:b/>
      <w:color w:val="00379F" w:themeColor="text1"/>
      <w:sz w:val="28"/>
    </w:rPr>
  </w:style>
  <w:style w:type="character" w:customStyle="1" w:styleId="Title1Char">
    <w:name w:val="Title 1 Char"/>
    <w:basedOn w:val="Policepardfaut"/>
    <w:link w:val="Title1"/>
    <w:rsid w:val="00F205B9"/>
    <w:rPr>
      <w:rFonts w:asciiTheme="majorHAnsi" w:hAnsiTheme="majorHAnsi" w:cstheme="majorHAnsi"/>
      <w:b/>
      <w:color w:val="00379F" w:themeColor="text1"/>
      <w:sz w:val="28"/>
      <w:szCs w:val="22"/>
      <w:lang w:val="pt-PT"/>
    </w:rPr>
  </w:style>
  <w:style w:type="paragraph" w:styleId="Paragraphedeliste">
    <w:name w:val="List Paragraph"/>
    <w:aliases w:val="Paragraphe EI,Paragraphe de liste1,EC"/>
    <w:basedOn w:val="Normal"/>
    <w:link w:val="ParagraphedelisteC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Paragraphedeliste"/>
    <w:link w:val="Title3Char"/>
    <w:autoRedefine/>
    <w:rsid w:val="00F205B9"/>
    <w:pPr>
      <w:numPr>
        <w:ilvl w:val="3"/>
        <w:numId w:val="4"/>
      </w:numPr>
    </w:pPr>
  </w:style>
  <w:style w:type="character" w:customStyle="1" w:styleId="Title3Char">
    <w:name w:val="Title 3 Char"/>
    <w:basedOn w:val="Policepardfau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Policepardfau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Policepardfau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Policepardfau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Policepardfau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Policepardfaut"/>
    <w:link w:val="Introductionheading"/>
    <w:rsid w:val="00044C5A"/>
    <w:rPr>
      <w:rFonts w:ascii="Arial" w:eastAsia="Times New Roman" w:hAnsi="Arial" w:cs="Times New Roman"/>
      <w:b/>
      <w:sz w:val="28"/>
      <w:szCs w:val="24"/>
      <w:lang w:val="en-GB" w:eastAsia="de-DE"/>
    </w:rPr>
  </w:style>
  <w:style w:type="character" w:customStyle="1" w:styleId="Titre5Car">
    <w:name w:val="Titre 5 Car"/>
    <w:basedOn w:val="Policepardfaut"/>
    <w:link w:val="Titre5"/>
    <w:uiPriority w:val="9"/>
    <w:rsid w:val="007E7997"/>
    <w:rPr>
      <w:rFonts w:asciiTheme="majorHAnsi" w:eastAsiaTheme="majorEastAsia" w:hAnsiTheme="majorHAnsi" w:cstheme="majorBidi"/>
      <w:color w:val="181818" w:themeColor="background1" w:themeShade="1A"/>
      <w:sz w:val="22"/>
      <w:szCs w:val="22"/>
      <w:lang w:val="en-GB"/>
    </w:rPr>
  </w:style>
  <w:style w:type="paragraph" w:styleId="Corpsdetexte">
    <w:name w:val="Body Text"/>
    <w:basedOn w:val="Normal"/>
    <w:link w:val="CorpsdetexteCar"/>
    <w:uiPriority w:val="99"/>
    <w:semiHidden/>
    <w:unhideWhenUsed/>
    <w:rsid w:val="00044C5A"/>
  </w:style>
  <w:style w:type="character" w:customStyle="1" w:styleId="CorpsdetexteCar">
    <w:name w:val="Corps de texte Car"/>
    <w:basedOn w:val="Policepardfaut"/>
    <w:link w:val="Corpsdetexte"/>
    <w:uiPriority w:val="99"/>
    <w:semiHidden/>
    <w:rsid w:val="00044C5A"/>
    <w:rPr>
      <w:rFonts w:ascii="Arial" w:eastAsiaTheme="minorEastAsia" w:hAnsi="Arial"/>
    </w:rPr>
  </w:style>
  <w:style w:type="paragraph" w:styleId="Retrait1religne">
    <w:name w:val="Body Text First Indent"/>
    <w:basedOn w:val="Corpsdetexte"/>
    <w:link w:val="Retrait1religneCar"/>
    <w:uiPriority w:val="99"/>
    <w:semiHidden/>
    <w:unhideWhenUsed/>
    <w:rsid w:val="00044C5A"/>
    <w:pPr>
      <w:spacing w:after="0"/>
      <w:ind w:firstLine="360"/>
    </w:pPr>
  </w:style>
  <w:style w:type="character" w:customStyle="1" w:styleId="Retrait1religneCar">
    <w:name w:val="Retrait 1re ligne Car"/>
    <w:basedOn w:val="CorpsdetexteCar"/>
    <w:link w:val="Retrait1religne"/>
    <w:uiPriority w:val="99"/>
    <w:semiHidden/>
    <w:rsid w:val="00044C5A"/>
    <w:rPr>
      <w:rFonts w:ascii="Arial" w:eastAsiaTheme="minorEastAsia" w:hAnsi="Arial"/>
    </w:rPr>
  </w:style>
  <w:style w:type="character" w:customStyle="1" w:styleId="Titre6Car">
    <w:name w:val="Titre 6 Car"/>
    <w:basedOn w:val="Policepardfaut"/>
    <w:link w:val="Titre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re">
    <w:name w:val="Title"/>
    <w:basedOn w:val="Normal"/>
    <w:next w:val="Normal"/>
    <w:link w:val="TitreC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reCar">
    <w:name w:val="Titre Car"/>
    <w:basedOn w:val="Policepardfaut"/>
    <w:link w:val="Titre"/>
    <w:uiPriority w:val="10"/>
    <w:rsid w:val="00516CBA"/>
    <w:rPr>
      <w:rFonts w:asciiTheme="majorHAnsi" w:eastAsiaTheme="majorEastAsia" w:hAnsiTheme="majorHAnsi" w:cstheme="majorBidi"/>
      <w:b/>
      <w:color w:val="00379F" w:themeColor="text1"/>
      <w:spacing w:val="-10"/>
      <w:sz w:val="56"/>
      <w:szCs w:val="56"/>
      <w:lang w:val="en-GB"/>
    </w:rPr>
  </w:style>
  <w:style w:type="paragraph" w:styleId="Sous-titre">
    <w:name w:val="Subtitle"/>
    <w:basedOn w:val="Normal"/>
    <w:next w:val="Normal"/>
    <w:link w:val="Sous-titreC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ous-titreCar">
    <w:name w:val="Sous-titre Car"/>
    <w:basedOn w:val="Policepardfaut"/>
    <w:link w:val="Sous-titre"/>
    <w:uiPriority w:val="11"/>
    <w:rsid w:val="0082744A"/>
    <w:rPr>
      <w:rFonts w:asciiTheme="majorHAnsi" w:eastAsiaTheme="majorEastAsia" w:hAnsiTheme="majorHAnsi" w:cstheme="majorBidi"/>
      <w:sz w:val="28"/>
      <w:szCs w:val="24"/>
      <w:lang w:val="en-GB"/>
    </w:rPr>
  </w:style>
  <w:style w:type="character" w:customStyle="1" w:styleId="Titre7Car">
    <w:name w:val="Titre 7 Car"/>
    <w:basedOn w:val="Policepardfaut"/>
    <w:link w:val="Titre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Titre8Car">
    <w:name w:val="Titre 8 Car"/>
    <w:basedOn w:val="Policepardfaut"/>
    <w:link w:val="Titre8"/>
    <w:uiPriority w:val="9"/>
    <w:semiHidden/>
    <w:rsid w:val="00AA054E"/>
    <w:rPr>
      <w:rFonts w:asciiTheme="majorHAnsi" w:eastAsiaTheme="majorEastAsia" w:hAnsiTheme="majorHAnsi" w:cstheme="majorBidi"/>
      <w:b/>
      <w:bCs/>
      <w:color w:val="007EFF" w:themeColor="text2"/>
      <w:sz w:val="22"/>
      <w:lang w:val="en-GB"/>
    </w:rPr>
  </w:style>
  <w:style w:type="character" w:customStyle="1" w:styleId="Titre9Car">
    <w:name w:val="Titre 9 Car"/>
    <w:basedOn w:val="Policepardfaut"/>
    <w:link w:val="Titre9"/>
    <w:uiPriority w:val="9"/>
    <w:semiHidden/>
    <w:rsid w:val="00AA054E"/>
    <w:rPr>
      <w:rFonts w:asciiTheme="majorHAnsi" w:eastAsiaTheme="majorEastAsia" w:hAnsiTheme="majorHAnsi" w:cstheme="majorBidi"/>
      <w:b/>
      <w:bCs/>
      <w:i/>
      <w:iCs/>
      <w:color w:val="007EFF" w:themeColor="text2"/>
      <w:sz w:val="22"/>
      <w:lang w:val="en-GB"/>
    </w:rPr>
  </w:style>
  <w:style w:type="paragraph" w:styleId="Lgende">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lev">
    <w:name w:val="Strong"/>
    <w:basedOn w:val="Policepardfaut"/>
    <w:uiPriority w:val="22"/>
    <w:qFormat/>
    <w:rsid w:val="00AA054E"/>
    <w:rPr>
      <w:b/>
      <w:bCs/>
    </w:rPr>
  </w:style>
  <w:style w:type="character" w:styleId="Accentuation">
    <w:name w:val="Emphasis"/>
    <w:basedOn w:val="Policepardfaut"/>
    <w:uiPriority w:val="20"/>
    <w:qFormat/>
    <w:rsid w:val="00AA054E"/>
    <w:rPr>
      <w:i/>
      <w:iCs/>
    </w:rPr>
  </w:style>
  <w:style w:type="paragraph" w:styleId="Citation">
    <w:name w:val="Quote"/>
    <w:basedOn w:val="Normal"/>
    <w:next w:val="Normal"/>
    <w:link w:val="CitationCar"/>
    <w:uiPriority w:val="29"/>
    <w:qFormat/>
    <w:rsid w:val="00AA054E"/>
    <w:pPr>
      <w:spacing w:before="160"/>
      <w:ind w:left="720" w:right="720"/>
    </w:pPr>
    <w:rPr>
      <w:i/>
      <w:iCs/>
      <w:color w:val="0055F7" w:themeColor="text1" w:themeTint="BF"/>
    </w:rPr>
  </w:style>
  <w:style w:type="character" w:customStyle="1" w:styleId="CitationCar">
    <w:name w:val="Citation Car"/>
    <w:basedOn w:val="Policepardfaut"/>
    <w:link w:val="Citation"/>
    <w:uiPriority w:val="29"/>
    <w:rsid w:val="00AA054E"/>
    <w:rPr>
      <w:i/>
      <w:iCs/>
      <w:color w:val="0055F7" w:themeColor="text1" w:themeTint="BF"/>
    </w:rPr>
  </w:style>
  <w:style w:type="paragraph" w:styleId="Citationintense">
    <w:name w:val="Intense Quote"/>
    <w:basedOn w:val="Normal"/>
    <w:next w:val="Normal"/>
    <w:link w:val="CitationintenseC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tionintenseCar">
    <w:name w:val="Citation intense Car"/>
    <w:basedOn w:val="Policepardfaut"/>
    <w:link w:val="Citationintense"/>
    <w:uiPriority w:val="30"/>
    <w:rsid w:val="00AA054E"/>
    <w:rPr>
      <w:rFonts w:asciiTheme="majorHAnsi" w:eastAsiaTheme="majorEastAsia" w:hAnsiTheme="majorHAnsi" w:cstheme="majorBidi"/>
      <w:color w:val="34009F" w:themeColor="accent1"/>
      <w:sz w:val="28"/>
      <w:szCs w:val="28"/>
    </w:rPr>
  </w:style>
  <w:style w:type="character" w:styleId="Emphaseple">
    <w:name w:val="Subtle Emphasis"/>
    <w:basedOn w:val="Policepardfaut"/>
    <w:uiPriority w:val="19"/>
    <w:qFormat/>
    <w:rsid w:val="00AA054E"/>
    <w:rPr>
      <w:i/>
      <w:iCs/>
      <w:color w:val="0055F7" w:themeColor="text1" w:themeTint="BF"/>
    </w:rPr>
  </w:style>
  <w:style w:type="character" w:styleId="Emphaseintense">
    <w:name w:val="Intense Emphasis"/>
    <w:basedOn w:val="Policepardfaut"/>
    <w:uiPriority w:val="21"/>
    <w:qFormat/>
    <w:rsid w:val="00AA054E"/>
    <w:rPr>
      <w:b/>
      <w:bCs/>
      <w:i/>
      <w:iCs/>
    </w:rPr>
  </w:style>
  <w:style w:type="character" w:styleId="Rfrenceple">
    <w:name w:val="Subtle Reference"/>
    <w:basedOn w:val="Policepardfaut"/>
    <w:uiPriority w:val="31"/>
    <w:qFormat/>
    <w:rsid w:val="00AA054E"/>
    <w:rPr>
      <w:smallCaps/>
      <w:color w:val="0055F7" w:themeColor="text1" w:themeTint="BF"/>
      <w:u w:val="single" w:color="4E8BFF" w:themeColor="text1" w:themeTint="80"/>
    </w:rPr>
  </w:style>
  <w:style w:type="character" w:styleId="Rfrenceintense">
    <w:name w:val="Intense Reference"/>
    <w:basedOn w:val="Policepardfaut"/>
    <w:uiPriority w:val="32"/>
    <w:qFormat/>
    <w:rsid w:val="00AA054E"/>
    <w:rPr>
      <w:b/>
      <w:bCs/>
      <w:smallCaps/>
      <w:spacing w:val="5"/>
      <w:u w:val="single"/>
    </w:rPr>
  </w:style>
  <w:style w:type="character" w:styleId="Titredulivre">
    <w:name w:val="Book Title"/>
    <w:basedOn w:val="Policepardfaut"/>
    <w:uiPriority w:val="33"/>
    <w:qFormat/>
    <w:rsid w:val="00AA054E"/>
    <w:rPr>
      <w:b/>
      <w:bCs/>
      <w:smallCaps/>
    </w:rPr>
  </w:style>
  <w:style w:type="paragraph" w:styleId="En-ttedetabledesmatires">
    <w:name w:val="TOC Heading"/>
    <w:basedOn w:val="Titre1"/>
    <w:next w:val="Normal"/>
    <w:uiPriority w:val="39"/>
    <w:unhideWhenUsed/>
    <w:qFormat/>
    <w:rsid w:val="00F205B9"/>
    <w:pPr>
      <w:numPr>
        <w:numId w:val="0"/>
      </w:numPr>
      <w:outlineLvl w:val="9"/>
    </w:pPr>
  </w:style>
  <w:style w:type="character" w:customStyle="1" w:styleId="SansinterligneCar">
    <w:name w:val="Sans interligne Car"/>
    <w:basedOn w:val="Policepardfaut"/>
    <w:link w:val="Sansinterligne"/>
    <w:uiPriority w:val="1"/>
    <w:rsid w:val="005B6B12"/>
    <w:rPr>
      <w:lang w:val="en-GB"/>
    </w:rPr>
  </w:style>
  <w:style w:type="paragraph" w:styleId="En-tte">
    <w:name w:val="header"/>
    <w:basedOn w:val="Normal"/>
    <w:link w:val="En-tteC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En-tteCar">
    <w:name w:val="En-tête Car"/>
    <w:basedOn w:val="Policepardfaut"/>
    <w:link w:val="En-tte"/>
    <w:rsid w:val="00AF6B1E"/>
    <w:rPr>
      <w:color w:val="001B4F" w:themeColor="text1" w:themeShade="80"/>
      <w:sz w:val="16"/>
      <w:lang w:val="en-GB"/>
    </w:rPr>
  </w:style>
  <w:style w:type="paragraph" w:styleId="Pieddepage">
    <w:name w:val="footer"/>
    <w:basedOn w:val="Normal"/>
    <w:link w:val="PieddepageC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PieddepageCar">
    <w:name w:val="Pied de page Car"/>
    <w:basedOn w:val="Policepardfaut"/>
    <w:link w:val="Pieddepage"/>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M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M2">
    <w:name w:val="toc 2"/>
    <w:basedOn w:val="TM1"/>
    <w:next w:val="Normal"/>
    <w:uiPriority w:val="39"/>
    <w:unhideWhenUsed/>
    <w:qFormat/>
    <w:rsid w:val="00F205B9"/>
    <w:pPr>
      <w:framePr w:wrap="around"/>
      <w:tabs>
        <w:tab w:val="right" w:leader="dot" w:pos="440"/>
      </w:tabs>
      <w:ind w:left="220"/>
    </w:pPr>
  </w:style>
  <w:style w:type="paragraph" w:styleId="TM3">
    <w:name w:val="toc 3"/>
    <w:basedOn w:val="TM1"/>
    <w:next w:val="Normal"/>
    <w:uiPriority w:val="39"/>
    <w:unhideWhenUsed/>
    <w:qFormat/>
    <w:rsid w:val="00AD0B10"/>
    <w:pPr>
      <w:framePr w:wrap="around"/>
      <w:ind w:left="442"/>
    </w:pPr>
  </w:style>
  <w:style w:type="character" w:styleId="Lienhypertexte">
    <w:name w:val="Hyperlink"/>
    <w:basedOn w:val="Policepardfau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Policepardfau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Policepardfaut"/>
    <w:link w:val="Listing2"/>
    <w:rsid w:val="00DF3785"/>
    <w:rPr>
      <w:lang w:val="en-GB"/>
    </w:rPr>
  </w:style>
  <w:style w:type="table" w:styleId="Grilledutableau">
    <w:name w:val="Table Grid"/>
    <w:basedOn w:val="Tableau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50534"/>
    <w:pPr>
      <w:spacing w:after="0" w:line="240" w:lineRule="auto"/>
    </w:pPr>
  </w:style>
  <w:style w:type="character" w:customStyle="1" w:styleId="NotedefinCar">
    <w:name w:val="Note de fin Car"/>
    <w:basedOn w:val="Policepardfaut"/>
    <w:link w:val="Notedefin"/>
    <w:uiPriority w:val="99"/>
    <w:semiHidden/>
    <w:rsid w:val="00B50534"/>
    <w:rPr>
      <w:lang w:val="en-GB"/>
    </w:rPr>
  </w:style>
  <w:style w:type="character" w:styleId="Appeldenotedefin">
    <w:name w:val="endnote reference"/>
    <w:basedOn w:val="Policepardfaut"/>
    <w:uiPriority w:val="99"/>
    <w:semiHidden/>
    <w:unhideWhenUsed/>
    <w:rsid w:val="00B50534"/>
    <w:rPr>
      <w:vertAlign w:val="superscript"/>
    </w:rPr>
  </w:style>
  <w:style w:type="paragraph" w:styleId="Notedebasdepage">
    <w:name w:val="footnote text"/>
    <w:basedOn w:val="Normal"/>
    <w:link w:val="NotedebasdepageCar"/>
    <w:autoRedefine/>
    <w:uiPriority w:val="99"/>
    <w:unhideWhenUsed/>
    <w:qFormat/>
    <w:rsid w:val="007A1A9D"/>
    <w:pPr>
      <w:spacing w:after="0" w:line="240" w:lineRule="auto"/>
    </w:pPr>
    <w:rPr>
      <w:sz w:val="16"/>
    </w:rPr>
  </w:style>
  <w:style w:type="character" w:customStyle="1" w:styleId="NotedebasdepageCar">
    <w:name w:val="Note de bas de page Car"/>
    <w:basedOn w:val="Policepardfaut"/>
    <w:link w:val="Notedebasdepage"/>
    <w:uiPriority w:val="99"/>
    <w:rsid w:val="007A1A9D"/>
    <w:rPr>
      <w:color w:val="181818" w:themeColor="background1" w:themeShade="1A"/>
      <w:sz w:val="16"/>
      <w:lang w:val="en-GB"/>
    </w:rPr>
  </w:style>
  <w:style w:type="character" w:styleId="Appelnotedebasdep">
    <w:name w:val="footnote reference"/>
    <w:basedOn w:val="Policepardfaut"/>
    <w:uiPriority w:val="99"/>
    <w:semiHidden/>
    <w:unhideWhenUsed/>
    <w:qFormat/>
    <w:rsid w:val="00A91D91"/>
    <w:rPr>
      <w:rFonts w:asciiTheme="majorHAnsi" w:hAnsiTheme="majorHAnsi"/>
      <w:sz w:val="16"/>
      <w:vertAlign w:val="superscript"/>
    </w:rPr>
  </w:style>
  <w:style w:type="paragraph" w:customStyle="1" w:styleId="Footnote">
    <w:name w:val="Footnote"/>
    <w:basedOn w:val="Notedebasdepage"/>
    <w:link w:val="FootnoteChar"/>
    <w:qFormat/>
    <w:rsid w:val="00672C04"/>
    <w:pPr>
      <w:ind w:left="454" w:hanging="454"/>
    </w:pPr>
    <w:rPr>
      <w:lang w:val="nl-BE"/>
    </w:rPr>
  </w:style>
  <w:style w:type="character" w:customStyle="1" w:styleId="FootnoteChar">
    <w:name w:val="Footnote Char"/>
    <w:basedOn w:val="NotedebasdepageCar"/>
    <w:link w:val="Footnote"/>
    <w:rsid w:val="00672C04"/>
    <w:rPr>
      <w:color w:val="181818" w:themeColor="background1" w:themeShade="1A"/>
      <w:sz w:val="16"/>
      <w:lang w:val="en-GB"/>
    </w:rPr>
  </w:style>
  <w:style w:type="table" w:customStyle="1" w:styleId="GridTable4-Accent11">
    <w:name w:val="Grid Table 4 - Accent 11"/>
    <w:basedOn w:val="Tableau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xtedebulles">
    <w:name w:val="Balloon Text"/>
    <w:basedOn w:val="Normal"/>
    <w:link w:val="TextedebullesCar"/>
    <w:uiPriority w:val="99"/>
    <w:semiHidden/>
    <w:unhideWhenUsed/>
    <w:rsid w:val="007151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BF"/>
    <w:rPr>
      <w:rFonts w:ascii="Tahoma" w:hAnsi="Tahoma" w:cs="Tahoma"/>
      <w:sz w:val="16"/>
      <w:szCs w:val="16"/>
      <w:lang w:val="en-GB"/>
    </w:rPr>
  </w:style>
  <w:style w:type="paragraph" w:styleId="TM4">
    <w:name w:val="toc 4"/>
    <w:basedOn w:val="TM1"/>
    <w:next w:val="Normal"/>
    <w:uiPriority w:val="39"/>
    <w:unhideWhenUsed/>
    <w:qFormat/>
    <w:rsid w:val="00F205B9"/>
    <w:pPr>
      <w:framePr w:wrap="around"/>
      <w:ind w:left="660"/>
    </w:pPr>
  </w:style>
  <w:style w:type="character" w:styleId="Marquedecommentaire">
    <w:name w:val="annotation reference"/>
    <w:basedOn w:val="Policepardfaut"/>
    <w:uiPriority w:val="99"/>
    <w:semiHidden/>
    <w:unhideWhenUsed/>
    <w:rsid w:val="00D33C31"/>
    <w:rPr>
      <w:sz w:val="16"/>
      <w:szCs w:val="16"/>
    </w:rPr>
  </w:style>
  <w:style w:type="paragraph" w:styleId="Commentaire">
    <w:name w:val="annotation text"/>
    <w:basedOn w:val="Normal"/>
    <w:link w:val="CommentaireCar"/>
    <w:uiPriority w:val="99"/>
    <w:unhideWhenUsed/>
    <w:rsid w:val="00D33C31"/>
    <w:pPr>
      <w:spacing w:line="240" w:lineRule="auto"/>
    </w:pPr>
    <w:rPr>
      <w:sz w:val="20"/>
    </w:rPr>
  </w:style>
  <w:style w:type="character" w:customStyle="1" w:styleId="CommentaireCar">
    <w:name w:val="Commentaire Car"/>
    <w:basedOn w:val="Policepardfaut"/>
    <w:link w:val="Commentaire"/>
    <w:uiPriority w:val="99"/>
    <w:rsid w:val="00D33C31"/>
    <w:rPr>
      <w:lang w:val="en-GB"/>
    </w:rPr>
  </w:style>
  <w:style w:type="paragraph" w:styleId="Objetducommentaire">
    <w:name w:val="annotation subject"/>
    <w:basedOn w:val="Commentaire"/>
    <w:next w:val="Commentaire"/>
    <w:link w:val="ObjetducommentaireCar"/>
    <w:uiPriority w:val="99"/>
    <w:semiHidden/>
    <w:unhideWhenUsed/>
    <w:rsid w:val="00D33C31"/>
    <w:rPr>
      <w:b/>
      <w:bCs/>
    </w:rPr>
  </w:style>
  <w:style w:type="character" w:customStyle="1" w:styleId="ObjetducommentaireCar">
    <w:name w:val="Objet du commentaire Car"/>
    <w:basedOn w:val="CommentaireCar"/>
    <w:link w:val="Objetducommentaire"/>
    <w:uiPriority w:val="99"/>
    <w:semiHidden/>
    <w:rsid w:val="00D33C31"/>
    <w:rPr>
      <w:b/>
      <w:bCs/>
      <w:lang w:val="en-GB"/>
    </w:rPr>
  </w:style>
  <w:style w:type="character" w:customStyle="1" w:styleId="UnresolvedMention">
    <w:name w:val="Unresolved Mention"/>
    <w:basedOn w:val="Policepardfau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lev"/>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En-tte"/>
    <w:qFormat/>
    <w:rsid w:val="00AF6B1E"/>
  </w:style>
  <w:style w:type="paragraph" w:customStyle="1" w:styleId="Pageheader">
    <w:name w:val="Page header"/>
    <w:basedOn w:val="En-tte"/>
    <w:next w:val="En-tt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M5">
    <w:name w:val="toc 5"/>
    <w:basedOn w:val="Normal"/>
    <w:next w:val="Normal"/>
    <w:uiPriority w:val="39"/>
    <w:semiHidden/>
    <w:unhideWhenUsed/>
    <w:qFormat/>
    <w:rsid w:val="00F205B9"/>
    <w:pPr>
      <w:spacing w:after="100"/>
      <w:ind w:left="880"/>
    </w:pPr>
  </w:style>
  <w:style w:type="paragraph" w:styleId="TM6">
    <w:name w:val="toc 6"/>
    <w:basedOn w:val="Normal"/>
    <w:next w:val="Normal"/>
    <w:uiPriority w:val="39"/>
    <w:semiHidden/>
    <w:unhideWhenUsed/>
    <w:qFormat/>
    <w:rsid w:val="00F205B9"/>
    <w:pPr>
      <w:spacing w:after="100"/>
      <w:ind w:left="1100"/>
    </w:pPr>
  </w:style>
  <w:style w:type="paragraph" w:styleId="TM7">
    <w:name w:val="toc 7"/>
    <w:basedOn w:val="Normal"/>
    <w:next w:val="Normal"/>
    <w:uiPriority w:val="39"/>
    <w:semiHidden/>
    <w:unhideWhenUsed/>
    <w:qFormat/>
    <w:rsid w:val="00F205B9"/>
    <w:pPr>
      <w:spacing w:after="100"/>
      <w:ind w:left="1320"/>
    </w:pPr>
  </w:style>
  <w:style w:type="paragraph" w:styleId="TM8">
    <w:name w:val="toc 8"/>
    <w:basedOn w:val="Normal"/>
    <w:next w:val="Normal"/>
    <w:uiPriority w:val="39"/>
    <w:semiHidden/>
    <w:unhideWhenUsed/>
    <w:qFormat/>
    <w:rsid w:val="00F205B9"/>
    <w:pPr>
      <w:spacing w:after="100"/>
      <w:ind w:left="1540"/>
    </w:pPr>
  </w:style>
  <w:style w:type="paragraph" w:styleId="TM9">
    <w:name w:val="toc 9"/>
    <w:basedOn w:val="Normal"/>
    <w:next w:val="Normal"/>
    <w:uiPriority w:val="39"/>
    <w:semiHidden/>
    <w:unhideWhenUsed/>
    <w:qFormat/>
    <w:rsid w:val="00F205B9"/>
    <w:pPr>
      <w:spacing w:after="100"/>
      <w:ind w:left="1760"/>
    </w:pPr>
  </w:style>
  <w:style w:type="character" w:styleId="Lienhypertextesuivivisit">
    <w:name w:val="FollowedHyperlink"/>
    <w:basedOn w:val="Policepardfaut"/>
    <w:uiPriority w:val="99"/>
    <w:semiHidden/>
    <w:unhideWhenUsed/>
    <w:rsid w:val="0043139E"/>
    <w:rPr>
      <w:color w:val="0174AF" w:themeColor="followedHyperlink"/>
      <w:u w:val="single"/>
    </w:rPr>
  </w:style>
  <w:style w:type="character" w:customStyle="1" w:styleId="ParagraphedelisteCar">
    <w:name w:val="Paragraphe de liste Car"/>
    <w:aliases w:val="Paragraphe EI Car,Paragraphe de liste1 Car,EC Car"/>
    <w:link w:val="Paragraphedeliste"/>
    <w:uiPriority w:val="34"/>
    <w:locked/>
    <w:rsid w:val="00EC6066"/>
    <w:rPr>
      <w:rFonts w:asciiTheme="majorHAnsi" w:hAnsiTheme="majorHAnsi" w:cstheme="majorHAnsi"/>
      <w:color w:val="181818" w:themeColor="background1" w:themeShade="1A"/>
      <w:sz w:val="22"/>
      <w:szCs w:val="22"/>
      <w:lang w:val="pt-PT"/>
    </w:rPr>
  </w:style>
  <w:style w:type="paragraph" w:styleId="R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Policepardfaut"/>
    <w:rsid w:val="00061F32"/>
    <w:rPr>
      <w:rFonts w:ascii="Segoe UI" w:hAnsi="Segoe UI" w:cs="Segoe UI" w:hint="default"/>
      <w:sz w:val="18"/>
      <w:szCs w:val="18"/>
    </w:rPr>
  </w:style>
  <w:style w:type="character" w:customStyle="1" w:styleId="cf11">
    <w:name w:val="cf11"/>
    <w:basedOn w:val="Policepardfaut"/>
    <w:rsid w:val="00061F32"/>
    <w:rPr>
      <w:rFonts w:ascii="Segoe UI" w:hAnsi="Segoe UI" w:cs="Segoe UI" w:hint="default"/>
      <w:color w:val="333333"/>
      <w:sz w:val="18"/>
      <w:szCs w:val="18"/>
      <w:shd w:val="clear" w:color="auto" w:fill="FFFFFF"/>
    </w:rPr>
  </w:style>
  <w:style w:type="character" w:customStyle="1" w:styleId="Mention">
    <w:name w:val="Mention"/>
    <w:basedOn w:val="Policepardfaut"/>
    <w:uiPriority w:val="99"/>
    <w:unhideWhenUsed/>
    <w:rsid w:val="00251F26"/>
    <w:rPr>
      <w:color w:val="2B579A"/>
      <w:shd w:val="clear" w:color="auto" w:fill="E1DFDD"/>
    </w:rPr>
  </w:style>
  <w:style w:type="character" w:styleId="Textedelespacerserv">
    <w:name w:val="Placeholder Text"/>
    <w:basedOn w:val="Policepardfau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sma.europa.e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sma.europa.e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esma.europa.eu/about-esma/data-protection" TargetMode="External"/><Relationship Id="rId27" Type="http://schemas.openxmlformats.org/officeDocument/2006/relationships/footer" Target="footer5.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Textedelespacerserv"/>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06"/>
    <w:rsid w:val="004E4CF9"/>
    <w:rsid w:val="00813189"/>
    <w:rsid w:val="008222A0"/>
    <w:rsid w:val="00836D47"/>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7858C-3128-45EF-AE36-4A7D702B3BF5}">
  <ds:schemaRefs>
    <ds:schemaRef ds:uri="d0fb0f98-34f9-4d57-9559-eb8efd17aa5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6ee69ee-eb04-4cc4-8631-12658645af0f"/>
    <ds:schemaRef ds:uri="http://www.w3.org/XML/1998/namespace"/>
    <ds:schemaRef ds:uri="http://purl.org/dc/dcmitype/"/>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5.xml><?xml version="1.0" encoding="utf-8"?>
<ds:datastoreItem xmlns:ds="http://schemas.openxmlformats.org/officeDocument/2006/customXml" ds:itemID="{37E8BCCA-9653-4417-923D-6A536F0B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4753</Words>
  <Characters>26145</Characters>
  <Application>Microsoft Office Word</Application>
  <DocSecurity>8</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Darmon Thierry (AMUNDI)</cp:lastModifiedBy>
  <cp:revision>6</cp:revision>
  <cp:lastPrinted>2023-09-08T15:53:00Z</cp:lastPrinted>
  <dcterms:created xsi:type="dcterms:W3CDTF">2023-12-12T07:45:00Z</dcterms:created>
  <dcterms:modified xsi:type="dcterms:W3CDTF">2023-12-15T09:30:00Z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y fmtid="{D5CDD505-2E9C-101B-9397-08002B2CF9AE}" pid="16" name="MSIP_Label_6ac45191-74e4-40a9-a4c5-ab5c9391e33a_Enabled">
    <vt:lpwstr>true</vt:lpwstr>
  </property>
  <property fmtid="{D5CDD505-2E9C-101B-9397-08002B2CF9AE}" pid="17" name="MSIP_Label_6ac45191-74e4-40a9-a4c5-ab5c9391e33a_SetDate">
    <vt:lpwstr>2023-12-12T07:42:35Z</vt:lpwstr>
  </property>
  <property fmtid="{D5CDD505-2E9C-101B-9397-08002B2CF9AE}" pid="18" name="MSIP_Label_6ac45191-74e4-40a9-a4c5-ab5c9391e33a_Method">
    <vt:lpwstr>Standard</vt:lpwstr>
  </property>
  <property fmtid="{D5CDD505-2E9C-101B-9397-08002B2CF9AE}" pid="19" name="MSIP_Label_6ac45191-74e4-40a9-a4c5-ab5c9391e33a_Name">
    <vt:lpwstr>Internal Data</vt:lpwstr>
  </property>
  <property fmtid="{D5CDD505-2E9C-101B-9397-08002B2CF9AE}" pid="20" name="MSIP_Label_6ac45191-74e4-40a9-a4c5-ab5c9391e33a_SiteId">
    <vt:lpwstr>a5c34232-eadc-4609-bff3-dd6fcdae3fe2</vt:lpwstr>
  </property>
  <property fmtid="{D5CDD505-2E9C-101B-9397-08002B2CF9AE}" pid="21" name="MSIP_Label_6ac45191-74e4-40a9-a4c5-ab5c9391e33a_ActionId">
    <vt:lpwstr>85d39619-3346-499b-be42-3ea657abcf25</vt:lpwstr>
  </property>
  <property fmtid="{D5CDD505-2E9C-101B-9397-08002B2CF9AE}" pid="22" name="MSIP_Label_6ac45191-74e4-40a9-a4c5-ab5c9391e33a_ContentBits">
    <vt:lpwstr>0</vt:lpwstr>
  </property>
</Properties>
</file>