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3"/>
          <w:footerReference w:type="default" r:id="rId24"/>
          <w:headerReference w:type="first" r:id="rId25"/>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6E0DE0A2" w:rsidR="00635BCA" w:rsidRPr="00557BD2" w:rsidRDefault="00CC3D2D" w:rsidP="00D21C35">
                <w:r>
                  <w:t>UK Finance</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44CDB3D6" w:rsidR="00635BCA" w:rsidRPr="00557BD2" w:rsidRDefault="00CC3D2D"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158629BA" w:rsidR="00635BCA" w:rsidRPr="00557BD2" w:rsidRDefault="00CC3D2D"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07E01A0B" w:rsidR="00635BCA" w:rsidRPr="00557BD2" w:rsidRDefault="00CC3D2D" w:rsidP="00D21C35">
                <w:r>
                  <w:t>UK</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1CCCF983" w14:textId="74EEF2FA" w:rsidR="00C5469A" w:rsidRDefault="00CC3D2D" w:rsidP="00C5469A">
      <w:permStart w:id="1228560568" w:edGrp="everyone"/>
      <w:r>
        <w:t xml:space="preserve">UK Finance is the collective voice for the banking and finance industry. Representing more than 300 firms across the industry, it seeks to enhance competitiveness, support </w:t>
      </w:r>
      <w:proofErr w:type="gramStart"/>
      <w:r>
        <w:t>customers</w:t>
      </w:r>
      <w:proofErr w:type="gramEnd"/>
      <w:r>
        <w:t xml:space="preserve"> and facilitate innovation. Our primary role is to help our members ensure that the UK retains its position as a global leader in financial services. To do this, we facilitate industry-wide collaboration, provide data and evidence-backed representation with policy makers and regulators, and promote the actions necessary to protect the financial system. UK Finance’s operational activity enhances members’ own services in situations where collective industry action adds value. Our members include both large and small firms, national and regional, </w:t>
      </w:r>
      <w:proofErr w:type="gramStart"/>
      <w:r>
        <w:lastRenderedPageBreak/>
        <w:t>domestic</w:t>
      </w:r>
      <w:proofErr w:type="gramEnd"/>
      <w:r>
        <w:t xml:space="preserve"> and international, corporate and mutual, retail and wholesale, physical and virtual, banks and non-banks. Further information is available at: </w:t>
      </w:r>
      <w:hyperlink r:id="rId26" w:history="1">
        <w:r w:rsidRPr="002B59ED">
          <w:rPr>
            <w:rStyle w:val="Hyperlink"/>
          </w:rPr>
          <w:t>www.ukfinance.org.uk</w:t>
        </w:r>
      </w:hyperlink>
    </w:p>
    <w:p w14:paraId="0768903E" w14:textId="5A816699" w:rsidR="00CC3D2D" w:rsidRDefault="00CC3D2D" w:rsidP="00C5469A">
      <w:r>
        <w:t>Given the international nature of capital markets</w:t>
      </w:r>
      <w:r w:rsidR="003D155F">
        <w:t xml:space="preserve"> and the importance of harmonised settlement cycles</w:t>
      </w:r>
      <w:r>
        <w:t>, UK Finance welcomes the opportunity to respond to the questions related to non-EU jurisdictions.</w:t>
      </w:r>
    </w:p>
    <w:p w14:paraId="037DC6AD" w14:textId="5E3ADC41" w:rsidR="003D155F" w:rsidRPr="003D155F" w:rsidRDefault="003D155F" w:rsidP="00C5469A">
      <w:pPr>
        <w:rPr>
          <w:rFonts w:cstheme="minorHAnsi"/>
          <w:szCs w:val="22"/>
        </w:rPr>
      </w:pPr>
      <w:r w:rsidRPr="003D155F">
        <w:rPr>
          <w:rFonts w:cstheme="minorHAnsi"/>
          <w:szCs w:val="22"/>
        </w:rPr>
        <w:t xml:space="preserve">UK Finance is registered on the EU Transparency Register, registration number </w:t>
      </w:r>
      <w:r w:rsidRPr="003D155F">
        <w:rPr>
          <w:rFonts w:cstheme="minorHAnsi"/>
          <w:color w:val="333333"/>
          <w:szCs w:val="22"/>
          <w:shd w:val="clear" w:color="auto" w:fill="F4F4F4"/>
        </w:rPr>
        <w:t>537082732275-03</w:t>
      </w:r>
      <w:r w:rsidRPr="003D155F">
        <w:rPr>
          <w:rFonts w:cstheme="minorHAnsi"/>
          <w:color w:val="333333"/>
          <w:szCs w:val="22"/>
          <w:shd w:val="clear" w:color="auto" w:fill="F4F4F4"/>
        </w:rPr>
        <w:t>.</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528E6910" w14:textId="77777777" w:rsidR="00C5469A" w:rsidRDefault="00C5469A" w:rsidP="00C5469A">
      <w:permStart w:id="45707097" w:edGrp="everyone"/>
      <w:r>
        <w:t>TYPE YOUR TEXT HERE</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119D8B5" w14:textId="77777777" w:rsidR="00C5469A" w:rsidRDefault="00C5469A" w:rsidP="00C5469A">
      <w:permStart w:id="1188046948" w:edGrp="everyone"/>
      <w:r>
        <w:t>TYPE YOUR TEXT HERE</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lastRenderedPageBreak/>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5794F5A4" w14:textId="77777777" w:rsidR="00C5469A" w:rsidRDefault="00C5469A" w:rsidP="00C5469A">
      <w:permStart w:id="19423711" w:edGrp="everyone"/>
      <w:r>
        <w:t>TYPE YOUR TEXT HERE</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6EA48A43" w14:textId="77777777" w:rsidR="00C5469A" w:rsidRDefault="00C5469A" w:rsidP="00C5469A">
      <w:permStart w:id="1238857977" w:edGrp="everyone"/>
      <w:r>
        <w:t>TYPE YOUR TEXT HERE</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57FD56D0" w14:textId="77777777" w:rsidR="00C5469A" w:rsidRDefault="00C5469A" w:rsidP="00C5469A">
      <w:permStart w:id="367399486" w:edGrp="everyone"/>
      <w:r>
        <w:t>TYPE YOUR TEXT HERE</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lastRenderedPageBreak/>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8E0001D" w14:textId="77777777" w:rsidR="00C5469A" w:rsidRDefault="00C5469A" w:rsidP="00C5469A">
      <w:permStart w:id="1217420632" w:edGrp="everyone"/>
      <w:r>
        <w:t>TYPE YOUR TEXT HERE</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77777777" w:rsidR="00C5469A" w:rsidRDefault="00C5469A" w:rsidP="00C5469A">
      <w:permStart w:id="736563321" w:edGrp="everyone"/>
      <w:r>
        <w:t>TYPE YOUR TEXT HERE</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7DBBC5AB" w14:textId="77777777" w:rsidR="00C5469A" w:rsidRDefault="00C5469A" w:rsidP="00C5469A">
      <w:permStart w:id="1982556193" w:edGrp="everyone"/>
      <w:r>
        <w:t>TYPE YOUR TEXT HERE</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77777777" w:rsidR="00C5469A" w:rsidRDefault="00C5469A" w:rsidP="00C5469A">
      <w:permStart w:id="639642393" w:edGrp="everyone"/>
      <w:r>
        <w:lastRenderedPageBreak/>
        <w:t>TYPE YOUR TEXT HERE</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7777777" w:rsidR="00C5469A" w:rsidRDefault="00C5469A" w:rsidP="00C5469A">
      <w:permStart w:id="78006216" w:edGrp="everyone"/>
      <w:r>
        <w:t>TYPE YOUR TEXT HERE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77777777" w:rsidR="00C5469A" w:rsidRDefault="00C5469A" w:rsidP="00C5469A">
      <w:permStart w:id="27267923" w:edGrp="everyone"/>
      <w:r>
        <w:t>TYPE YOUR TEXT HERE</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77777777" w:rsidR="00C5469A" w:rsidRDefault="00C5469A" w:rsidP="00C5469A">
      <w:permStart w:id="75696228" w:edGrp="everyone"/>
      <w:r>
        <w:t>TYPE YOUR TEXT HERE</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3240CBCD" w14:textId="77777777" w:rsidR="00C5469A" w:rsidRDefault="00C5469A" w:rsidP="00C5469A">
      <w:permStart w:id="1702320082" w:edGrp="everyone"/>
      <w:r>
        <w:t>TYPE YOUR TEXT HERE</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2A4969A1" w14:textId="77777777" w:rsidR="00C5469A" w:rsidRDefault="00C5469A" w:rsidP="00C5469A">
      <w:permStart w:id="1673478500" w:edGrp="everyone"/>
      <w:r>
        <w:t>TYPE YOUR TEXT HERE</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77777777" w:rsidR="00C5469A" w:rsidRDefault="00C5469A" w:rsidP="00C5469A">
      <w:permStart w:id="1134712045" w:edGrp="everyone"/>
      <w:r>
        <w:t>TYPE YOUR TEXT HERE</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7777777" w:rsidR="00C5469A" w:rsidRDefault="00C5469A" w:rsidP="00C5469A">
      <w:permStart w:id="1013345542" w:edGrp="everyone"/>
      <w:r>
        <w:t>TYPE YOUR TEXT HERE</w:t>
      </w:r>
    </w:p>
    <w:permEnd w:id="1013345542"/>
    <w:p w14:paraId="381E1AF6" w14:textId="77777777" w:rsidR="00C5469A" w:rsidRDefault="00C5469A" w:rsidP="00C5469A">
      <w:r>
        <w:lastRenderedPageBreak/>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77777777" w:rsidR="00C5469A" w:rsidRDefault="00C5469A" w:rsidP="00C5469A">
      <w:permStart w:id="254495919" w:edGrp="everyone"/>
      <w:r>
        <w:t>TYPE YOUR TEXT HERE</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3DCB7BF4" w14:textId="77777777" w:rsidR="00C5469A" w:rsidRDefault="00C5469A" w:rsidP="00C5469A">
      <w:permStart w:id="1982605857" w:edGrp="everyone"/>
      <w:r>
        <w:t>TYPE YOUR TEXT HERE</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77777777" w:rsidR="00C5469A" w:rsidRDefault="00C5469A" w:rsidP="00C5469A">
      <w:permStart w:id="558774206" w:edGrp="everyone"/>
      <w:r>
        <w:t>TYPE YOUR TEXT HERE</w:t>
      </w:r>
    </w:p>
    <w:permEnd w:id="558774206"/>
    <w:p w14:paraId="3A4B113A" w14:textId="77777777" w:rsidR="00C5469A" w:rsidRDefault="00C5469A" w:rsidP="00C5469A">
      <w:r>
        <w:lastRenderedPageBreak/>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BB6D426" w14:textId="77777777" w:rsidR="00C5469A" w:rsidRDefault="00C5469A" w:rsidP="00C5469A">
      <w:permStart w:id="6054277" w:edGrp="everyone"/>
      <w:r>
        <w:t>TYPE YOUR TEXT HERE</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77777777" w:rsidR="00C5469A" w:rsidRDefault="00C5469A"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62574EEA" w14:textId="77777777" w:rsidR="00CC3D2D" w:rsidRPr="00DE6123" w:rsidRDefault="00CC3D2D" w:rsidP="00CC3D2D">
      <w:permStart w:id="1174998131" w:edGrp="everyone"/>
      <w:r w:rsidRPr="00DE6123">
        <w:t xml:space="preserve">Yes, UK Finance members see benefits in the harmonisation of settlement cycles with other non-EU jurisdictions for a variety of reasons: </w:t>
      </w:r>
    </w:p>
    <w:p w14:paraId="4A7B57B3" w14:textId="77777777" w:rsidR="00CC3D2D" w:rsidRPr="00DE6123" w:rsidRDefault="00CC3D2D" w:rsidP="00CC3D2D">
      <w:pPr>
        <w:pStyle w:val="ListParagraph"/>
        <w:numPr>
          <w:ilvl w:val="0"/>
          <w:numId w:val="16"/>
        </w:numPr>
        <w:spacing w:after="160" w:line="259" w:lineRule="auto"/>
        <w:contextualSpacing/>
      </w:pPr>
      <w:r w:rsidRPr="00DE6123">
        <w:lastRenderedPageBreak/>
        <w:t xml:space="preserve">Funding: The impact of cross market funding is one of the most pertinent aspects of mis-aligned settlement cycles that members are experiencing, with regards to the US’ move to T+1. For example, where a sale trade in an EU market (T+2 settlement cycle) would be used to fund a buy trade in the US (T+1 cycle post 28 May 2024) it could result in one of the following outcomes: </w:t>
      </w:r>
    </w:p>
    <w:p w14:paraId="78E04F0E" w14:textId="77777777" w:rsidR="00CC3D2D" w:rsidRPr="00DE6123" w:rsidRDefault="00CC3D2D" w:rsidP="00CC3D2D">
      <w:pPr>
        <w:pStyle w:val="ListParagraph"/>
        <w:numPr>
          <w:ilvl w:val="2"/>
          <w:numId w:val="16"/>
        </w:numPr>
        <w:spacing w:after="160" w:line="259" w:lineRule="auto"/>
        <w:contextualSpacing/>
      </w:pPr>
      <w:r w:rsidRPr="00DE6123">
        <w:t>The EU sale being booked outside of the EU convention to T+1 to align with the US purchase</w:t>
      </w:r>
    </w:p>
    <w:p w14:paraId="5045D4E8" w14:textId="77777777" w:rsidR="00CC3D2D" w:rsidRPr="00DE6123" w:rsidRDefault="00CC3D2D" w:rsidP="00CC3D2D">
      <w:pPr>
        <w:pStyle w:val="ListParagraph"/>
        <w:numPr>
          <w:ilvl w:val="2"/>
          <w:numId w:val="16"/>
        </w:numPr>
        <w:spacing w:after="160" w:line="259" w:lineRule="auto"/>
        <w:contextualSpacing/>
      </w:pPr>
      <w:r w:rsidRPr="00DE6123">
        <w:t>The US purchase would fail for a day until the EU delivery settles, or</w:t>
      </w:r>
    </w:p>
    <w:p w14:paraId="220595D6" w14:textId="77777777" w:rsidR="00CC3D2D" w:rsidRPr="00DE6123" w:rsidRDefault="00CC3D2D" w:rsidP="00CC3D2D">
      <w:pPr>
        <w:pStyle w:val="ListParagraph"/>
        <w:numPr>
          <w:ilvl w:val="2"/>
          <w:numId w:val="16"/>
        </w:numPr>
        <w:spacing w:after="160" w:line="259" w:lineRule="auto"/>
        <w:contextualSpacing/>
      </w:pPr>
      <w:r w:rsidRPr="00DE6123">
        <w:t xml:space="preserve">The US purchase is funded by the custodian allowing it to settle on time, which would however incur funding charges </w:t>
      </w:r>
    </w:p>
    <w:p w14:paraId="4B51E625" w14:textId="77777777" w:rsidR="00CC3D2D" w:rsidRPr="00DE6123" w:rsidRDefault="00CC3D2D" w:rsidP="00CC3D2D">
      <w:pPr>
        <w:ind w:left="1287"/>
      </w:pPr>
      <w:r w:rsidRPr="00DE6123">
        <w:t xml:space="preserve">Options ii and iii may not always be practical so the impact may be an increase in the number of irregular settlements in the EU if cycles are not aligned, which would increase operational complexity and funding charges. </w:t>
      </w:r>
    </w:p>
    <w:p w14:paraId="61F835C1" w14:textId="2E2FD85B" w:rsidR="003D155F" w:rsidRPr="00DE6123" w:rsidRDefault="00CC3D2D" w:rsidP="003D155F">
      <w:r w:rsidRPr="00DE6123">
        <w:t>There are also specific products where complexity is heightened due to different settlement cycles across jurisdictions, for example, multi listed securities and those with a foreign dependency, such as ETFs, depositary receipts and dual listed stocks.</w:t>
      </w:r>
      <w:r>
        <w:t xml:space="preserve"> </w:t>
      </w:r>
      <w:r w:rsidR="00DA1FF0">
        <w:t>There will also</w:t>
      </w:r>
      <w:r>
        <w:t xml:space="preserve"> be specific </w:t>
      </w:r>
      <w:r w:rsidR="00DA1FF0">
        <w:t>challenges</w:t>
      </w:r>
      <w:r>
        <w:t>, and associated risks, with respect to corporate actions processing for securities traded on different exchanges with different standard settlement cycles.</w:t>
      </w:r>
    </w:p>
    <w:p w14:paraId="67CE9490" w14:textId="5670C135" w:rsidR="003D155F" w:rsidRDefault="003D155F" w:rsidP="003D155F">
      <w:pPr>
        <w:pStyle w:val="ListParagraph"/>
        <w:numPr>
          <w:ilvl w:val="0"/>
          <w:numId w:val="16"/>
        </w:numPr>
        <w:spacing w:after="160" w:line="259" w:lineRule="auto"/>
        <w:contextualSpacing/>
      </w:pPr>
      <w:r w:rsidRPr="00DE6123">
        <w:t xml:space="preserve">Technology and processing: As technical and operational models are likely to need to change for the US’ move to T+1, and the potential UK move to T+1, UK Finance members running global operational teams could seek to leverage new tech solutions and operational processes being implemented for US T+1 for technology and operational processes supporting EU markets. However, it can often be the case that different technology solutions are used by global firms for their processing across jurisdictions, for example, the technology stack supporting processes in the US may differ in order jurisdictions such as the EU and the UK owing to different market conventions, market processes and regulatory considerations. All this being said, globally active firms operating in the EU could see T+1 as an opportunity to improve technology and operational processes which will ultimately benefit in harmonisation of settlement cycles with other jurisdictions. </w:t>
      </w:r>
    </w:p>
    <w:p w14:paraId="3EB0E5B2" w14:textId="77777777" w:rsidR="003D155F" w:rsidRPr="00DE6123" w:rsidRDefault="003D155F" w:rsidP="003D155F">
      <w:pPr>
        <w:pStyle w:val="ListParagraph"/>
        <w:numPr>
          <w:ilvl w:val="0"/>
          <w:numId w:val="0"/>
        </w:numPr>
        <w:spacing w:after="160" w:line="259" w:lineRule="auto"/>
        <w:ind w:left="1287"/>
        <w:contextualSpacing/>
      </w:pPr>
    </w:p>
    <w:p w14:paraId="056FBC0C" w14:textId="590B2EFE" w:rsidR="003D155F" w:rsidRPr="00DE6123" w:rsidRDefault="003D155F" w:rsidP="003D155F">
      <w:pPr>
        <w:pStyle w:val="ListParagraph"/>
        <w:numPr>
          <w:ilvl w:val="0"/>
          <w:numId w:val="16"/>
        </w:numPr>
        <w:spacing w:after="160" w:line="259" w:lineRule="auto"/>
        <w:contextualSpacing/>
      </w:pPr>
      <w:r w:rsidRPr="00DE6123">
        <w:t xml:space="preserve">Cross border complexity: The harmonisation of settlement cycles would alleviate the complexity and impact to ‘cross-border’ markets and instruments, such as DTCC vs ICSDs, dual-listed instruments, Eurobonds and ETFs. For example, concerning the US move to T+1 there is still complexity around settlement conventions across DTCC vs ICSDs or the convention that foreign instruments should take. Furthermore, aligned settlement cycles would benefit global ETF baskets, which might include instruments from multiple jurisdictions. Whilst there will be misalignment in these baskets today as there is not a global settlement convention, if however, the basket consisted of, for example, US, UK and EU </w:t>
      </w:r>
      <w:r w:rsidRPr="00DE6123">
        <w:lastRenderedPageBreak/>
        <w:t xml:space="preserve">instruments it would be beneficial for the same settlement convention of the underlying. </w:t>
      </w:r>
    </w:p>
    <w:p w14:paraId="21A88B31" w14:textId="1D169A6C" w:rsidR="003D155F" w:rsidRDefault="003D155F" w:rsidP="00CC3D2D">
      <w:r w:rsidRPr="00DE6123">
        <w:t xml:space="preserve">Furthermore, UK Finance members note that given the cross-border nature of European capital markets, there is value in a coordinated move to T+1 between the EU, Switzerland, and the UK, to the extent that this is possible. </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77777777" w:rsidR="00C5469A" w:rsidRDefault="00C5469A" w:rsidP="00C5469A">
      <w:permStart w:id="2138049322" w:edGrp="everyone"/>
      <w:r>
        <w:t>TYPE YOUR TEXT HERE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3C9B6B5F" w14:textId="77777777" w:rsidR="003D155F" w:rsidRPr="00DE6123" w:rsidRDefault="003D155F" w:rsidP="003D155F">
      <w:permStart w:id="1765815298" w:edGrp="everyone"/>
      <w:r w:rsidRPr="00DE6123">
        <w:t xml:space="preserve">Yes, adapting to shorter settlement cycles in other jurisdictions would help to facilitate the adoption of T+1 or T+0 in the EU. UK Finance members will need to run operational, technical, FX funding models that are on a T+1 cycle </w:t>
      </w:r>
      <w:proofErr w:type="gramStart"/>
      <w:r w:rsidRPr="00DE6123">
        <w:t>in light of</w:t>
      </w:r>
      <w:proofErr w:type="gramEnd"/>
      <w:r w:rsidRPr="00DE6123">
        <w:t xml:space="preserve"> the upcoming US T+1 implementation. It is also important to note that there are already markets running T+1 and T+0 settlement cycles (bond markets, discount securities markets, India, China (including Stock Connect), Chinese DRs in the UK/Swiss/Germany, Japan). However, whilst there could be funding and FX models in place today which could apply, it is important to note that markets such as China and India operate very differently to the EU and there are limited areas which can be replicated or learnt from.  </w:t>
      </w:r>
    </w:p>
    <w:p w14:paraId="3172E94A" w14:textId="24717E4D" w:rsidR="003D155F" w:rsidRPr="00DE6123" w:rsidRDefault="003D155F" w:rsidP="003D155F">
      <w:r w:rsidRPr="00DE6123">
        <w:lastRenderedPageBreak/>
        <w:t xml:space="preserve">This differs from the upcoming US implementation, where there will be aspects which can be </w:t>
      </w:r>
      <w:r w:rsidR="00DA1FF0">
        <w:t>leveraged</w:t>
      </w:r>
      <w:r w:rsidRPr="00DE6123">
        <w:t xml:space="preserve">. The US approach to allocations and confirmations (although affirmations are not EU market practice) devising market practice to ensure that the processing takes place on trade date before 21.00pm EST is a requirement that the EU (and the UK) could seek to replicate </w:t>
      </w:r>
      <w:r w:rsidR="00DA1FF0" w:rsidRPr="00DE6123">
        <w:t>to</w:t>
      </w:r>
      <w:r w:rsidRPr="00DE6123">
        <w:t xml:space="preserve"> optimise timely settlement. Furthermore, requiring the settlement instruction, including realignments, to reach the CSD by the end of its market close would also be beneficial as it would ensure as much flow as possible would be presented for overnight settlement leaving T+1 / ISD to resolve discrepancies and ensure remaining inventory is in the right place (should it not have been ahead of the overnight process). </w:t>
      </w:r>
    </w:p>
    <w:p w14:paraId="125C92C9" w14:textId="7B9CBF0D" w:rsidR="00C5469A" w:rsidRDefault="003D155F" w:rsidP="00C5469A">
      <w:r w:rsidRPr="00DE6123">
        <w:t>EU market participants will also be able to learn from any processing and technology changes devised for the US market can be replicated in the EU. For example, the use of vendor solutions or intermediary services. EU market participants may also be able to leverage solutions that bridge the time zone gap, especially where the market participant provides services to clients outside of the EU.</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3E1E32B0" w14:textId="779784DC" w:rsidR="003D155F" w:rsidRPr="00DE6123" w:rsidRDefault="003D155F" w:rsidP="003D155F">
      <w:permStart w:id="1934034529" w:edGrp="everyone"/>
      <w:r w:rsidRPr="00DE6123">
        <w:t>Despite recent moves to T+1, such as India, the US, Canada and Mexico, a global settlement cycle does not exist today, indeed some markets have only just moved to T+2. As such, the global securities market and its investors have already experienced misalignment, for example 2014-2017 when the EU (and UK) moved to T+2 in 2014 and the US didn’t move until 2017. However, the upcoming US move to T+1 does bring into question just how viable and for how long the EU (and UK) should be and can be misaligned to the US.</w:t>
      </w:r>
      <w:r>
        <w:t xml:space="preserve"> The underlying point is that there are significant advantages in an alignment of settlement cycles for all market participants that have cross-border activity, or that invest in asset types with a cross-border dimension, such as dual-listed </w:t>
      </w:r>
      <w:r w:rsidR="00DB763E">
        <w:t>securities,</w:t>
      </w:r>
      <w:r>
        <w:t xml:space="preserve"> </w:t>
      </w:r>
      <w:proofErr w:type="gramStart"/>
      <w:r>
        <w:t>ETFs</w:t>
      </w:r>
      <w:proofErr w:type="gramEnd"/>
      <w:r>
        <w:t xml:space="preserve"> and depositary receipts.</w:t>
      </w:r>
      <w:r w:rsidRPr="00DE6123">
        <w:t xml:space="preserve"> </w:t>
      </w:r>
    </w:p>
    <w:p w14:paraId="735EC91A" w14:textId="480C53DD" w:rsidR="00C5469A" w:rsidRDefault="003D155F" w:rsidP="00C5469A">
      <w:r>
        <w:t xml:space="preserve">Nonetheless, </w:t>
      </w:r>
      <w:r w:rsidRPr="00DE6123">
        <w:t xml:space="preserve">UK Finance members believe that different settlement cycles </w:t>
      </w:r>
      <w:proofErr w:type="gramStart"/>
      <w:r w:rsidRPr="00DE6123">
        <w:t>is</w:t>
      </w:r>
      <w:proofErr w:type="gramEnd"/>
      <w:r w:rsidRPr="00DE6123">
        <w:t xml:space="preserve"> not just a viable option, but it is the only foreseeable situation. Currently, not all markets settle on a T+2 basis so we must assume that not all markets will move to T+1 (China will not move from T+0). Therefore, a continued global misalignment is inevitable. What is critical though is that the EU moves in the same direction as close as possible to other</w:t>
      </w:r>
      <w:r>
        <w:t xml:space="preserve"> </w:t>
      </w:r>
      <w:r w:rsidRPr="00DE6123">
        <w:t>non-EU jurisdictions that it has the most crossover with</w:t>
      </w:r>
      <w:r>
        <w:t xml:space="preserve">, </w:t>
      </w:r>
      <w:r w:rsidRPr="00DE6123">
        <w:t xml:space="preserve">in terms of funding of client activities, cross border settlement, </w:t>
      </w:r>
      <w:proofErr w:type="gramStart"/>
      <w:r w:rsidRPr="00DE6123">
        <w:t>e.g.</w:t>
      </w:r>
      <w:proofErr w:type="gramEnd"/>
      <w:r w:rsidRPr="00DE6123">
        <w:t xml:space="preserve"> between EU CSDs and UK CREST, but also in terms of markets, such as</w:t>
      </w:r>
      <w:r>
        <w:t xml:space="preserve"> </w:t>
      </w:r>
      <w:r w:rsidRPr="00DE6123">
        <w:t>ETFs.</w:t>
      </w:r>
    </w:p>
    <w:permEnd w:id="1934034529"/>
    <w:p w14:paraId="1655DD50" w14:textId="77777777" w:rsidR="00C5469A" w:rsidRDefault="00C5469A" w:rsidP="00C5469A">
      <w:r>
        <w:lastRenderedPageBreak/>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17A0DA8D" w14:textId="352AD3AD" w:rsidR="003D155F" w:rsidRPr="00DE6123" w:rsidRDefault="003D155F" w:rsidP="003D155F">
      <w:permStart w:id="1617899118" w:edGrp="everyone"/>
      <w:r w:rsidRPr="00DE6123">
        <w:t xml:space="preserve">UK Finance members believe that the greatest challenge that the EU faces that is not so present in other markets is the impact of CSDR penalties. Whilst settlement efficiency in the EU has improved since CSDR cash penalties have been introduced, the rate of improvement is not as high as the industry was hoping for. Until the reasons for settlement fails are fully understood across the industry, and the necessary remedial steps are introduced across all market participants involved, including FMIs and EU market structure, for example, to improve cross-border settlement. With a move to T+1, </w:t>
      </w:r>
      <w:r w:rsidR="00DB763E" w:rsidRPr="00DE6123">
        <w:t>it is</w:t>
      </w:r>
      <w:r w:rsidRPr="00DE6123">
        <w:t xml:space="preserve"> possible that settlement rates might get worse rather than better. </w:t>
      </w:r>
    </w:p>
    <w:p w14:paraId="10ED0E1F" w14:textId="77777777" w:rsidR="003D155F" w:rsidRPr="00DE6123" w:rsidRDefault="003D155F" w:rsidP="003D155F">
      <w:r w:rsidRPr="00DE6123">
        <w:t xml:space="preserve">The other key factor that is more relevant to the EU, compared to other markets looking to prioritise shortened settlement cycles is the underlying, fragmentated market structure in terms of exchanges, CSDs, CCPs and regulators. Securing consensus and alignment amongst a greater number of stakeholders will be challenging over and could create more risk with the move that would not have been seen with the US move (or potential UK move). Realistically, EU firms, investors in EU securities but more importantly, the bodies overseeing the move for the EU will need to work collaboratively before concluding that the overall framework for the market that must be in place for such a move to be net beneficial to the EU </w:t>
      </w:r>
    </w:p>
    <w:p w14:paraId="714365E5" w14:textId="77777777" w:rsidR="003D155F" w:rsidRPr="00DE6123" w:rsidRDefault="003D155F" w:rsidP="003D155F">
      <w:r w:rsidRPr="00DE6123">
        <w:t>In addition, with regards to FX markets, it will be important for CLS to align with the securities markets, given that the EU has 14 currencies and therefore there is the potential for an increase in currency risk.</w:t>
      </w:r>
    </w:p>
    <w:p w14:paraId="0D183AD2" w14:textId="55EFE3BE" w:rsidR="00C5469A" w:rsidRDefault="003D155F" w:rsidP="00C5469A">
      <w:r w:rsidRPr="00DE6123">
        <w:t>Another issue that is worth noting is in relation to the fund cycle. The misalignment of the funds cycle which is between T+2 and T+4, and the securities settlement cycle, will need to be bridged, with a view to aligning on T+1 ideally, assuming that this is the global direction of travel.</w:t>
      </w:r>
    </w:p>
    <w:permEnd w:id="1617899118"/>
    <w:p w14:paraId="04595985" w14:textId="6DF160E5" w:rsidR="00B15C0B" w:rsidRPr="00C5469A" w:rsidRDefault="00C5469A" w:rsidP="00B15C0B">
      <w:r>
        <w:t>&lt;ESMA_QUESTION_SETT_27&gt;</w:t>
      </w:r>
    </w:p>
    <w:sectPr w:rsidR="00B15C0B" w:rsidRPr="00C5469A" w:rsidSect="00AD0B10">
      <w:headerReference w:type="default" r:id="rId27"/>
      <w:footerReference w:type="default" r:id="rId2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265" w14:textId="77777777" w:rsidR="00582588" w:rsidRDefault="00582588" w:rsidP="007E7997">
      <w:pPr>
        <w:spacing w:line="240" w:lineRule="auto"/>
      </w:pPr>
      <w:r>
        <w:separator/>
      </w:r>
    </w:p>
  </w:endnote>
  <w:endnote w:type="continuationSeparator" w:id="0">
    <w:p w14:paraId="0DB68E98" w14:textId="77777777" w:rsidR="00582588" w:rsidRDefault="00582588" w:rsidP="007E7997">
      <w:pPr>
        <w:spacing w:line="240" w:lineRule="auto"/>
      </w:pPr>
      <w:r>
        <w:continuationSeparator/>
      </w:r>
    </w:p>
  </w:endnote>
  <w:endnote w:type="continuationNotice" w:id="1">
    <w:p w14:paraId="36A6019B" w14:textId="77777777" w:rsidR="00582588" w:rsidRDefault="0058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833A" w14:textId="77777777" w:rsidR="00DB763E" w:rsidRDefault="00DB7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EE24" w14:textId="77777777" w:rsidR="00DB763E" w:rsidRDefault="00DB7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5C61" w14:textId="77777777" w:rsidR="00DB763E" w:rsidRDefault="00DB76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590" w14:textId="77777777" w:rsidR="00582588" w:rsidRDefault="00582588" w:rsidP="007E7997">
      <w:pPr>
        <w:spacing w:line="240" w:lineRule="auto"/>
      </w:pPr>
      <w:r>
        <w:separator/>
      </w:r>
    </w:p>
  </w:footnote>
  <w:footnote w:type="continuationSeparator" w:id="0">
    <w:p w14:paraId="72020CCD" w14:textId="77777777" w:rsidR="00582588" w:rsidRDefault="00582588" w:rsidP="007E7997">
      <w:pPr>
        <w:spacing w:line="240" w:lineRule="auto"/>
      </w:pPr>
      <w:r>
        <w:continuationSeparator/>
      </w:r>
    </w:p>
  </w:footnote>
  <w:footnote w:type="continuationNotice" w:id="1">
    <w:p w14:paraId="6FE75894" w14:textId="77777777" w:rsidR="00582588" w:rsidRDefault="00582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B9F0" w14:textId="77777777" w:rsidR="00DB763E" w:rsidRDefault="00DB7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35E6" w14:textId="77777777" w:rsidR="00DB763E" w:rsidRDefault="00DB7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467B5"/>
    <w:multiLevelType w:val="hybridMultilevel"/>
    <w:tmpl w:val="86FE5E9A"/>
    <w:lvl w:ilvl="0" w:tplc="AF46AEDA">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004397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AD4"/>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55F"/>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6300"/>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298B"/>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18B"/>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D7F9A"/>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826"/>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43C"/>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3D2D"/>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1FF0"/>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3E"/>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www.ukfinance.org.uk" TargetMode="Externa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d0fb0f98-34f9-4d57-9559-eb8efd17aa5e"/>
    <ds:schemaRef ds:uri="http://purl.org/dc/dcmitype/"/>
    <ds:schemaRef ds:uri="http://purl.org/dc/terms/"/>
    <ds:schemaRef ds:uri="http://schemas.microsoft.com/office/2006/documentManagement/types"/>
    <ds:schemaRef ds:uri="d6ee69ee-eb04-4cc4-8631-12658645af0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3207</Words>
  <Characters>18282</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Ayesha Ghafoor</cp:lastModifiedBy>
  <cp:revision>2</cp:revision>
  <cp:lastPrinted>2023-09-08T15:53:00Z</cp:lastPrinted>
  <dcterms:created xsi:type="dcterms:W3CDTF">2023-12-14T16:44:00Z</dcterms:created>
  <dcterms:modified xsi:type="dcterms:W3CDTF">2023-12-14T16:44:00Z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y fmtid="{D5CDD505-2E9C-101B-9397-08002B2CF9AE}" pid="16" name="MSIP_Label_c92f01a9-cdae-46d8-b7db-376e33119417_Enabled">
    <vt:lpwstr>true</vt:lpwstr>
  </property>
  <property fmtid="{D5CDD505-2E9C-101B-9397-08002B2CF9AE}" pid="17" name="MSIP_Label_c92f01a9-cdae-46d8-b7db-376e33119417_SetDate">
    <vt:lpwstr>2023-12-14T15:46:04Z</vt:lpwstr>
  </property>
  <property fmtid="{D5CDD505-2E9C-101B-9397-08002B2CF9AE}" pid="18" name="MSIP_Label_c92f01a9-cdae-46d8-b7db-376e33119417_Method">
    <vt:lpwstr>Standard</vt:lpwstr>
  </property>
  <property fmtid="{D5CDD505-2E9C-101B-9397-08002B2CF9AE}" pid="19" name="MSIP_Label_c92f01a9-cdae-46d8-b7db-376e33119417_Name">
    <vt:lpwstr>Internal - UK Finance</vt:lpwstr>
  </property>
  <property fmtid="{D5CDD505-2E9C-101B-9397-08002B2CF9AE}" pid="20" name="MSIP_Label_c92f01a9-cdae-46d8-b7db-376e33119417_SiteId">
    <vt:lpwstr>70e4dd2e-aab7-4c6a-a882-3b6e7a39663e</vt:lpwstr>
  </property>
  <property fmtid="{D5CDD505-2E9C-101B-9397-08002B2CF9AE}" pid="21" name="MSIP_Label_c92f01a9-cdae-46d8-b7db-376e33119417_ActionId">
    <vt:lpwstr>a2badd25-ea07-4541-8e60-3d7a49df0f06</vt:lpwstr>
  </property>
  <property fmtid="{D5CDD505-2E9C-101B-9397-08002B2CF9AE}" pid="22" name="MSIP_Label_c92f01a9-cdae-46d8-b7db-376e33119417_ContentBits">
    <vt:lpwstr>0</vt:lpwstr>
  </property>
</Properties>
</file>