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F6EAC" w14:textId="23C1E7C3" w:rsidR="009A6D1A" w:rsidRPr="00F41029" w:rsidRDefault="00AF5675" w:rsidP="00F41029">
      <w:pPr>
        <w:spacing w:after="240" w:line="276" w:lineRule="auto"/>
        <w:rPr>
          <w:rFonts w:ascii="Cambria" w:hAnsi="Cambria"/>
          <w:b/>
          <w:bCs/>
          <w:color w:val="0070C0"/>
          <w:sz w:val="28"/>
          <w:szCs w:val="28"/>
        </w:rPr>
      </w:pPr>
      <w:r w:rsidRPr="00F41029">
        <w:rPr>
          <w:rFonts w:ascii="Cambria" w:hAnsi="Cambria"/>
          <w:b/>
          <w:bCs/>
          <w:color w:val="0070C0"/>
          <w:sz w:val="28"/>
          <w:szCs w:val="28"/>
        </w:rPr>
        <w:t xml:space="preserve">Annex 2 – Overview of Current </w:t>
      </w:r>
      <w:r w:rsidR="00AC5C95">
        <w:rPr>
          <w:rFonts w:ascii="Cambria" w:hAnsi="Cambria"/>
          <w:b/>
          <w:bCs/>
          <w:color w:val="0070C0"/>
          <w:sz w:val="28"/>
          <w:szCs w:val="28"/>
        </w:rPr>
        <w:t xml:space="preserve">Trade Lifecycle </w:t>
      </w:r>
    </w:p>
    <w:p w14:paraId="05BD956E" w14:textId="77777777" w:rsidR="007E65CE" w:rsidRDefault="007E65CE" w:rsidP="007E65CE">
      <w:pPr>
        <w:rPr>
          <w:noProof/>
        </w:rPr>
      </w:pPr>
    </w:p>
    <w:p w14:paraId="66820EAD" w14:textId="7D4F51BD" w:rsidR="00FA3012" w:rsidRDefault="00AF5675">
      <w:r>
        <w:rPr>
          <w:noProof/>
        </w:rPr>
        <w:drawing>
          <wp:inline distT="0" distB="0" distL="0" distR="0" wp14:anchorId="6C441F3E" wp14:editId="5423F786">
            <wp:extent cx="5731510" cy="2977515"/>
            <wp:effectExtent l="19050" t="19050" r="21590" b="13335"/>
            <wp:docPr id="888806191" name="Picture 1" descr="A diagram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806191" name="Picture 1" descr="A diagram of a company&#10;&#10;Description automatically generated"/>
                    <pic:cNvPicPr/>
                  </pic:nvPicPr>
                  <pic:blipFill>
                    <a:blip r:embed="rId8"/>
                    <a:stretch>
                      <a:fillRect/>
                    </a:stretch>
                  </pic:blipFill>
                  <pic:spPr>
                    <a:xfrm>
                      <a:off x="0" y="0"/>
                      <a:ext cx="5731510" cy="2977515"/>
                    </a:xfrm>
                    <a:prstGeom prst="rect">
                      <a:avLst/>
                    </a:prstGeom>
                    <a:ln w="12700">
                      <a:solidFill>
                        <a:schemeClr val="tx1"/>
                      </a:solidFill>
                    </a:ln>
                  </pic:spPr>
                </pic:pic>
              </a:graphicData>
            </a:graphic>
          </wp:inline>
        </w:drawing>
      </w:r>
    </w:p>
    <w:p w14:paraId="513A643E" w14:textId="77777777" w:rsidR="00AF5675" w:rsidRDefault="00AF5675" w:rsidP="004D6623">
      <w:pPr>
        <w:spacing w:after="120" w:line="276" w:lineRule="auto"/>
      </w:pPr>
    </w:p>
    <w:p w14:paraId="7E88D81D" w14:textId="106BF3DE" w:rsidR="00092642" w:rsidRPr="00FD5A04" w:rsidRDefault="00ED6A4C" w:rsidP="00C80EDB">
      <w:pPr>
        <w:jc w:val="both"/>
        <w:rPr>
          <w:rFonts w:ascii="Cambria" w:hAnsi="Cambria"/>
          <w:b/>
          <w:bCs/>
          <w:sz w:val="24"/>
          <w:szCs w:val="24"/>
        </w:rPr>
      </w:pPr>
      <w:r w:rsidRPr="00FD5A04">
        <w:rPr>
          <w:rFonts w:ascii="Cambria" w:hAnsi="Cambria"/>
          <w:b/>
          <w:bCs/>
          <w:sz w:val="24"/>
          <w:szCs w:val="24"/>
        </w:rPr>
        <w:t>Trading</w:t>
      </w:r>
    </w:p>
    <w:p w14:paraId="592C884C" w14:textId="6D60EDB0" w:rsidR="00A5553C" w:rsidRDefault="00C80EDB" w:rsidP="002D242A">
      <w:pPr>
        <w:spacing w:after="120" w:line="276" w:lineRule="auto"/>
        <w:jc w:val="both"/>
        <w:rPr>
          <w:rFonts w:ascii="Cambria" w:hAnsi="Cambria"/>
        </w:rPr>
      </w:pPr>
      <w:r w:rsidRPr="00C80EDB">
        <w:rPr>
          <w:rFonts w:ascii="Cambria" w:hAnsi="Cambria"/>
        </w:rPr>
        <w:t xml:space="preserve">During the trading </w:t>
      </w:r>
      <w:r w:rsidRPr="00454689">
        <w:rPr>
          <w:rFonts w:ascii="Cambria" w:hAnsi="Cambria"/>
        </w:rPr>
        <w:t>process, the two counterparties, whether acting for their own accounts or as brokers or intermediaries on behalf of clients, engage in negotiations to establish a sale/purchase contract. They mutually agree on the precise quantity</w:t>
      </w:r>
      <w:r w:rsidRPr="00C80EDB">
        <w:rPr>
          <w:rFonts w:ascii="Cambria" w:hAnsi="Cambria"/>
        </w:rPr>
        <w:t xml:space="preserve"> and price of a security, defining the terms under which the seller and buyer commit to executing the trade.</w:t>
      </w:r>
    </w:p>
    <w:p w14:paraId="5CF92A7D" w14:textId="5F3CC5D1" w:rsidR="001C57B5" w:rsidRPr="006A36D3" w:rsidRDefault="006A36D3" w:rsidP="002D242A">
      <w:pPr>
        <w:spacing w:after="120" w:line="276" w:lineRule="auto"/>
        <w:jc w:val="both"/>
        <w:rPr>
          <w:rFonts w:ascii="Cambria" w:hAnsi="Cambria"/>
        </w:rPr>
      </w:pPr>
      <w:r w:rsidRPr="006A36D3">
        <w:rPr>
          <w:rFonts w:ascii="Cambria" w:hAnsi="Cambria"/>
        </w:rPr>
        <w:t>In scenarios where a trade</w:t>
      </w:r>
      <w:r>
        <w:rPr>
          <w:rFonts w:ascii="Cambria" w:hAnsi="Cambria"/>
        </w:rPr>
        <w:t xml:space="preserve"> </w:t>
      </w:r>
      <w:r w:rsidR="00BE6D4D">
        <w:rPr>
          <w:rFonts w:ascii="Cambria" w:hAnsi="Cambria"/>
        </w:rPr>
        <w:t>is being executed</w:t>
      </w:r>
      <w:r w:rsidR="007A6576">
        <w:rPr>
          <w:rFonts w:ascii="Cambria" w:hAnsi="Cambria"/>
        </w:rPr>
        <w:t xml:space="preserve"> in a trading venue, </w:t>
      </w:r>
      <w:r w:rsidR="00C155CE">
        <w:rPr>
          <w:rFonts w:ascii="Cambria" w:hAnsi="Cambria"/>
        </w:rPr>
        <w:t xml:space="preserve">the exchange will issue a notice of execution </w:t>
      </w:r>
      <w:r w:rsidR="00BE6D4D">
        <w:rPr>
          <w:rFonts w:ascii="Cambria" w:hAnsi="Cambria"/>
        </w:rPr>
        <w:t xml:space="preserve">upon </w:t>
      </w:r>
      <w:r w:rsidR="006217AC">
        <w:rPr>
          <w:rFonts w:ascii="Cambria" w:hAnsi="Cambria"/>
        </w:rPr>
        <w:t>the transaction has been completed</w:t>
      </w:r>
      <w:r w:rsidR="00AB7EE4">
        <w:rPr>
          <w:rFonts w:ascii="Cambria" w:hAnsi="Cambria"/>
        </w:rPr>
        <w:t xml:space="preserve">. If </w:t>
      </w:r>
      <w:r w:rsidR="001E669C">
        <w:rPr>
          <w:rFonts w:ascii="Cambria" w:hAnsi="Cambria"/>
        </w:rPr>
        <w:t>operating through a broker intermediary</w:t>
      </w:r>
      <w:r w:rsidR="00BB4D7F">
        <w:rPr>
          <w:rFonts w:ascii="Cambria" w:hAnsi="Cambria"/>
        </w:rPr>
        <w:t xml:space="preserve"> acting on behalf of the counterparty</w:t>
      </w:r>
      <w:r w:rsidR="001E669C">
        <w:rPr>
          <w:rFonts w:ascii="Cambria" w:hAnsi="Cambria"/>
        </w:rPr>
        <w:t xml:space="preserve">, the </w:t>
      </w:r>
      <w:r w:rsidR="00FE2582">
        <w:rPr>
          <w:rFonts w:ascii="Cambria" w:hAnsi="Cambria"/>
        </w:rPr>
        <w:t xml:space="preserve">trading venue will </w:t>
      </w:r>
      <w:r w:rsidR="00F424FE">
        <w:rPr>
          <w:rFonts w:ascii="Cambria" w:hAnsi="Cambria"/>
        </w:rPr>
        <w:t>submit</w:t>
      </w:r>
      <w:r w:rsidR="00FE2582">
        <w:rPr>
          <w:rFonts w:ascii="Cambria" w:hAnsi="Cambria"/>
        </w:rPr>
        <w:t xml:space="preserve"> this</w:t>
      </w:r>
      <w:r w:rsidR="00495694">
        <w:rPr>
          <w:rFonts w:ascii="Cambria" w:hAnsi="Cambria"/>
        </w:rPr>
        <w:t xml:space="preserve"> </w:t>
      </w:r>
      <w:r w:rsidR="00DD7C5C">
        <w:rPr>
          <w:rFonts w:ascii="Cambria" w:hAnsi="Cambria"/>
        </w:rPr>
        <w:t>confirmation that the trade has been executed</w:t>
      </w:r>
      <w:r w:rsidR="00C90AEC">
        <w:rPr>
          <w:rFonts w:ascii="Cambria" w:hAnsi="Cambria"/>
        </w:rPr>
        <w:t xml:space="preserve"> to the broker, who will </w:t>
      </w:r>
      <w:r w:rsidR="007D4FC0">
        <w:rPr>
          <w:rFonts w:ascii="Cambria" w:hAnsi="Cambria"/>
        </w:rPr>
        <w:t>subsequently send it to its client (buyer/seller).</w:t>
      </w:r>
    </w:p>
    <w:p w14:paraId="0AAC2E07" w14:textId="77777777" w:rsidR="00C80EDB" w:rsidRDefault="00C80EDB" w:rsidP="002D242A">
      <w:pPr>
        <w:spacing w:after="120" w:line="276" w:lineRule="auto"/>
        <w:jc w:val="both"/>
        <w:rPr>
          <w:rFonts w:ascii="Cambria" w:hAnsi="Cambria"/>
        </w:rPr>
      </w:pPr>
    </w:p>
    <w:p w14:paraId="3D4C70B9" w14:textId="77777777" w:rsidR="002A5BA2" w:rsidRPr="006A36D3" w:rsidRDefault="002A5BA2" w:rsidP="002D242A">
      <w:pPr>
        <w:spacing w:after="120" w:line="276" w:lineRule="auto"/>
        <w:jc w:val="both"/>
        <w:rPr>
          <w:rFonts w:ascii="Cambria" w:hAnsi="Cambria"/>
        </w:rPr>
      </w:pPr>
    </w:p>
    <w:p w14:paraId="3047D11C" w14:textId="3C433300" w:rsidR="00ED6A4C" w:rsidRPr="00FD5A04" w:rsidRDefault="00ED6A4C" w:rsidP="004948C5">
      <w:pPr>
        <w:spacing w:after="120" w:line="276" w:lineRule="auto"/>
        <w:jc w:val="both"/>
        <w:rPr>
          <w:rFonts w:ascii="Cambria" w:hAnsi="Cambria"/>
          <w:b/>
          <w:bCs/>
          <w:sz w:val="24"/>
          <w:szCs w:val="24"/>
        </w:rPr>
      </w:pPr>
      <w:r w:rsidRPr="00FD5A04">
        <w:rPr>
          <w:rFonts w:ascii="Cambria" w:hAnsi="Cambria"/>
          <w:b/>
          <w:bCs/>
          <w:sz w:val="24"/>
          <w:szCs w:val="24"/>
        </w:rPr>
        <w:t>Trade Capture</w:t>
      </w:r>
      <w:r w:rsidR="00435A12">
        <w:rPr>
          <w:rFonts w:ascii="Cambria" w:hAnsi="Cambria"/>
          <w:b/>
          <w:bCs/>
          <w:sz w:val="24"/>
          <w:szCs w:val="24"/>
        </w:rPr>
        <w:t xml:space="preserve"> / </w:t>
      </w:r>
      <w:r w:rsidR="00662668">
        <w:rPr>
          <w:rFonts w:ascii="Cambria" w:hAnsi="Cambria"/>
          <w:b/>
          <w:bCs/>
          <w:sz w:val="24"/>
          <w:szCs w:val="24"/>
        </w:rPr>
        <w:t>Matching</w:t>
      </w:r>
    </w:p>
    <w:p w14:paraId="3FB200B0" w14:textId="407C872C" w:rsidR="00740714" w:rsidRDefault="009F2F72" w:rsidP="00B50619">
      <w:pPr>
        <w:spacing w:after="120" w:line="276" w:lineRule="auto"/>
        <w:jc w:val="both"/>
        <w:rPr>
          <w:rFonts w:ascii="Cambria" w:hAnsi="Cambria"/>
        </w:rPr>
      </w:pPr>
      <w:r>
        <w:rPr>
          <w:rFonts w:ascii="Cambria" w:hAnsi="Cambria"/>
        </w:rPr>
        <w:t>After</w:t>
      </w:r>
      <w:r w:rsidR="00740714" w:rsidRPr="00740714">
        <w:rPr>
          <w:rFonts w:ascii="Cambria" w:hAnsi="Cambria"/>
        </w:rPr>
        <w:t xml:space="preserve"> the order is </w:t>
      </w:r>
      <w:r w:rsidR="00740714" w:rsidRPr="00454689">
        <w:rPr>
          <w:rFonts w:ascii="Cambria" w:hAnsi="Cambria"/>
        </w:rPr>
        <w:t>completed, the buyer/seller will perform the booking and allocation of the</w:t>
      </w:r>
      <w:r w:rsidR="00740714" w:rsidRPr="00740714">
        <w:rPr>
          <w:rFonts w:ascii="Cambria" w:hAnsi="Cambria"/>
        </w:rPr>
        <w:t xml:space="preserve"> trade details, which will be sent to the </w:t>
      </w:r>
      <w:r w:rsidR="008B414A">
        <w:rPr>
          <w:rFonts w:ascii="Cambria" w:hAnsi="Cambria"/>
        </w:rPr>
        <w:t>broker</w:t>
      </w:r>
      <w:r w:rsidR="00740714" w:rsidRPr="00740714">
        <w:rPr>
          <w:rFonts w:ascii="Cambria" w:hAnsi="Cambria"/>
        </w:rPr>
        <w:t xml:space="preserve">. The </w:t>
      </w:r>
      <w:r w:rsidR="008F57F4">
        <w:rPr>
          <w:rFonts w:ascii="Cambria" w:hAnsi="Cambria"/>
        </w:rPr>
        <w:t>b</w:t>
      </w:r>
      <w:r w:rsidR="00740714" w:rsidRPr="00740714">
        <w:rPr>
          <w:rFonts w:ascii="Cambria" w:hAnsi="Cambria"/>
        </w:rPr>
        <w:t>roker will</w:t>
      </w:r>
      <w:r w:rsidR="000C0EA6">
        <w:rPr>
          <w:rFonts w:ascii="Cambria" w:hAnsi="Cambria"/>
        </w:rPr>
        <w:t xml:space="preserve"> then</w:t>
      </w:r>
      <w:r w:rsidR="00740714" w:rsidRPr="00740714">
        <w:rPr>
          <w:rFonts w:ascii="Cambria" w:hAnsi="Cambria"/>
        </w:rPr>
        <w:t xml:space="preserve"> recalculate the trade economics and send them back to the </w:t>
      </w:r>
      <w:r w:rsidR="008F57F4">
        <w:rPr>
          <w:rFonts w:ascii="Cambria" w:hAnsi="Cambria"/>
        </w:rPr>
        <w:t>client</w:t>
      </w:r>
      <w:r w:rsidR="00740714" w:rsidRPr="00740714">
        <w:rPr>
          <w:rFonts w:ascii="Cambria" w:hAnsi="Cambria"/>
        </w:rPr>
        <w:t xml:space="preserve">, who will </w:t>
      </w:r>
      <w:r w:rsidR="0006454E">
        <w:rPr>
          <w:rFonts w:ascii="Cambria" w:hAnsi="Cambria"/>
        </w:rPr>
        <w:t>generate the trade confirmation</w:t>
      </w:r>
      <w:r w:rsidR="00CD0575">
        <w:rPr>
          <w:rFonts w:ascii="Cambria" w:hAnsi="Cambria"/>
        </w:rPr>
        <w:t xml:space="preserve"> outlining the key details of the transaction</w:t>
      </w:r>
      <w:r w:rsidR="00740714" w:rsidRPr="00740714">
        <w:rPr>
          <w:rFonts w:ascii="Cambria" w:hAnsi="Cambria"/>
        </w:rPr>
        <w:t>.</w:t>
      </w:r>
    </w:p>
    <w:p w14:paraId="15965B54" w14:textId="04267D21" w:rsidR="00A973EE" w:rsidRDefault="00266740" w:rsidP="003D6746">
      <w:pPr>
        <w:spacing w:after="120" w:line="276" w:lineRule="auto"/>
        <w:jc w:val="both"/>
        <w:rPr>
          <w:rFonts w:ascii="Cambria" w:hAnsi="Cambria"/>
        </w:rPr>
      </w:pPr>
      <w:r>
        <w:rPr>
          <w:rFonts w:ascii="Cambria" w:hAnsi="Cambria"/>
        </w:rPr>
        <w:t xml:space="preserve">In some </w:t>
      </w:r>
      <w:r w:rsidR="00796F20">
        <w:rPr>
          <w:rFonts w:ascii="Cambria" w:hAnsi="Cambria"/>
        </w:rPr>
        <w:t>scenarios</w:t>
      </w:r>
      <w:r>
        <w:rPr>
          <w:rFonts w:ascii="Cambria" w:hAnsi="Cambria"/>
        </w:rPr>
        <w:t>, o</w:t>
      </w:r>
      <w:r w:rsidR="009F2F72">
        <w:rPr>
          <w:rFonts w:ascii="Cambria" w:hAnsi="Cambria"/>
        </w:rPr>
        <w:t xml:space="preserve">nce the trade details have been confirmed, </w:t>
      </w:r>
      <w:r w:rsidR="00CB0BC0">
        <w:rPr>
          <w:rFonts w:ascii="Cambria" w:hAnsi="Cambria"/>
        </w:rPr>
        <w:t>the</w:t>
      </w:r>
      <w:r w:rsidR="009F2F72">
        <w:rPr>
          <w:rFonts w:ascii="Cambria" w:hAnsi="Cambria"/>
        </w:rPr>
        <w:t xml:space="preserve"> </w:t>
      </w:r>
      <w:r w:rsidR="00CB0BC0">
        <w:rPr>
          <w:rFonts w:ascii="Cambria" w:hAnsi="Cambria"/>
        </w:rPr>
        <w:t xml:space="preserve">counterparties (or the broker intermediary) </w:t>
      </w:r>
      <w:r w:rsidR="0052132D">
        <w:rPr>
          <w:rFonts w:ascii="Cambria" w:hAnsi="Cambria"/>
        </w:rPr>
        <w:t>will submit the</w:t>
      </w:r>
      <w:r w:rsidR="001554B9">
        <w:rPr>
          <w:rFonts w:ascii="Cambria" w:hAnsi="Cambria"/>
        </w:rPr>
        <w:t xml:space="preserve">se </w:t>
      </w:r>
      <w:r w:rsidR="008B414A" w:rsidRPr="008B414A">
        <w:rPr>
          <w:rFonts w:ascii="Cambria" w:hAnsi="Cambria"/>
        </w:rPr>
        <w:t>to a third-party matching platform. This platform acts as an independent service that facilitates the comparison and verification of trade details between the buyer and the seller</w:t>
      </w:r>
      <w:r w:rsidR="0010154D">
        <w:rPr>
          <w:rFonts w:ascii="Cambria" w:hAnsi="Cambria"/>
        </w:rPr>
        <w:t xml:space="preserve">. </w:t>
      </w:r>
      <w:r w:rsidR="00280A69" w:rsidRPr="00280A69">
        <w:rPr>
          <w:rFonts w:ascii="Cambria" w:hAnsi="Cambria"/>
        </w:rPr>
        <w:t xml:space="preserve">If discrepancies are identified during the matching process, the platform notifies the counterparties. The discrepancies may include differences in trade details, such as quantity or price. Counterparties </w:t>
      </w:r>
      <w:r w:rsidR="00183CAF">
        <w:rPr>
          <w:rFonts w:ascii="Cambria" w:hAnsi="Cambria"/>
        </w:rPr>
        <w:t>must then</w:t>
      </w:r>
      <w:r w:rsidR="00280A69" w:rsidRPr="00280A69">
        <w:rPr>
          <w:rFonts w:ascii="Cambria" w:hAnsi="Cambria"/>
        </w:rPr>
        <w:t xml:space="preserve"> work together to resolve these discrepancies and reach a consensus on the accurate trade details.</w:t>
      </w:r>
      <w:r w:rsidR="002A5FB8">
        <w:rPr>
          <w:rFonts w:ascii="Cambria" w:hAnsi="Cambria"/>
        </w:rPr>
        <w:t>.</w:t>
      </w:r>
    </w:p>
    <w:p w14:paraId="4616D2FE" w14:textId="77777777" w:rsidR="002A5FB8" w:rsidRDefault="002A5FB8" w:rsidP="00826E07">
      <w:pPr>
        <w:spacing w:after="120" w:line="276" w:lineRule="auto"/>
        <w:jc w:val="both"/>
        <w:rPr>
          <w:rFonts w:ascii="Cambria" w:hAnsi="Cambria"/>
        </w:rPr>
      </w:pPr>
    </w:p>
    <w:p w14:paraId="5471BCDD" w14:textId="6A3087BB" w:rsidR="00ED6A4C" w:rsidRPr="00FD5A04" w:rsidRDefault="00ED6A4C" w:rsidP="004948C5">
      <w:pPr>
        <w:spacing w:after="120" w:line="276" w:lineRule="auto"/>
        <w:jc w:val="both"/>
        <w:rPr>
          <w:rFonts w:ascii="Cambria" w:hAnsi="Cambria"/>
          <w:b/>
          <w:bCs/>
          <w:sz w:val="24"/>
          <w:szCs w:val="24"/>
        </w:rPr>
      </w:pPr>
      <w:r w:rsidRPr="00FD5A04">
        <w:rPr>
          <w:rFonts w:ascii="Cambria" w:hAnsi="Cambria"/>
          <w:b/>
          <w:bCs/>
          <w:sz w:val="24"/>
          <w:szCs w:val="24"/>
        </w:rPr>
        <w:t>Clearing</w:t>
      </w:r>
    </w:p>
    <w:p w14:paraId="71B3D78B" w14:textId="049A90B6" w:rsidR="00A973EE" w:rsidRDefault="002F694D" w:rsidP="004948C5">
      <w:pPr>
        <w:spacing w:after="120" w:line="276" w:lineRule="auto"/>
        <w:jc w:val="both"/>
        <w:rPr>
          <w:rFonts w:ascii="Cambria" w:hAnsi="Cambria"/>
        </w:rPr>
      </w:pPr>
      <w:r>
        <w:rPr>
          <w:rFonts w:ascii="Cambria" w:hAnsi="Cambria"/>
        </w:rPr>
        <w:t>C</w:t>
      </w:r>
      <w:r w:rsidR="00C22A4D" w:rsidRPr="00C22A4D">
        <w:rPr>
          <w:rFonts w:ascii="Cambria" w:hAnsi="Cambria"/>
        </w:rPr>
        <w:t>learing occurs after the trade has been matched and confirmed by the parties involved</w:t>
      </w:r>
      <w:r>
        <w:rPr>
          <w:rFonts w:ascii="Cambria" w:hAnsi="Cambria"/>
        </w:rPr>
        <w:t xml:space="preserve">. </w:t>
      </w:r>
      <w:r w:rsidR="00E04A4B">
        <w:rPr>
          <w:rFonts w:ascii="Cambria" w:hAnsi="Cambria"/>
        </w:rPr>
        <w:t>It</w:t>
      </w:r>
      <w:r w:rsidR="00E04A4B" w:rsidRPr="00E04A4B">
        <w:rPr>
          <w:rFonts w:ascii="Cambria" w:hAnsi="Cambria"/>
        </w:rPr>
        <w:t xml:space="preserve"> can occur in a formal manner, either through a central counterparty (CCP)</w:t>
      </w:r>
      <w:r w:rsidR="006E781B">
        <w:rPr>
          <w:rFonts w:ascii="Cambria" w:hAnsi="Cambria"/>
        </w:rPr>
        <w:t xml:space="preserve"> or </w:t>
      </w:r>
      <w:r w:rsidR="00E04A4B" w:rsidRPr="00E04A4B">
        <w:rPr>
          <w:rFonts w:ascii="Cambria" w:hAnsi="Cambria"/>
        </w:rPr>
        <w:t>clearing</w:t>
      </w:r>
      <w:r w:rsidR="006E781B">
        <w:rPr>
          <w:rFonts w:ascii="Cambria" w:hAnsi="Cambria"/>
        </w:rPr>
        <w:t xml:space="preserve"> </w:t>
      </w:r>
      <w:r w:rsidR="00E04A4B" w:rsidRPr="00E04A4B">
        <w:rPr>
          <w:rFonts w:ascii="Cambria" w:hAnsi="Cambria"/>
        </w:rPr>
        <w:t>house, or informally through direct arrangements between the buyer and seller. In the case of CCP clearing, the process involves the CCP acting as the buyer to the seller and the seller to the buyer. This results in the transfer of counterparty risk from the actual trade parties to the CCP</w:t>
      </w:r>
      <w:r w:rsidR="00975AA0">
        <w:rPr>
          <w:rFonts w:ascii="Cambria" w:hAnsi="Cambria"/>
        </w:rPr>
        <w:t>.</w:t>
      </w:r>
    </w:p>
    <w:p w14:paraId="0F5034A8" w14:textId="77777777" w:rsidR="00975AA0" w:rsidRPr="00C80EDB" w:rsidRDefault="00975AA0" w:rsidP="00826E07">
      <w:pPr>
        <w:spacing w:after="120" w:line="276" w:lineRule="auto"/>
        <w:jc w:val="both"/>
        <w:rPr>
          <w:rFonts w:ascii="Cambria" w:hAnsi="Cambria"/>
        </w:rPr>
      </w:pPr>
    </w:p>
    <w:p w14:paraId="33DFE352" w14:textId="67884CE0" w:rsidR="00ED6A4C" w:rsidRPr="002A5FB8" w:rsidRDefault="00ED6A4C" w:rsidP="004948C5">
      <w:pPr>
        <w:spacing w:after="120" w:line="276" w:lineRule="auto"/>
        <w:jc w:val="both"/>
        <w:rPr>
          <w:rFonts w:ascii="Cambria" w:hAnsi="Cambria"/>
          <w:b/>
          <w:bCs/>
          <w:sz w:val="24"/>
          <w:szCs w:val="24"/>
        </w:rPr>
      </w:pPr>
      <w:r w:rsidRPr="002A5FB8">
        <w:rPr>
          <w:rFonts w:ascii="Cambria" w:hAnsi="Cambria"/>
          <w:b/>
          <w:bCs/>
          <w:sz w:val="24"/>
          <w:szCs w:val="24"/>
        </w:rPr>
        <w:t>Settlement</w:t>
      </w:r>
    </w:p>
    <w:p w14:paraId="4EE20E25" w14:textId="79600165" w:rsidR="00800000" w:rsidRPr="001F0909" w:rsidRDefault="00800000" w:rsidP="001F0909">
      <w:pPr>
        <w:spacing w:after="120" w:line="276" w:lineRule="auto"/>
        <w:jc w:val="both"/>
        <w:rPr>
          <w:rFonts w:ascii="Cambria" w:hAnsi="Cambria"/>
        </w:rPr>
      </w:pPr>
      <w:r w:rsidRPr="001F0909">
        <w:rPr>
          <w:rFonts w:ascii="Cambria" w:hAnsi="Cambria"/>
        </w:rPr>
        <w:t xml:space="preserve">Once the clearing process has concluded, the </w:t>
      </w:r>
      <w:r w:rsidR="0076664F" w:rsidRPr="001F0909">
        <w:rPr>
          <w:rFonts w:ascii="Cambria" w:hAnsi="Cambria"/>
        </w:rPr>
        <w:t xml:space="preserve">parties will </w:t>
      </w:r>
      <w:r w:rsidR="004B250F" w:rsidRPr="001F0909">
        <w:rPr>
          <w:rFonts w:ascii="Cambria" w:hAnsi="Cambria"/>
        </w:rPr>
        <w:t xml:space="preserve">inform their global custodians </w:t>
      </w:r>
      <w:r w:rsidR="004C2051" w:rsidRPr="001F0909">
        <w:rPr>
          <w:rFonts w:ascii="Cambria" w:hAnsi="Cambria"/>
        </w:rPr>
        <w:t>of the trades being agreed</w:t>
      </w:r>
      <w:r w:rsidR="00726F6C" w:rsidRPr="001F0909">
        <w:rPr>
          <w:rFonts w:ascii="Cambria" w:hAnsi="Cambria"/>
        </w:rPr>
        <w:t xml:space="preserve">. </w:t>
      </w:r>
      <w:r w:rsidR="001953C1" w:rsidRPr="001F0909">
        <w:rPr>
          <w:rFonts w:ascii="Cambria" w:hAnsi="Cambria"/>
        </w:rPr>
        <w:t xml:space="preserve">If the trade was cleared by a CCP, the clearing house </w:t>
      </w:r>
      <w:r w:rsidR="00A217AF" w:rsidRPr="001F0909">
        <w:rPr>
          <w:rFonts w:ascii="Cambria" w:hAnsi="Cambria"/>
        </w:rPr>
        <w:t>will notify</w:t>
      </w:r>
      <w:r w:rsidR="001953C1" w:rsidRPr="001F0909">
        <w:rPr>
          <w:rFonts w:ascii="Cambria" w:hAnsi="Cambria"/>
        </w:rPr>
        <w:t xml:space="preserve"> the settlement </w:t>
      </w:r>
      <w:r w:rsidR="00A217AF" w:rsidRPr="001F0909">
        <w:rPr>
          <w:rFonts w:ascii="Cambria" w:hAnsi="Cambria"/>
        </w:rPr>
        <w:t>agent</w:t>
      </w:r>
      <w:r w:rsidR="001953C1" w:rsidRPr="001F0909">
        <w:rPr>
          <w:rFonts w:ascii="Cambria" w:hAnsi="Cambria"/>
        </w:rPr>
        <w:t xml:space="preserve"> to initiate the actual </w:t>
      </w:r>
      <w:r w:rsidR="000975C7" w:rsidRPr="001F0909">
        <w:rPr>
          <w:rFonts w:ascii="Cambria" w:hAnsi="Cambria"/>
        </w:rPr>
        <w:t>exchange</w:t>
      </w:r>
      <w:r w:rsidR="001953C1" w:rsidRPr="001F0909">
        <w:rPr>
          <w:rFonts w:ascii="Cambria" w:hAnsi="Cambria"/>
        </w:rPr>
        <w:t xml:space="preserve"> of securities and funds. This includes instructions for the delivery of securities from the seller to the buyer and the corresponding transfer of </w:t>
      </w:r>
      <w:r w:rsidR="007A0B16">
        <w:rPr>
          <w:rFonts w:ascii="Cambria" w:hAnsi="Cambria"/>
        </w:rPr>
        <w:t>cash amounts from the buyer to the seller</w:t>
      </w:r>
      <w:r w:rsidR="00DE301F" w:rsidRPr="001F0909">
        <w:rPr>
          <w:rFonts w:ascii="Cambria" w:hAnsi="Cambria"/>
        </w:rPr>
        <w:t xml:space="preserve">. </w:t>
      </w:r>
    </w:p>
    <w:p w14:paraId="40A06C9E" w14:textId="79562E44" w:rsidR="000975C7" w:rsidRPr="001F0909" w:rsidRDefault="00F03A74" w:rsidP="001F0909">
      <w:pPr>
        <w:spacing w:after="120" w:line="276" w:lineRule="auto"/>
        <w:jc w:val="both"/>
        <w:rPr>
          <w:rFonts w:ascii="Cambria" w:hAnsi="Cambria"/>
        </w:rPr>
      </w:pPr>
      <w:r w:rsidRPr="001F0909">
        <w:rPr>
          <w:rFonts w:ascii="Cambria" w:hAnsi="Cambria"/>
        </w:rPr>
        <w:t>To facilitate</w:t>
      </w:r>
      <w:r w:rsidR="000A0167">
        <w:rPr>
          <w:rFonts w:ascii="Cambria" w:hAnsi="Cambria"/>
        </w:rPr>
        <w:t xml:space="preserve"> a</w:t>
      </w:r>
      <w:r w:rsidRPr="001F0909">
        <w:rPr>
          <w:rFonts w:ascii="Cambria" w:hAnsi="Cambria"/>
        </w:rPr>
        <w:t xml:space="preserve"> seamless technical collaboration and optimi</w:t>
      </w:r>
      <w:r w:rsidR="000975C7" w:rsidRPr="001F0909">
        <w:rPr>
          <w:rFonts w:ascii="Cambria" w:hAnsi="Cambria"/>
        </w:rPr>
        <w:t>s</w:t>
      </w:r>
      <w:r w:rsidRPr="001F0909">
        <w:rPr>
          <w:rFonts w:ascii="Cambria" w:hAnsi="Cambria"/>
        </w:rPr>
        <w:t xml:space="preserve">e processing efficiency, </w:t>
      </w:r>
      <w:r w:rsidR="000975C7" w:rsidRPr="001F0909">
        <w:rPr>
          <w:rFonts w:ascii="Cambria" w:hAnsi="Cambria"/>
        </w:rPr>
        <w:t>c</w:t>
      </w:r>
      <w:r w:rsidRPr="001F0909">
        <w:rPr>
          <w:rFonts w:ascii="Cambria" w:hAnsi="Cambria"/>
        </w:rPr>
        <w:t xml:space="preserve">ustodian banks establish interconnections through Securities Settlement Systems (SSSs), </w:t>
      </w:r>
      <w:r w:rsidR="002B6699" w:rsidRPr="001F0909">
        <w:rPr>
          <w:rFonts w:ascii="Cambria" w:hAnsi="Cambria"/>
        </w:rPr>
        <w:t xml:space="preserve">which are </w:t>
      </w:r>
      <w:r w:rsidRPr="001F0909">
        <w:rPr>
          <w:rFonts w:ascii="Cambria" w:hAnsi="Cambria"/>
        </w:rPr>
        <w:t>typically administered by Central Securities Depositories (CSDs).</w:t>
      </w:r>
      <w:r w:rsidR="000975C7" w:rsidRPr="001F0909">
        <w:rPr>
          <w:rFonts w:ascii="Cambria" w:hAnsi="Cambria"/>
        </w:rPr>
        <w:t xml:space="preserve"> Each </w:t>
      </w:r>
      <w:r w:rsidR="002B6699" w:rsidRPr="001F0909">
        <w:rPr>
          <w:rFonts w:ascii="Cambria" w:hAnsi="Cambria"/>
        </w:rPr>
        <w:t>c</w:t>
      </w:r>
      <w:r w:rsidR="000975C7" w:rsidRPr="001F0909">
        <w:rPr>
          <w:rFonts w:ascii="Cambria" w:hAnsi="Cambria"/>
        </w:rPr>
        <w:t xml:space="preserve">ustodian </w:t>
      </w:r>
      <w:r w:rsidR="002B6699" w:rsidRPr="001F0909">
        <w:rPr>
          <w:rFonts w:ascii="Cambria" w:hAnsi="Cambria"/>
        </w:rPr>
        <w:t xml:space="preserve">will then </w:t>
      </w:r>
      <w:r w:rsidR="000975C7" w:rsidRPr="001F0909">
        <w:rPr>
          <w:rFonts w:ascii="Cambria" w:hAnsi="Cambria"/>
        </w:rPr>
        <w:t>transmit</w:t>
      </w:r>
      <w:r w:rsidR="000A0167">
        <w:rPr>
          <w:rFonts w:ascii="Cambria" w:hAnsi="Cambria"/>
        </w:rPr>
        <w:t xml:space="preserve"> the</w:t>
      </w:r>
      <w:r w:rsidR="000975C7" w:rsidRPr="001F0909">
        <w:rPr>
          <w:rFonts w:ascii="Cambria" w:hAnsi="Cambria"/>
        </w:rPr>
        <w:t xml:space="preserve"> settlement instructions to the SSS, outlining the precise terms received from their respective clients</w:t>
      </w:r>
      <w:r w:rsidR="00BF5332" w:rsidRPr="001F0909">
        <w:rPr>
          <w:rFonts w:ascii="Cambria" w:hAnsi="Cambria"/>
        </w:rPr>
        <w:t xml:space="preserve"> (buyer/seller)</w:t>
      </w:r>
      <w:r w:rsidR="000975C7" w:rsidRPr="001F0909">
        <w:rPr>
          <w:rFonts w:ascii="Cambria" w:hAnsi="Cambria"/>
        </w:rPr>
        <w:t xml:space="preserve"> who </w:t>
      </w:r>
      <w:r w:rsidR="00BF5332" w:rsidRPr="001F0909">
        <w:rPr>
          <w:rFonts w:ascii="Cambria" w:hAnsi="Cambria"/>
        </w:rPr>
        <w:t>act</w:t>
      </w:r>
      <w:r w:rsidR="000975C7" w:rsidRPr="001F0909">
        <w:rPr>
          <w:rFonts w:ascii="Cambria" w:hAnsi="Cambria"/>
        </w:rPr>
        <w:t xml:space="preserve"> as counterparts in the trade. The seller's </w:t>
      </w:r>
      <w:r w:rsidR="00BF5332" w:rsidRPr="001F0909">
        <w:rPr>
          <w:rFonts w:ascii="Cambria" w:hAnsi="Cambria"/>
        </w:rPr>
        <w:t>c</w:t>
      </w:r>
      <w:r w:rsidR="000975C7" w:rsidRPr="001F0909">
        <w:rPr>
          <w:rFonts w:ascii="Cambria" w:hAnsi="Cambria"/>
        </w:rPr>
        <w:t xml:space="preserve">ustodian </w:t>
      </w:r>
      <w:r w:rsidR="00BF5332" w:rsidRPr="001F0909">
        <w:rPr>
          <w:rFonts w:ascii="Cambria" w:hAnsi="Cambria"/>
        </w:rPr>
        <w:t xml:space="preserve">will </w:t>
      </w:r>
      <w:r w:rsidR="000975C7" w:rsidRPr="001F0909">
        <w:rPr>
          <w:rFonts w:ascii="Cambria" w:hAnsi="Cambria"/>
        </w:rPr>
        <w:t xml:space="preserve">issue instructions for delivering a specific type and quantity of securities to the buyer's account, while the buyer's </w:t>
      </w:r>
      <w:r w:rsidR="00BF5332" w:rsidRPr="001F0909">
        <w:rPr>
          <w:rFonts w:ascii="Cambria" w:hAnsi="Cambria"/>
        </w:rPr>
        <w:t>c</w:t>
      </w:r>
      <w:r w:rsidR="000975C7" w:rsidRPr="001F0909">
        <w:rPr>
          <w:rFonts w:ascii="Cambria" w:hAnsi="Cambria"/>
        </w:rPr>
        <w:t xml:space="preserve">ustodian </w:t>
      </w:r>
      <w:r w:rsidR="00BF5332" w:rsidRPr="001F0909">
        <w:rPr>
          <w:rFonts w:ascii="Cambria" w:hAnsi="Cambria"/>
        </w:rPr>
        <w:t xml:space="preserve">will </w:t>
      </w:r>
      <w:r w:rsidR="000975C7" w:rsidRPr="001F0909">
        <w:rPr>
          <w:rFonts w:ascii="Cambria" w:hAnsi="Cambria"/>
        </w:rPr>
        <w:t>instruct</w:t>
      </w:r>
      <w:r w:rsidR="00106384" w:rsidRPr="001F0909">
        <w:rPr>
          <w:rFonts w:ascii="Cambria" w:hAnsi="Cambria"/>
        </w:rPr>
        <w:t xml:space="preserve"> for </w:t>
      </w:r>
      <w:r w:rsidR="000975C7" w:rsidRPr="001F0909">
        <w:rPr>
          <w:rFonts w:ascii="Cambria" w:hAnsi="Cambria"/>
        </w:rPr>
        <w:t>the payment of a designated cash amount to the seller's account.</w:t>
      </w:r>
    </w:p>
    <w:p w14:paraId="1797C7D4" w14:textId="007A9C1B" w:rsidR="00F03A74" w:rsidRPr="001F0909" w:rsidRDefault="00F03A74" w:rsidP="001F0909">
      <w:pPr>
        <w:spacing w:after="120" w:line="276" w:lineRule="auto"/>
        <w:jc w:val="both"/>
        <w:rPr>
          <w:rFonts w:ascii="Cambria" w:hAnsi="Cambria"/>
        </w:rPr>
      </w:pPr>
      <w:r w:rsidRPr="001F0909">
        <w:rPr>
          <w:rFonts w:ascii="Cambria" w:hAnsi="Cambria"/>
        </w:rPr>
        <w:t xml:space="preserve">For these instructions to be correlated and executed concurrently within the SSS, a specific process known as </w:t>
      </w:r>
      <w:r w:rsidR="00106384" w:rsidRPr="001F0909">
        <w:rPr>
          <w:rFonts w:ascii="Cambria" w:hAnsi="Cambria"/>
        </w:rPr>
        <w:t>CSD-</w:t>
      </w:r>
      <w:r w:rsidRPr="001F0909">
        <w:rPr>
          <w:rFonts w:ascii="Cambria" w:hAnsi="Cambria"/>
        </w:rPr>
        <w:t xml:space="preserve">matching is essential before settlement can </w:t>
      </w:r>
      <w:r w:rsidR="004E076E" w:rsidRPr="001F0909">
        <w:rPr>
          <w:rFonts w:ascii="Cambria" w:hAnsi="Cambria"/>
        </w:rPr>
        <w:t>happen</w:t>
      </w:r>
      <w:r w:rsidRPr="001F0909">
        <w:rPr>
          <w:rFonts w:ascii="Cambria" w:hAnsi="Cambria"/>
        </w:rPr>
        <w:t>. Matching serves as a vital mechanism to accurately select the pair of settlement instructions corresponding to the two trading counterparts in the original trade that requires settlement.</w:t>
      </w:r>
      <w:r w:rsidR="00B7724C" w:rsidRPr="001F0909">
        <w:rPr>
          <w:rFonts w:ascii="Cambria" w:hAnsi="Cambria"/>
        </w:rPr>
        <w:t xml:space="preserve"> </w:t>
      </w:r>
      <w:r w:rsidRPr="001F0909">
        <w:rPr>
          <w:rFonts w:ascii="Cambria" w:hAnsi="Cambria"/>
        </w:rPr>
        <w:t>To prevent any mismatches in settlement instructions, various additional elements must be specified in each instruction</w:t>
      </w:r>
      <w:r w:rsidR="00B7724C" w:rsidRPr="001F0909">
        <w:rPr>
          <w:rFonts w:ascii="Cambria" w:hAnsi="Cambria"/>
        </w:rPr>
        <w:t xml:space="preserve"> submitted by each custodian</w:t>
      </w:r>
      <w:r w:rsidRPr="001F0909">
        <w:rPr>
          <w:rFonts w:ascii="Cambria" w:hAnsi="Cambria"/>
        </w:rPr>
        <w:t>, including the trade date, intended settlement date, and the counterparty bank's account details, in addition to information about the securities and cash to be exchanged.</w:t>
      </w:r>
    </w:p>
    <w:p w14:paraId="1355A08A" w14:textId="4AED2F80" w:rsidR="00CB38FC" w:rsidRDefault="00B224FB" w:rsidP="001F0909">
      <w:pPr>
        <w:spacing w:after="120" w:line="276" w:lineRule="auto"/>
        <w:jc w:val="both"/>
        <w:rPr>
          <w:rFonts w:ascii="Cambria" w:hAnsi="Cambria"/>
        </w:rPr>
      </w:pPr>
      <w:r w:rsidRPr="001F0909">
        <w:rPr>
          <w:rFonts w:ascii="Cambria" w:hAnsi="Cambria"/>
        </w:rPr>
        <w:t xml:space="preserve">In a </w:t>
      </w:r>
      <w:r w:rsidR="00CA1BBD" w:rsidRPr="001F0909">
        <w:rPr>
          <w:rFonts w:ascii="Cambria" w:hAnsi="Cambria"/>
        </w:rPr>
        <w:t>Delivery-versus-Payment scenario, i</w:t>
      </w:r>
      <w:r w:rsidR="00251DE8" w:rsidRPr="001F0909">
        <w:rPr>
          <w:rFonts w:ascii="Cambria" w:hAnsi="Cambria"/>
        </w:rPr>
        <w:t xml:space="preserve">f </w:t>
      </w:r>
      <w:r w:rsidRPr="001F0909">
        <w:rPr>
          <w:rFonts w:ascii="Cambria" w:hAnsi="Cambria"/>
        </w:rPr>
        <w:t>no discrepancies have been raised as a result of the CSD-matching process</w:t>
      </w:r>
      <w:r w:rsidR="00CB38FC" w:rsidRPr="001F0909">
        <w:rPr>
          <w:rFonts w:ascii="Cambria" w:hAnsi="Cambria"/>
        </w:rPr>
        <w:t xml:space="preserve">, the banks of </w:t>
      </w:r>
      <w:r w:rsidRPr="001F0909">
        <w:rPr>
          <w:rFonts w:ascii="Cambria" w:hAnsi="Cambria"/>
        </w:rPr>
        <w:t xml:space="preserve">both </w:t>
      </w:r>
      <w:r w:rsidR="00CB38FC" w:rsidRPr="001F0909">
        <w:rPr>
          <w:rFonts w:ascii="Cambria" w:hAnsi="Cambria"/>
        </w:rPr>
        <w:t xml:space="preserve">trading </w:t>
      </w:r>
      <w:r w:rsidRPr="001F0909">
        <w:rPr>
          <w:rFonts w:ascii="Cambria" w:hAnsi="Cambria"/>
        </w:rPr>
        <w:t>parties</w:t>
      </w:r>
      <w:r w:rsidR="00CB38FC" w:rsidRPr="001F0909">
        <w:rPr>
          <w:rFonts w:ascii="Cambria" w:hAnsi="Cambria"/>
        </w:rPr>
        <w:t xml:space="preserve"> </w:t>
      </w:r>
      <w:r w:rsidRPr="001F0909">
        <w:rPr>
          <w:rFonts w:ascii="Cambria" w:hAnsi="Cambria"/>
        </w:rPr>
        <w:t xml:space="preserve">will </w:t>
      </w:r>
      <w:r w:rsidR="00CB38FC" w:rsidRPr="001F0909">
        <w:rPr>
          <w:rFonts w:ascii="Cambria" w:hAnsi="Cambria"/>
        </w:rPr>
        <w:t xml:space="preserve">need to coordinate between themselves the simultaneous and reciprocal </w:t>
      </w:r>
      <w:r w:rsidR="00CA1BBD" w:rsidRPr="001F0909">
        <w:rPr>
          <w:rFonts w:ascii="Cambria" w:hAnsi="Cambria"/>
        </w:rPr>
        <w:t>exchange</w:t>
      </w:r>
      <w:r w:rsidR="00CB38FC" w:rsidRPr="001F0909">
        <w:rPr>
          <w:rFonts w:ascii="Cambria" w:hAnsi="Cambria"/>
        </w:rPr>
        <w:t xml:space="preserve"> of securities and cash, as per the terms that have been agreed in the trade.</w:t>
      </w:r>
    </w:p>
    <w:p w14:paraId="33900E45" w14:textId="77777777" w:rsidR="0064297B" w:rsidRPr="00CA209C" w:rsidRDefault="0064297B" w:rsidP="0064297B">
      <w:pPr>
        <w:spacing w:after="120" w:line="276" w:lineRule="auto"/>
        <w:jc w:val="both"/>
        <w:rPr>
          <w:rFonts w:ascii="Cambria" w:hAnsi="Cambria"/>
          <w:noProof/>
        </w:rPr>
      </w:pPr>
      <w:r w:rsidRPr="00CA209C">
        <w:rPr>
          <w:rFonts w:ascii="Cambria" w:hAnsi="Cambria"/>
          <w:noProof/>
        </w:rPr>
        <w:t xml:space="preserve">In the </w:t>
      </w:r>
      <w:r>
        <w:rPr>
          <w:rFonts w:ascii="Cambria" w:hAnsi="Cambria"/>
          <w:noProof/>
        </w:rPr>
        <w:t>settlement process</w:t>
      </w:r>
      <w:r w:rsidRPr="00CA209C">
        <w:rPr>
          <w:rFonts w:ascii="Cambria" w:hAnsi="Cambria"/>
          <w:noProof/>
        </w:rPr>
        <w:t xml:space="preserve">, there is no differentiation between transactions related with trades executed in a regulated exchange or a trading venue, from those executed through bilateral arrangements (commonly known as 'over-the-counter' trading). Similarly, no distinction exists </w:t>
      </w:r>
      <w:r w:rsidRPr="00CA209C">
        <w:rPr>
          <w:rFonts w:ascii="Cambria" w:hAnsi="Cambria"/>
          <w:noProof/>
        </w:rPr>
        <w:lastRenderedPageBreak/>
        <w:t>between transactions linked to trades settled individually on a gross basis and those directed to a central counterparty (CCP) for clearing and netting.</w:t>
      </w:r>
    </w:p>
    <w:p w14:paraId="38804C73" w14:textId="77777777" w:rsidR="0064297B" w:rsidRPr="00CA209C" w:rsidRDefault="0064297B" w:rsidP="0064297B">
      <w:pPr>
        <w:spacing w:after="120" w:line="276" w:lineRule="auto"/>
        <w:jc w:val="both"/>
        <w:rPr>
          <w:rFonts w:ascii="Cambria" w:hAnsi="Cambria"/>
          <w:noProof/>
        </w:rPr>
      </w:pPr>
      <w:r w:rsidRPr="00CA209C">
        <w:rPr>
          <w:rFonts w:ascii="Cambria" w:hAnsi="Cambria"/>
          <w:noProof/>
        </w:rPr>
        <w:t>In all cases, there is a transfer of securities from the safekeeping account of the party initiating the transfer to the recipient party, accompanied by the payment of cash from the recipient party's cash account to that of the initiating party. To ensure the seamless and accurate settlement of this diverse range of transactions, precision in settlement instructions is paramount. These instructions must precisely outline the terms governing the reciprocal transfers of securities and cash for each trade.</w:t>
      </w:r>
    </w:p>
    <w:p w14:paraId="78536D2B" w14:textId="77777777" w:rsidR="0064297B" w:rsidRPr="001F0909" w:rsidRDefault="0064297B" w:rsidP="001F0909">
      <w:pPr>
        <w:spacing w:after="120" w:line="276" w:lineRule="auto"/>
        <w:jc w:val="both"/>
        <w:rPr>
          <w:rFonts w:ascii="Cambria" w:hAnsi="Cambria"/>
        </w:rPr>
      </w:pPr>
    </w:p>
    <w:sectPr w:rsidR="0064297B" w:rsidRPr="001F09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170509"/>
    <w:multiLevelType w:val="hybridMultilevel"/>
    <w:tmpl w:val="2E7254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14392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012"/>
    <w:rsid w:val="0006454E"/>
    <w:rsid w:val="00092642"/>
    <w:rsid w:val="000975C7"/>
    <w:rsid w:val="000A0167"/>
    <w:rsid w:val="000C0EA6"/>
    <w:rsid w:val="000C2FF1"/>
    <w:rsid w:val="000D61A3"/>
    <w:rsid w:val="0010154D"/>
    <w:rsid w:val="00106384"/>
    <w:rsid w:val="001554B9"/>
    <w:rsid w:val="00181F70"/>
    <w:rsid w:val="00183CAF"/>
    <w:rsid w:val="001953C1"/>
    <w:rsid w:val="001C2D15"/>
    <w:rsid w:val="001C57B5"/>
    <w:rsid w:val="001D176A"/>
    <w:rsid w:val="001E669C"/>
    <w:rsid w:val="001F0909"/>
    <w:rsid w:val="00210E77"/>
    <w:rsid w:val="00235D9A"/>
    <w:rsid w:val="00251DE8"/>
    <w:rsid w:val="00266740"/>
    <w:rsid w:val="00280A69"/>
    <w:rsid w:val="002A5BA2"/>
    <w:rsid w:val="002A5FB8"/>
    <w:rsid w:val="002B6699"/>
    <w:rsid w:val="002D242A"/>
    <w:rsid w:val="002D4224"/>
    <w:rsid w:val="002F694D"/>
    <w:rsid w:val="00330514"/>
    <w:rsid w:val="003D6746"/>
    <w:rsid w:val="004312B5"/>
    <w:rsid w:val="00435A12"/>
    <w:rsid w:val="00454689"/>
    <w:rsid w:val="004667F0"/>
    <w:rsid w:val="00476BC0"/>
    <w:rsid w:val="004948C5"/>
    <w:rsid w:val="00495694"/>
    <w:rsid w:val="004B250F"/>
    <w:rsid w:val="004B6D55"/>
    <w:rsid w:val="004C2022"/>
    <w:rsid w:val="004C2051"/>
    <w:rsid w:val="004D0C12"/>
    <w:rsid w:val="004D6623"/>
    <w:rsid w:val="004E076E"/>
    <w:rsid w:val="0052132D"/>
    <w:rsid w:val="005D3675"/>
    <w:rsid w:val="005D56A1"/>
    <w:rsid w:val="006046E2"/>
    <w:rsid w:val="00604EDA"/>
    <w:rsid w:val="006052A5"/>
    <w:rsid w:val="006117AA"/>
    <w:rsid w:val="006217AC"/>
    <w:rsid w:val="0062574F"/>
    <w:rsid w:val="0064297B"/>
    <w:rsid w:val="00662668"/>
    <w:rsid w:val="006A36D3"/>
    <w:rsid w:val="006A7127"/>
    <w:rsid w:val="006E781B"/>
    <w:rsid w:val="006F5327"/>
    <w:rsid w:val="00726F6C"/>
    <w:rsid w:val="00740714"/>
    <w:rsid w:val="00761713"/>
    <w:rsid w:val="0076664F"/>
    <w:rsid w:val="00796F20"/>
    <w:rsid w:val="007A0B16"/>
    <w:rsid w:val="007A1A48"/>
    <w:rsid w:val="007A6576"/>
    <w:rsid w:val="007B1F5E"/>
    <w:rsid w:val="007D4FC0"/>
    <w:rsid w:val="007E65CE"/>
    <w:rsid w:val="00800000"/>
    <w:rsid w:val="00826E07"/>
    <w:rsid w:val="00851588"/>
    <w:rsid w:val="008B414A"/>
    <w:rsid w:val="008F57F4"/>
    <w:rsid w:val="008F6840"/>
    <w:rsid w:val="00900C18"/>
    <w:rsid w:val="0093551A"/>
    <w:rsid w:val="00956CC8"/>
    <w:rsid w:val="00975AA0"/>
    <w:rsid w:val="009A6D1A"/>
    <w:rsid w:val="009F2F72"/>
    <w:rsid w:val="00A217AF"/>
    <w:rsid w:val="00A5553C"/>
    <w:rsid w:val="00A75B08"/>
    <w:rsid w:val="00A973EE"/>
    <w:rsid w:val="00AB7EE4"/>
    <w:rsid w:val="00AC5C95"/>
    <w:rsid w:val="00AE3437"/>
    <w:rsid w:val="00AF1A98"/>
    <w:rsid w:val="00AF5675"/>
    <w:rsid w:val="00B07B7B"/>
    <w:rsid w:val="00B224FB"/>
    <w:rsid w:val="00B50619"/>
    <w:rsid w:val="00B51AAB"/>
    <w:rsid w:val="00B7724C"/>
    <w:rsid w:val="00BB4D7F"/>
    <w:rsid w:val="00BE269C"/>
    <w:rsid w:val="00BE6D4D"/>
    <w:rsid w:val="00BF5332"/>
    <w:rsid w:val="00C033E5"/>
    <w:rsid w:val="00C155CE"/>
    <w:rsid w:val="00C20259"/>
    <w:rsid w:val="00C22A4D"/>
    <w:rsid w:val="00C35FE1"/>
    <w:rsid w:val="00C80EDB"/>
    <w:rsid w:val="00C84196"/>
    <w:rsid w:val="00C90AEC"/>
    <w:rsid w:val="00CA1BBD"/>
    <w:rsid w:val="00CA209C"/>
    <w:rsid w:val="00CA3FB5"/>
    <w:rsid w:val="00CB0BC0"/>
    <w:rsid w:val="00CB38FC"/>
    <w:rsid w:val="00CD0575"/>
    <w:rsid w:val="00D155C4"/>
    <w:rsid w:val="00D507AB"/>
    <w:rsid w:val="00DC0E98"/>
    <w:rsid w:val="00DD7C5C"/>
    <w:rsid w:val="00DE301F"/>
    <w:rsid w:val="00E04A4B"/>
    <w:rsid w:val="00E43C3C"/>
    <w:rsid w:val="00E46513"/>
    <w:rsid w:val="00E859F9"/>
    <w:rsid w:val="00EA2F01"/>
    <w:rsid w:val="00ED6A4C"/>
    <w:rsid w:val="00EE63BB"/>
    <w:rsid w:val="00EF7406"/>
    <w:rsid w:val="00F03A74"/>
    <w:rsid w:val="00F3650B"/>
    <w:rsid w:val="00F41029"/>
    <w:rsid w:val="00F424FE"/>
    <w:rsid w:val="00FA3012"/>
    <w:rsid w:val="00FC3395"/>
    <w:rsid w:val="00FD5A04"/>
    <w:rsid w:val="00FE2582"/>
    <w:rsid w:val="00FF68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A8051"/>
  <w15:chartTrackingRefBased/>
  <w15:docId w15:val="{27D7FB03-B066-4DFA-A356-CF9BF06AB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5675"/>
    <w:pPr>
      <w:ind w:left="720"/>
      <w:contextualSpacing/>
    </w:pPr>
  </w:style>
  <w:style w:type="paragraph" w:styleId="Revision">
    <w:name w:val="Revision"/>
    <w:hidden/>
    <w:uiPriority w:val="99"/>
    <w:semiHidden/>
    <w:rsid w:val="004D0C1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926FA7CD7A4541A45D832FD66FBFF9" ma:contentTypeVersion="14" ma:contentTypeDescription="Create a new document." ma:contentTypeScope="" ma:versionID="148c4d280cf66dc6d13d963e31849924">
  <xsd:schema xmlns:xsd="http://www.w3.org/2001/XMLSchema" xmlns:xs="http://www.w3.org/2001/XMLSchema" xmlns:p="http://schemas.microsoft.com/office/2006/metadata/properties" xmlns:ns2="b6bd6138-593e-472b-8ea5-359957e16651" xmlns:ns3="c77ec181-6fae-4e7c-989d-92172d3be6e9" targetNamespace="http://schemas.microsoft.com/office/2006/metadata/properties" ma:root="true" ma:fieldsID="b579571b5c234d7c975b38450088c6c4" ns2:_="" ns3:_="">
    <xsd:import namespace="b6bd6138-593e-472b-8ea5-359957e16651"/>
    <xsd:import namespace="c77ec181-6fae-4e7c-989d-92172d3be6e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bd6138-593e-472b-8ea5-359957e166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1bac71f-1506-44ff-98a5-aaeca32acec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7ec181-6fae-4e7c-989d-92172d3be6e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36be0cb-9164-4929-90c0-e2bda3f03399}" ma:internalName="TaxCatchAll" ma:showField="CatchAllData" ma:web="c77ec181-6fae-4e7c-989d-92172d3be6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77ec181-6fae-4e7c-989d-92172d3be6e9" xsi:nil="true"/>
    <lcf76f155ced4ddcb4097134ff3c332f xmlns="b6bd6138-593e-472b-8ea5-359957e1665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72D607-3649-4B99-8948-5DDB4FDE66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bd6138-593e-472b-8ea5-359957e16651"/>
    <ds:schemaRef ds:uri="c77ec181-6fae-4e7c-989d-92172d3be6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D95F17-0EA0-4E1C-8A20-ACAB79842F20}">
  <ds:schemaRefs>
    <ds:schemaRef ds:uri="http://schemas.microsoft.com/office/2006/metadata/properties"/>
    <ds:schemaRef ds:uri="http://schemas.microsoft.com/office/infopath/2007/PartnerControls"/>
    <ds:schemaRef ds:uri="c77ec181-6fae-4e7c-989d-92172d3be6e9"/>
    <ds:schemaRef ds:uri="b6bd6138-593e-472b-8ea5-359957e16651"/>
  </ds:schemaRefs>
</ds:datastoreItem>
</file>

<file path=customXml/itemProps3.xml><?xml version="1.0" encoding="utf-8"?>
<ds:datastoreItem xmlns:ds="http://schemas.openxmlformats.org/officeDocument/2006/customXml" ds:itemID="{9F85397D-C508-49F8-A9A2-DEC1261D7C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791</Words>
  <Characters>4514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Garcia</dc:creator>
  <cp:keywords/>
  <dc:description/>
  <cp:lastModifiedBy>Pablo Garcia</cp:lastModifiedBy>
  <cp:revision>130</cp:revision>
  <dcterms:created xsi:type="dcterms:W3CDTF">2023-12-07T14:00:00Z</dcterms:created>
  <dcterms:modified xsi:type="dcterms:W3CDTF">2023-12-13T15:09:00Z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0x010100E5926FA7CD7A4541A45D832FD66FBFF9</vt:lpwstr>
  </property>
  <property fmtid="{D5CDD505-2E9C-101B-9397-08002B2CF9AE}" pid="3" name="MediaServiceImageTags">
    <vt:lpwstr/>
  </property>
</Properties>
</file>