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541E4545" w:rsidR="00C85C8B" w:rsidRPr="00B16706" w:rsidRDefault="00F2654B" w:rsidP="00C85C8B">
                <w:pPr>
                  <w:rPr>
                    <w:rFonts w:ascii="Arial" w:hAnsi="Arial" w:cs="Arial"/>
                    <w:color w:val="808080"/>
                    <w:sz w:val="16"/>
                    <w:szCs w:val="20"/>
                    <w:lang w:eastAsia="de-DE"/>
                  </w:rPr>
                </w:pPr>
                <w:r w:rsidRPr="00F2654B">
                  <w:rPr>
                    <w:rFonts w:ascii="Arial" w:hAnsi="Arial" w:cs="Arial"/>
                    <w:color w:val="808080"/>
                    <w:sz w:val="16"/>
                    <w:szCs w:val="20"/>
                    <w:lang w:eastAsia="de-DE"/>
                  </w:rPr>
                  <w:t>The Luxembourg Bankers' Association (ABBL)</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C0BD4E7"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2654B">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3D0FF45A" w:rsidR="00C85C8B" w:rsidRPr="00B16706" w:rsidRDefault="00F2654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04D18224" w:rsidR="00C85C8B" w:rsidRPr="00B16706" w:rsidRDefault="00F2654B" w:rsidP="00C85C8B">
                <w:pPr>
                  <w:rPr>
                    <w:rFonts w:ascii="Arial" w:hAnsi="Arial" w:cs="Arial"/>
                    <w:sz w:val="16"/>
                    <w:szCs w:val="20"/>
                    <w:lang w:eastAsia="de-DE"/>
                  </w:rPr>
                </w:pPr>
                <w:r>
                  <w:rPr>
                    <w:rFonts w:ascii="Arial" w:hAnsi="Arial" w:cs="Arial"/>
                    <w:sz w:val="16"/>
                    <w:szCs w:val="20"/>
                    <w:lang w:eastAsia="de-DE"/>
                  </w:rPr>
                  <w:t>Luxembourg</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6D089BA" w14:textId="77777777" w:rsidR="00834B44" w:rsidRDefault="00834B44" w:rsidP="00834B44">
      <w:permStart w:id="212889190" w:edGrp="everyone"/>
      <w:r>
        <w:t>Not entirely</w:t>
      </w:r>
    </w:p>
    <w:p w14:paraId="194091BE" w14:textId="77777777" w:rsidR="00834B44" w:rsidRDefault="00834B44" w:rsidP="00834B44"/>
    <w:p w14:paraId="5D23F273" w14:textId="77777777" w:rsidR="00834B44" w:rsidRDefault="00834B44" w:rsidP="00834B44">
      <w:r>
        <w:t xml:space="preserve">Article 66.6 </w:t>
      </w:r>
      <w:proofErr w:type="spellStart"/>
      <w:r>
        <w:t>MiCA</w:t>
      </w:r>
      <w:proofErr w:type="spellEnd"/>
      <w:r>
        <w:t xml:space="preserve"> refers to Article 66.5, which specifies the type of information CASPs must disclose. This information is specifically related:</w:t>
      </w:r>
    </w:p>
    <w:p w14:paraId="47190A1B" w14:textId="77777777" w:rsidR="00834B44" w:rsidRDefault="00834B44" w:rsidP="00834B44"/>
    <w:p w14:paraId="26A58FF7" w14:textId="77777777" w:rsidR="00834B44" w:rsidRDefault="00834B44" w:rsidP="00834B44">
      <w:r>
        <w:t>1) To the principal adverse impacts,</w:t>
      </w:r>
    </w:p>
    <w:p w14:paraId="3890CE9F" w14:textId="77777777" w:rsidR="00834B44" w:rsidRDefault="00834B44" w:rsidP="00834B44">
      <w:r>
        <w:t>2) On the climate and other environment-related adverse impacts,</w:t>
      </w:r>
    </w:p>
    <w:p w14:paraId="26538613" w14:textId="77777777" w:rsidR="00834B44" w:rsidRDefault="00834B44" w:rsidP="00834B44">
      <w:r>
        <w:t>3) Of the consensus mechanism,</w:t>
      </w:r>
    </w:p>
    <w:p w14:paraId="6D4B5859" w14:textId="77777777" w:rsidR="00834B44" w:rsidRDefault="00834B44" w:rsidP="00834B44">
      <w:r>
        <w:t xml:space="preserve">4) Used to issue each </w:t>
      </w:r>
      <w:proofErr w:type="gramStart"/>
      <w:r>
        <w:t>crypto-asset</w:t>
      </w:r>
      <w:proofErr w:type="gramEnd"/>
      <w:r>
        <w:t>,</w:t>
      </w:r>
    </w:p>
    <w:p w14:paraId="7E89392D" w14:textId="77777777" w:rsidR="00834B44" w:rsidRDefault="00834B44" w:rsidP="00834B44">
      <w:r>
        <w:t>5) in relation to which they [CASPs] provide services.</w:t>
      </w:r>
    </w:p>
    <w:p w14:paraId="71637472" w14:textId="77777777" w:rsidR="00834B44" w:rsidRDefault="00834B44" w:rsidP="00834B44"/>
    <w:p w14:paraId="0F77386C" w14:textId="77777777" w:rsidR="00834B44" w:rsidRDefault="00834B44" w:rsidP="00834B44">
      <w:r>
        <w:t xml:space="preserve">ESMA holds therefore a mandate to draft RTS standards on the content, methodologies, and presentation of information on the consensus mechanisms "used to issue each crypto-asset", and NOT consensus mechanisms "used to validate crypto-asset transactions" (see Art.66.5 </w:t>
      </w:r>
      <w:proofErr w:type="spellStart"/>
      <w:r>
        <w:t>MiCA</w:t>
      </w:r>
      <w:proofErr w:type="spellEnd"/>
      <w:r>
        <w:t>).</w:t>
      </w:r>
    </w:p>
    <w:p w14:paraId="6BBC3636" w14:textId="77777777" w:rsidR="00834B44" w:rsidRDefault="00834B44" w:rsidP="00834B44"/>
    <w:p w14:paraId="2E78B18D" w14:textId="77777777" w:rsidR="00834B44" w:rsidRDefault="00834B44" w:rsidP="00834B44">
      <w:r>
        <w:t xml:space="preserve">We acknowledge that Article 66.6§2 </w:t>
      </w:r>
      <w:proofErr w:type="spellStart"/>
      <w:r>
        <w:t>MiCA</w:t>
      </w:r>
      <w:proofErr w:type="spellEnd"/>
      <w:r>
        <w:t xml:space="preserve"> provides that, in drafting its RTS, "ESMA shall consider the various types of consensus mechanisms used to validate crypto-asset transactions, their incentive structures and the use of energy, renewable energy and natural resources, the production of waste and greenhouse gas emissions". However, in our perspective, "to consider" or "take into consideration" does not equate to a mandate for ESMA to draft RTS on information about adverse impacts of consensus mechanisms used for transaction validation.</w:t>
      </w:r>
    </w:p>
    <w:p w14:paraId="6740327B" w14:textId="77777777" w:rsidR="00834B44" w:rsidRDefault="00834B44" w:rsidP="00834B44"/>
    <w:p w14:paraId="24DD84BB" w14:textId="77777777" w:rsidR="00834B44" w:rsidRDefault="00834B44" w:rsidP="00834B44">
      <w:r>
        <w:t xml:space="preserve">And yet, ESMA’s RTS (particularly Article 4) reveals a focus on consensus mechanisms "used for the validation of transactions in </w:t>
      </w:r>
      <w:proofErr w:type="gramStart"/>
      <w:r>
        <w:t>crypto-assets</w:t>
      </w:r>
      <w:proofErr w:type="gramEnd"/>
      <w:r>
        <w:t xml:space="preserve">". In fact, the terms "consensus mechanisms used to issue" or the term "issue" of Article 66.5 </w:t>
      </w:r>
      <w:proofErr w:type="spellStart"/>
      <w:r>
        <w:t>MiCA</w:t>
      </w:r>
      <w:proofErr w:type="spellEnd"/>
      <w:r>
        <w:t xml:space="preserve"> are never used in the RTS.</w:t>
      </w:r>
    </w:p>
    <w:p w14:paraId="6139D0EC" w14:textId="77777777" w:rsidR="00834B44" w:rsidRDefault="00834B44" w:rsidP="00834B44"/>
    <w:p w14:paraId="0210E985" w14:textId="77777777" w:rsidR="00834B44" w:rsidRDefault="00834B44" w:rsidP="00834B44">
      <w:r>
        <w:t>This discrepancy may lead to several problems:</w:t>
      </w:r>
    </w:p>
    <w:p w14:paraId="5DDB497D" w14:textId="77777777" w:rsidR="00834B44" w:rsidRDefault="00834B44" w:rsidP="00834B44"/>
    <w:p w14:paraId="409F26C4" w14:textId="77777777" w:rsidR="00834B44" w:rsidRDefault="00834B44" w:rsidP="00834B44">
      <w:r>
        <w:t xml:space="preserve">- Wording problem: The current language of the RTS does not align with the mandate outlined in </w:t>
      </w:r>
      <w:proofErr w:type="spellStart"/>
      <w:r>
        <w:t>MiCA</w:t>
      </w:r>
      <w:proofErr w:type="spellEnd"/>
      <w:r>
        <w:t>.</w:t>
      </w:r>
    </w:p>
    <w:p w14:paraId="349EFC54" w14:textId="77777777" w:rsidR="00834B44" w:rsidRDefault="00834B44" w:rsidP="00834B44">
      <w:r>
        <w:t>- Mandate problem: The consensus mechanism used to issue a crypto-asset may differ from the one used for the validation of transactions, especially in cases where the crypto-asset was 'bridged' from one DLT to another (the crypto-asset transactions will then be governed by the consensus mechanism of the destination DLT, which may differ from the issuance DLT).</w:t>
      </w:r>
    </w:p>
    <w:p w14:paraId="5242F529" w14:textId="77777777" w:rsidR="00834B44" w:rsidRDefault="00834B44" w:rsidP="00834B44">
      <w:r>
        <w:lastRenderedPageBreak/>
        <w:t xml:space="preserve">- Logical problem: Article 66.5 of </w:t>
      </w:r>
      <w:proofErr w:type="spellStart"/>
      <w:r>
        <w:t>MiCA</w:t>
      </w:r>
      <w:proofErr w:type="spellEnd"/>
      <w:r>
        <w:t xml:space="preserve"> suggests that information related to the consensus mechanism used to issue crypto-assets could be obtained from the crypto-asset white papers. However, if the disclosure concerns consensus mechanisms used for transaction validation, the white papers may not contain the required information.</w:t>
      </w:r>
    </w:p>
    <w:p w14:paraId="6DC40D25" w14:textId="77777777" w:rsidR="00834B44" w:rsidRDefault="00834B44" w:rsidP="00834B44"/>
    <w:p w14:paraId="153929D3" w14:textId="77777777" w:rsidR="00834B44" w:rsidRDefault="00834B44" w:rsidP="00834B44">
      <w:r>
        <w:t xml:space="preserve">Given these concerns, we are inclined to say that the RTS provisions should be revised </w:t>
      </w:r>
      <w:proofErr w:type="gramStart"/>
      <w:r>
        <w:t>in order to</w:t>
      </w:r>
      <w:proofErr w:type="gramEnd"/>
      <w:r>
        <w:t xml:space="preserve"> align with </w:t>
      </w:r>
      <w:proofErr w:type="spellStart"/>
      <w:r>
        <w:t>MiCA's</w:t>
      </w:r>
      <w:proofErr w:type="spellEnd"/>
      <w:r>
        <w:t xml:space="preserve"> mandate.</w:t>
      </w:r>
    </w:p>
    <w:p w14:paraId="4D062DFD" w14:textId="77777777" w:rsidR="00834B44" w:rsidRDefault="00834B44" w:rsidP="00834B44"/>
    <w:p w14:paraId="011F0E71" w14:textId="77777777" w:rsidR="00834B44" w:rsidRDefault="00834B44" w:rsidP="00834B44">
      <w:r>
        <w:t xml:space="preserve">What concerns publication of ESG elements on the website, we are of the view that CASPs shall be allowed to make a reference to the white paper </w:t>
      </w:r>
      <w:proofErr w:type="gramStart"/>
      <w:r>
        <w:t>in order to</w:t>
      </w:r>
      <w:proofErr w:type="gramEnd"/>
      <w:r>
        <w:t xml:space="preserve"> comply with the requirement.</w:t>
      </w:r>
    </w:p>
    <w:p w14:paraId="1F79BC20" w14:textId="77777777" w:rsidR="00834B44" w:rsidRDefault="00834B44" w:rsidP="00834B44"/>
    <w:p w14:paraId="1C32DE83" w14:textId="77777777" w:rsidR="00834B44" w:rsidRDefault="00834B44" w:rsidP="00834B44">
      <w:r>
        <w:t xml:space="preserve">Considering public permissionless blockchains, it would be useful to have a publicly maintained database so that everyone can use the same information for sustainability disclosures. </w:t>
      </w:r>
    </w:p>
    <w:p w14:paraId="668F001F" w14:textId="77777777" w:rsidR="00834B44" w:rsidRDefault="00834B44" w:rsidP="00834B44"/>
    <w:p w14:paraId="53163ACC" w14:textId="1704941F" w:rsidR="00FA64BE" w:rsidRDefault="00834B44" w:rsidP="00834B44">
      <w:r>
        <w:t xml:space="preserve">We are of the opinion that all CASPs cannot be subject to the same set of obligations </w:t>
      </w:r>
      <w:proofErr w:type="gramStart"/>
      <w:r>
        <w:t>in order to</w:t>
      </w:r>
      <w:proofErr w:type="gramEnd"/>
      <w:r>
        <w:t xml:space="preserve"> promote a proportionate approach regarding sustainability disclosures.</w:t>
      </w:r>
    </w:p>
    <w:p w14:paraId="2E63C046" w14:textId="77777777" w:rsidR="00F106F9" w:rsidRDefault="00F106F9" w:rsidP="00834B44"/>
    <w:p w14:paraId="26115B6E" w14:textId="77777777" w:rsidR="008A4C4C" w:rsidRDefault="008A4C4C" w:rsidP="00834B44"/>
    <w:p w14:paraId="440DF296" w14:textId="26293198" w:rsidR="00F106F9" w:rsidRPr="008A4C4C" w:rsidRDefault="00F106F9" w:rsidP="00F106F9">
      <w:pPr>
        <w:rPr>
          <w:b/>
          <w:bCs/>
        </w:rPr>
      </w:pPr>
      <w:r w:rsidRPr="008A4C4C">
        <w:rPr>
          <w:b/>
          <w:bCs/>
        </w:rPr>
        <w:t>General Comments on the RTS:</w:t>
      </w:r>
    </w:p>
    <w:p w14:paraId="66202EBE" w14:textId="77777777" w:rsidR="00F106F9" w:rsidRDefault="00F106F9" w:rsidP="00F106F9"/>
    <w:p w14:paraId="7BAE2F72" w14:textId="77777777" w:rsidR="00F106F9" w:rsidRDefault="00F106F9" w:rsidP="00F106F9">
      <w:r>
        <w:t xml:space="preserve">(1) EBA concluded that "specific language requirements […] would therefore go beyond the existing </w:t>
      </w:r>
      <w:proofErr w:type="spellStart"/>
      <w:r>
        <w:t>MiCAR</w:t>
      </w:r>
      <w:proofErr w:type="spellEnd"/>
      <w:r>
        <w:t xml:space="preserve"> mandate" (RTS complaints, p.26). However, ESMA decided otherwise (see Art. 3.4 RTS). Different standards for RTS standards…</w:t>
      </w:r>
    </w:p>
    <w:p w14:paraId="645F355A" w14:textId="77777777" w:rsidR="00F106F9" w:rsidRDefault="00F106F9" w:rsidP="00F106F9"/>
    <w:p w14:paraId="338EB129" w14:textId="77777777" w:rsidR="00F106F9" w:rsidRDefault="00F106F9" w:rsidP="00F106F9">
      <w:r>
        <w:t>(2) ESMA has not employed consistent terminology in its RTS. In the RTS on transparency data, ESMA uses the terms "free of charge and in a manner that is easily accessible, non-discriminatory, prominent, comprehensible, fair, clear and not misleading" (Art. 1.1 RTS); in this RTS on sustainability indicators it only uses the terms "free of charge" (Art.3.1 RTS). In the RTS on transparency data, ESMA uses the terms "easy to read and use a style that facilitates its understanding" (Art. 1.2 RTS); in this RTS on sustainability indicators it uses the terms "easy to read, using characters of readable size and using a style of writing that facilitates its understanding" (Art. 3.1 RTS). In RTS on transparency data, ESMA uses the terms "single document" (Art. 1.3 RTS); in this RTS on sustainability indicators it uses the terms "downloadable file" (Art. 3.1 RTS).</w:t>
      </w:r>
    </w:p>
    <w:p w14:paraId="042F4837" w14:textId="77777777" w:rsidR="00F106F9" w:rsidRDefault="00F106F9" w:rsidP="00F106F9"/>
    <w:p w14:paraId="5CF423FD" w14:textId="24F2230D" w:rsidR="00F106F9" w:rsidRDefault="00F106F9" w:rsidP="00F106F9">
      <w:r>
        <w:t>(3)  In many RTS, definitions are provided in Annexes (RTS on transparency data contains no article with definitions, including not for the terms 'Automated Market Makers' and 'liquidity pools', 'smart contracts', 'permissionless and automatic way'). In this RTS on sustainability indicators, however, an article correctly provides beforehand all relevant definitions.</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lastRenderedPageBreak/>
        <w:t>&lt;ESMA_QUESTION_MIC2_2&gt;</w:t>
      </w:r>
    </w:p>
    <w:p w14:paraId="04E78DFC" w14:textId="437E205A" w:rsidR="00834B44" w:rsidRDefault="00834B44" w:rsidP="00834B44">
      <w:permStart w:id="1220439445" w:edGrp="everyone"/>
      <w:r>
        <w:t xml:space="preserve">In our opinion, ESMA should be aware of the Proof of Stake vs Proof of Work initiatives undertaken by the industry itself that is meant to reduce the adverse impact on the environment. </w:t>
      </w:r>
    </w:p>
    <w:p w14:paraId="423EA815" w14:textId="77777777" w:rsidR="00834B44" w:rsidRDefault="00834B44" w:rsidP="00834B44"/>
    <w:p w14:paraId="01F33A61" w14:textId="77777777" w:rsidR="0048740E" w:rsidRDefault="00834B44" w:rsidP="00FA64BE">
      <w:r>
        <w:t>In the spirit of harmonisation, we would advocate that, in a similar vein, issuers of a Central Bank Digital Currency (CBDC) should be subject to the same standards concerning sustainability impacts of consensus mechanism. For example, there is also an adverse environmental impact of the printing of Euro banknotes and minting of Euro coins and this could eventually also be part of sustainability impact assessment.</w:t>
      </w:r>
    </w:p>
    <w:permEnd w:id="1220439445"/>
    <w:p w14:paraId="318E6EEB" w14:textId="7EDD1172"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32E6890F" w14:textId="77777777" w:rsidR="006F2A4B" w:rsidRDefault="006F2A4B" w:rsidP="006F2A4B">
      <w:permStart w:id="731276388" w:edGrp="everyone"/>
      <w:r>
        <w:t>Not entirely</w:t>
      </w:r>
    </w:p>
    <w:p w14:paraId="5124C749" w14:textId="77777777" w:rsidR="006F2A4B" w:rsidRDefault="006F2A4B" w:rsidP="006F2A4B"/>
    <w:p w14:paraId="0AFE1643" w14:textId="77777777" w:rsidR="006F2A4B" w:rsidRDefault="006F2A4B" w:rsidP="006F2A4B">
      <w:r>
        <w:t>Page 12, point 3.3.1: A parallel is made here to SFDR/CSRD. If obligations under SFDR/CSRD appear to be less constraining, then it would make sense to support the application of a set of rules that does not exceed the SFDR/CSRD regime.</w:t>
      </w:r>
    </w:p>
    <w:p w14:paraId="50A8BA8B" w14:textId="77777777" w:rsidR="006F2A4B" w:rsidRDefault="006F2A4B" w:rsidP="006F2A4B"/>
    <w:p w14:paraId="28D2A8B5" w14:textId="740934CB" w:rsidR="00FA64BE" w:rsidRDefault="006F2A4B" w:rsidP="006F2A4B">
      <w:r>
        <w:t>Besides, we would be in favour for the proportionality principle to ensure that the right CASP is subject to the right set of disclosure obligations. All CASPs will not necessarily have access to the same level of ESG information relating to crypto-assets and platforms, hence the necessity to adapt the regime depending on the role of the disclosing CASP.</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lastRenderedPageBreak/>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06643B4C" w14:textId="77777777" w:rsidR="00F106F9" w:rsidRDefault="00F106F9" w:rsidP="00F106F9">
      <w:permStart w:id="74328323" w:edGrp="everyone"/>
      <w:r>
        <w:t xml:space="preserve">No, we do not </w:t>
      </w:r>
      <w:proofErr w:type="gramStart"/>
      <w:r>
        <w:t>agree</w:t>
      </w:r>
      <w:proofErr w:type="gramEnd"/>
    </w:p>
    <w:p w14:paraId="4E438FAD" w14:textId="77777777" w:rsidR="00F106F9" w:rsidRDefault="00F106F9" w:rsidP="00F106F9"/>
    <w:p w14:paraId="10EBBB1D" w14:textId="77777777" w:rsidR="00F106F9" w:rsidRDefault="00F106F9" w:rsidP="00F106F9">
      <w:r>
        <w:t>Page 14, §44: CASPs will be required to identify energy consumption of the DLT network nodes used to validate transactions, calculate GHG emissions and infer the production of waste/use of natural resources. For these elements, we would once again support a proportionate approach and expect that CASPs having a direct access to the abovementioned information may be subject to the obligation to disclose it. It is obviously not the case for custodians.</w:t>
      </w:r>
    </w:p>
    <w:p w14:paraId="3E760427" w14:textId="77777777" w:rsidR="00F106F9" w:rsidRDefault="00F106F9" w:rsidP="00F106F9"/>
    <w:p w14:paraId="508A23FC" w14:textId="77777777" w:rsidR="00F106F9" w:rsidRDefault="00F106F9" w:rsidP="00F106F9">
      <w:r>
        <w:t xml:space="preserve">Proportionality may also be found in crypto-assets services the CASP is allowed to provide under </w:t>
      </w:r>
      <w:proofErr w:type="spellStart"/>
      <w:r>
        <w:t>MiCA</w:t>
      </w:r>
      <w:proofErr w:type="spellEnd"/>
      <w:r>
        <w:t xml:space="preserve">, and the adverse environmental impact of the consensus system is best taken on by those CASPs that are allowed to provide the service of 'placing of crypto-assets'. A CASP broker(-dealer), custodian, and/or exchange may be at a too greater distance to reasonably be </w:t>
      </w:r>
      <w:proofErr w:type="gramStart"/>
      <w:r>
        <w:t>in a position</w:t>
      </w:r>
      <w:proofErr w:type="gramEnd"/>
      <w:r>
        <w:t xml:space="preserve"> to make a reliable assessment of the actual environmental impact of the consensus system regarding the different crypto-assets traded.</w:t>
      </w:r>
    </w:p>
    <w:p w14:paraId="5E934FE3" w14:textId="77777777" w:rsidR="00F106F9" w:rsidRDefault="00F106F9" w:rsidP="00F106F9"/>
    <w:p w14:paraId="546CB365" w14:textId="77777777" w:rsidR="00F106F9" w:rsidRDefault="00F106F9" w:rsidP="00F106F9">
      <w:r>
        <w:t xml:space="preserve">It is both plausible and probable that various entities involved in the crypto-asset industry, including the 'persons drawing up white papers' and the different types of CASPs (which are also established in different states), will arrive at divergent conclusions concerning energy consumption, greenhouse gas emissions, and overall sustainability indicators. </w:t>
      </w:r>
    </w:p>
    <w:p w14:paraId="692B142A" w14:textId="77777777" w:rsidR="00F106F9" w:rsidRDefault="00F106F9" w:rsidP="00F106F9"/>
    <w:p w14:paraId="7F58ACA4" w14:textId="2FEA0413" w:rsidR="00F106F9" w:rsidRDefault="00F106F9" w:rsidP="00F106F9">
      <w:r>
        <w:t>However, the RTS currently lacks effective mechanisms for harmonizing disparate information. Additionally, the RTS falls short in establishing a clear protocol for correcting inaccuracies in reported data. Finally, it fails to establish a scale of repercussions for different types of erroneous information.</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lastRenderedPageBreak/>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0376A5F9" w14:textId="67537F10" w:rsidR="008A4C4C" w:rsidRDefault="008A4C4C" w:rsidP="008A4C4C">
      <w:permStart w:id="1363767151" w:edGrp="everyone"/>
      <w:r>
        <w:t>No</w:t>
      </w:r>
    </w:p>
    <w:p w14:paraId="79C9FB73" w14:textId="77777777" w:rsidR="008A4C4C" w:rsidRDefault="008A4C4C" w:rsidP="008A4C4C"/>
    <w:p w14:paraId="54C05B3E" w14:textId="77777777" w:rsidR="008A4C4C" w:rsidRDefault="008A4C4C" w:rsidP="008A4C4C">
      <w:r>
        <w:t xml:space="preserve">We do not agree with the definition of "permissionless distributed ledger technology". </w:t>
      </w:r>
    </w:p>
    <w:p w14:paraId="72794C16" w14:textId="77777777" w:rsidR="008A4C4C" w:rsidRDefault="008A4C4C" w:rsidP="008A4C4C"/>
    <w:p w14:paraId="3268DDC8" w14:textId="77777777" w:rsidR="008A4C4C" w:rsidRDefault="008A4C4C" w:rsidP="008A4C4C">
      <w:r>
        <w:lastRenderedPageBreak/>
        <w:t>In our perspective, it is incorrect to say that no entity controls the distributed ledger or its use or provides core services for its use.</w:t>
      </w:r>
    </w:p>
    <w:p w14:paraId="7C1109CF" w14:textId="77777777" w:rsidR="008A4C4C" w:rsidRDefault="008A4C4C" w:rsidP="008A4C4C"/>
    <w:p w14:paraId="34B24755" w14:textId="77777777" w:rsidR="008A4C4C" w:rsidRDefault="008A4C4C" w:rsidP="008A4C4C">
      <w:r>
        <w:t xml:space="preserve">No control at all entails no liability at all for anyone. Whereas, in a way, all DLT nodes have a certain control of the distributed ledger (or, at least, over its copies). Therefore, what really characterises a permissionless DLT is the fact that no central entity owes its network and </w:t>
      </w:r>
      <w:proofErr w:type="gramStart"/>
      <w:r>
        <w:t>software, or</w:t>
      </w:r>
      <w:proofErr w:type="gramEnd"/>
      <w:r>
        <w:t xml:space="preserve"> pre-approves a person to join the network. </w:t>
      </w:r>
    </w:p>
    <w:p w14:paraId="3667488B" w14:textId="77777777" w:rsidR="008A4C4C" w:rsidRDefault="008A4C4C" w:rsidP="008A4C4C"/>
    <w:p w14:paraId="3356CCF8" w14:textId="77777777" w:rsidR="008A4C4C" w:rsidRDefault="008A4C4C" w:rsidP="008A4C4C">
      <w:r>
        <w:t xml:space="preserve">See Definition permissionless blockchain, p. 15: </w:t>
      </w:r>
    </w:p>
    <w:p w14:paraId="24022315" w14:textId="77777777" w:rsidR="008A4C4C" w:rsidRDefault="008A4C4C" w:rsidP="008A4C4C"/>
    <w:p w14:paraId="0108A012" w14:textId="77777777" w:rsidR="008A4C4C" w:rsidRDefault="008A4C4C" w:rsidP="008A4C4C">
      <w:r>
        <w:t>https://www.europarl.europa.eu/cmsdata/150761/TAX3%20Study%20on%20cryptocurrencies%20and%20blockchain.pdf</w:t>
      </w:r>
    </w:p>
    <w:p w14:paraId="42F171EF" w14:textId="77777777" w:rsidR="008A4C4C" w:rsidRDefault="008A4C4C" w:rsidP="008A4C4C"/>
    <w:p w14:paraId="43ACBBC9" w14:textId="77777777" w:rsidR="008A4C4C" w:rsidRDefault="008A4C4C" w:rsidP="008A4C4C">
      <w:r>
        <w:t>Permissionless refers to the "permission" or the "approval" that is NOT required from an entity to join the DLT network, whereas the definition does not directly refer to this.</w:t>
      </w:r>
    </w:p>
    <w:p w14:paraId="54ACEAC8" w14:textId="77777777" w:rsidR="008A4C4C" w:rsidRDefault="008A4C4C" w:rsidP="008A4C4C"/>
    <w:p w14:paraId="08B7CF8E" w14:textId="77777777" w:rsidR="008A4C4C" w:rsidRDefault="008A4C4C" w:rsidP="008A4C4C">
      <w:r>
        <w:t xml:space="preserve">A reference to </w:t>
      </w:r>
      <w:proofErr w:type="spellStart"/>
      <w:r>
        <w:t>MiCA's</w:t>
      </w:r>
      <w:proofErr w:type="spellEnd"/>
      <w:r>
        <w:t xml:space="preserve"> definitions of 'distributed ledger technology', 'distributed ledger', and 'DLT network node' could also be included in Art. 1 of the RTS.</w:t>
      </w:r>
    </w:p>
    <w:p w14:paraId="0EA22659" w14:textId="77777777" w:rsidR="008A4C4C" w:rsidRDefault="008A4C4C" w:rsidP="008A4C4C"/>
    <w:p w14:paraId="7DA5DACD" w14:textId="77777777" w:rsidR="008A4C4C" w:rsidRDefault="008A4C4C" w:rsidP="008A4C4C">
      <w:r>
        <w:t>Furthermore, what about public permissioned blockchains for which node operators are known, whitelisted but independent from each other? Who can be held responsible?</w:t>
      </w:r>
    </w:p>
    <w:p w14:paraId="5EC7ECB2" w14:textId="77777777" w:rsidR="008A4C4C" w:rsidRDefault="008A4C4C" w:rsidP="008A4C4C"/>
    <w:p w14:paraId="36D05D2E" w14:textId="77777777" w:rsidR="008A4C4C" w:rsidRDefault="008A4C4C" w:rsidP="008A4C4C">
      <w:r>
        <w:t xml:space="preserve">Page 19, §62: liability regime. We would expect ESMA to adopt a </w:t>
      </w:r>
      <w:proofErr w:type="gramStart"/>
      <w:r>
        <w:t>more strict</w:t>
      </w:r>
      <w:proofErr w:type="gramEnd"/>
      <w:r>
        <w:t xml:space="preserve"> approach whereby a CASP may not be held liable for events which are out of its reasonable control. We refer to Article 75 (8) of </w:t>
      </w:r>
      <w:proofErr w:type="spellStart"/>
      <w:r>
        <w:t>MiCA</w:t>
      </w:r>
      <w:proofErr w:type="spellEnd"/>
      <w:r>
        <w:t xml:space="preserve"> and would expect the regime to apply without distinction between permissioned or permissionless DLT.</w:t>
      </w:r>
    </w:p>
    <w:p w14:paraId="7293727E" w14:textId="77777777" w:rsidR="008A4C4C" w:rsidRDefault="008A4C4C" w:rsidP="008A4C4C"/>
    <w:p w14:paraId="1D9C423D" w14:textId="77777777" w:rsidR="008A4C4C" w:rsidRDefault="008A4C4C" w:rsidP="008A4C4C">
      <w:r>
        <w:t xml:space="preserve">Citation (Article 75 (8) of </w:t>
      </w:r>
      <w:proofErr w:type="spellStart"/>
      <w:r>
        <w:t>MiCA</w:t>
      </w:r>
      <w:proofErr w:type="spellEnd"/>
      <w:r>
        <w:t>):</w:t>
      </w:r>
    </w:p>
    <w:p w14:paraId="0EA5D862" w14:textId="77777777" w:rsidR="008A4C4C" w:rsidRDefault="008A4C4C" w:rsidP="008A4C4C"/>
    <w:p w14:paraId="0B6AE040" w14:textId="77777777" w:rsidR="008A4C4C" w:rsidRDefault="008A4C4C" w:rsidP="008A4C4C">
      <w:proofErr w:type="gramStart"/>
      <w:r>
        <w:t>“ 8</w:t>
      </w:r>
      <w:proofErr w:type="gramEnd"/>
      <w:r>
        <w:t xml:space="preserve">. Crypto-asset service providers providing custody and administration of crypto-assets on behalf of clients shall be liable to their clients for the loss of any crypto-assets or of the means of access to the crypto-assets </w:t>
      </w:r>
      <w:proofErr w:type="gramStart"/>
      <w:r>
        <w:t>as a result of</w:t>
      </w:r>
      <w:proofErr w:type="gramEnd"/>
      <w:r>
        <w:t xml:space="preserve"> an incident that is attributable to them. The liability of the crypto-asset service provider shall be capped at the market value of the crypto-asset that was lost, at the time the loss occurred. </w:t>
      </w:r>
    </w:p>
    <w:p w14:paraId="1E29B704" w14:textId="77777777" w:rsidR="008A4C4C" w:rsidRDefault="008A4C4C" w:rsidP="008A4C4C"/>
    <w:p w14:paraId="3F6518E4" w14:textId="312D9394" w:rsidR="00FA64BE" w:rsidRDefault="008A4C4C" w:rsidP="00FA64BE">
      <w:r>
        <w:t>Incidents not attributable to the crypto-asset service provider include any event in respect of which the crypto-asset service provider demonstrates that it occurred independently of the provision of the relevant service, or independently of the operations of the crypto-asset service provider, such as a problem inherent in the operation of the distributed ledger that the crypto-asset service provider does not control.”</w:t>
      </w:r>
      <w:r w:rsidR="00175A47">
        <w:br/>
      </w:r>
      <w:permEnd w:id="1363767151"/>
      <w:r w:rsidR="00FA64BE">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lastRenderedPageBreak/>
        <w:t>&lt;ESMA_QUESTION_MIC2_14&gt;</w:t>
      </w:r>
    </w:p>
    <w:p w14:paraId="300B437E" w14:textId="219E93EE" w:rsidR="0081325C" w:rsidRDefault="0081325C" w:rsidP="0081325C">
      <w:permStart w:id="1236938786" w:edGrp="everyone"/>
      <w:r>
        <w:t xml:space="preserve">For consistency with the DORA regulation, the approach makes sense, however, in our opinion, the terms 'critical or important functions' are not correctly used in Art.3 of the RTS. </w:t>
      </w:r>
    </w:p>
    <w:p w14:paraId="3B28FE88" w14:textId="77777777" w:rsidR="0081325C" w:rsidRDefault="0081325C" w:rsidP="0081325C"/>
    <w:p w14:paraId="2EB9855E" w14:textId="77777777" w:rsidR="0081325C" w:rsidRDefault="0081325C" w:rsidP="0081325C">
      <w:r>
        <w:t>Besides, it is also unclear why the RTS does not refer to other terms defined by DORA, such as "management body" used in Art. 5.3 RTS, and which are defined by Art. 3(30) DORA.</w:t>
      </w:r>
    </w:p>
    <w:p w14:paraId="1E3E3873" w14:textId="77777777" w:rsidR="0081325C" w:rsidRDefault="0081325C" w:rsidP="0081325C"/>
    <w:p w14:paraId="54084A53" w14:textId="77777777" w:rsidR="0081325C" w:rsidRDefault="0081325C" w:rsidP="0081325C">
      <w:r>
        <w:t xml:space="preserve">What concerns CASPs specifically: As defined by DORA, the terms 'critical or important functions' refer to 'financial entities' and to 'applicable financial services law'. It is unclear whether CASPs could be seen as 'financial entities' and whether 'financial services laws' are applicable to them, especially considering </w:t>
      </w:r>
      <w:proofErr w:type="spellStart"/>
      <w:r>
        <w:t>MiCA</w:t>
      </w:r>
      <w:proofErr w:type="spellEnd"/>
      <w:r>
        <w:t xml:space="preserve"> was adopted to regulate </w:t>
      </w:r>
      <w:proofErr w:type="gramStart"/>
      <w:r>
        <w:t>crypto-assets</w:t>
      </w:r>
      <w:proofErr w:type="gramEnd"/>
      <w:r>
        <w:t xml:space="preserve"> that "fall outside of the scope of Union legislative acts on financial services" (Recital (4) </w:t>
      </w:r>
      <w:proofErr w:type="spellStart"/>
      <w:r>
        <w:t>MiCA</w:t>
      </w:r>
      <w:proofErr w:type="spellEnd"/>
      <w:r>
        <w:t xml:space="preserve">). </w:t>
      </w:r>
    </w:p>
    <w:p w14:paraId="5D1834FB" w14:textId="77777777" w:rsidR="0081325C" w:rsidRDefault="0081325C" w:rsidP="0081325C"/>
    <w:p w14:paraId="2373800B" w14:textId="40241FE5" w:rsidR="00FA64BE" w:rsidRDefault="0081325C" w:rsidP="00FA64BE">
      <w:r>
        <w:t>DORA provisions are indeed applicable to CASPs (and, incidentally, so are the terms 'critical or important functions') because Article 2.2 DORA understands CASPs as a 'financial entity' but only 'for the purposes of that Regulation' and NOT for the purposes of any other text. Two solutions could be envisaged: either a mutatis mutandis application of the terms 'critical or important functions', or a reference to CASPs as financial entities within the meaning of DORA.</w:t>
      </w:r>
      <w:r>
        <w:br/>
      </w:r>
      <w:permEnd w:id="1236938786"/>
      <w:r w:rsidR="00FA64BE">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2F6E49D" w14:textId="2281DC25" w:rsidR="005C5B49" w:rsidRDefault="005C5B49" w:rsidP="005C5B49">
      <w:permStart w:id="1875469134" w:edGrp="everyone"/>
      <w:r>
        <w:t>We feel this topic is product agnostic. There should be an opportunity for harmonisation of standards across financial sectors to seek alignment with relevant requirements in place for investment firms and payment institutions, for instance.</w:t>
      </w:r>
    </w:p>
    <w:p w14:paraId="34AD4B5B" w14:textId="77777777" w:rsidR="005C5B49" w:rsidRDefault="005C5B49" w:rsidP="005C5B49"/>
    <w:p w14:paraId="793189A4" w14:textId="20EC40E2" w:rsidR="00FA64BE" w:rsidRDefault="005C5B49" w:rsidP="00FA64BE">
      <w:r>
        <w:t xml:space="preserve">Proportionality can be found in the crypto-asset services the CASP is allowed to provide under </w:t>
      </w:r>
      <w:proofErr w:type="spellStart"/>
      <w:r>
        <w:t>MiCA</w:t>
      </w:r>
      <w:proofErr w:type="spellEnd"/>
      <w:r>
        <w:t xml:space="preserve">. For example, a 'trading platform' must meet different standards than a broker and/or a custodian.  This could be addressed in </w:t>
      </w:r>
      <w:proofErr w:type="spellStart"/>
      <w:r>
        <w:t>MiCA</w:t>
      </w:r>
      <w:proofErr w:type="spellEnd"/>
      <w:r>
        <w:t xml:space="preserve"> under the Internal control mechanism, risk assessment and business continuity.</w:t>
      </w:r>
      <w:r>
        <w:br/>
      </w:r>
      <w:permEnd w:id="1875469134"/>
      <w:r w:rsidR="00FA64BE">
        <w:t>&lt;ESMA_QUESTION_MIC2_16&gt;</w:t>
      </w:r>
    </w:p>
    <w:p w14:paraId="7C7A406D" w14:textId="77777777" w:rsidR="00FA64BE" w:rsidRDefault="00FA64BE" w:rsidP="00FA64BE"/>
    <w:p w14:paraId="79068C81" w14:textId="30E724E1" w:rsidR="00FA64BE" w:rsidRDefault="00FA64BE" w:rsidP="00FA64BE">
      <w:pPr>
        <w:pStyle w:val="Questionstyle"/>
      </w:pPr>
      <w:r w:rsidRPr="003A287A">
        <w:lastRenderedPageBreak/>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2A78D5B5" w14:textId="77777777" w:rsidR="005E6E07" w:rsidRDefault="005E6E07" w:rsidP="005E6E07">
      <w:permStart w:id="2072316093" w:edGrp="everyone"/>
      <w:r>
        <w:t xml:space="preserve">General remarks: </w:t>
      </w:r>
    </w:p>
    <w:p w14:paraId="78AB5771" w14:textId="77777777" w:rsidR="005E6E07" w:rsidRDefault="005E6E07" w:rsidP="005E6E07"/>
    <w:p w14:paraId="544DDEF4" w14:textId="60469052" w:rsidR="00FA64BE" w:rsidRDefault="005E6E07" w:rsidP="005E6E07">
      <w:r>
        <w:t>Article 1 begins by outlining ‘publishing’ rules, followed by ‘presentation’ rules, only to revisit ‘publishing’ rules once again. Furthermore, the publishing location is indicated in the last paragraph of the Article (CASP website), while the other “principles” are meant to condition the way with which these operating rules are to be published in that location. Therefore, we think it would be more logical to mention the publishing location at the outset.</w:t>
      </w:r>
    </w:p>
    <w:p w14:paraId="6BCDDD95" w14:textId="77777777" w:rsidR="00465F24" w:rsidRDefault="00465F24" w:rsidP="005E6E07"/>
    <w:p w14:paraId="34D49376" w14:textId="47B5A77C" w:rsidR="00465F24" w:rsidRDefault="00B100F2" w:rsidP="00465F24">
      <w:r>
        <w:t>Regarding the question, w</w:t>
      </w:r>
      <w:r w:rsidR="00465F24">
        <w:t>e do not have comments on the definition for the different trading systems, however, RTS provides neither explanation nor definition of CEX and DEX. Only in ESMA documentation.</w:t>
      </w:r>
    </w:p>
    <w:p w14:paraId="5A29DA20" w14:textId="77777777" w:rsidR="00465F24" w:rsidRDefault="00465F24" w:rsidP="00465F24"/>
    <w:p w14:paraId="12A1E9AD" w14:textId="77777777" w:rsidR="00465F24" w:rsidRDefault="00465F24" w:rsidP="00465F24">
      <w:r>
        <w:t xml:space="preserve">Article 76 </w:t>
      </w:r>
      <w:proofErr w:type="spellStart"/>
      <w:r>
        <w:t>MiCA</w:t>
      </w:r>
      <w:proofErr w:type="spellEnd"/>
      <w:r>
        <w:t xml:space="preserve"> concerns the operation of a </w:t>
      </w:r>
      <w:r w:rsidRPr="00665218">
        <w:rPr>
          <w:b/>
          <w:bCs/>
        </w:rPr>
        <w:t>trading platform</w:t>
      </w:r>
      <w:r>
        <w:t xml:space="preserve"> for </w:t>
      </w:r>
      <w:proofErr w:type="gramStart"/>
      <w:r>
        <w:t>crypto-assets</w:t>
      </w:r>
      <w:proofErr w:type="gramEnd"/>
      <w:r>
        <w:t xml:space="preserve">. ESMA documentation defines </w:t>
      </w:r>
      <w:r w:rsidRPr="00665218">
        <w:rPr>
          <w:b/>
          <w:bCs/>
        </w:rPr>
        <w:t>CEX</w:t>
      </w:r>
      <w:r>
        <w:t xml:space="preserve"> as a </w:t>
      </w:r>
      <w:r w:rsidRPr="00665218">
        <w:rPr>
          <w:b/>
          <w:bCs/>
        </w:rPr>
        <w:t>trading platform</w:t>
      </w:r>
      <w:r>
        <w:t xml:space="preserve"> operated centrally. Conversely, a DEX is </w:t>
      </w:r>
      <w:r w:rsidRPr="00665218">
        <w:rPr>
          <w:b/>
          <w:bCs/>
        </w:rPr>
        <w:t>not</w:t>
      </w:r>
      <w:r>
        <w:t xml:space="preserve"> defined as a trading platform, less so as one operated by CASPs. Therefore, are DEX (and AMM) covered by Art. 76 </w:t>
      </w:r>
      <w:proofErr w:type="spellStart"/>
      <w:r>
        <w:t>MiCA</w:t>
      </w:r>
      <w:proofErr w:type="spellEnd"/>
      <w:r>
        <w:t xml:space="preserve"> and should they be addressed by the RTS.</w:t>
      </w:r>
    </w:p>
    <w:p w14:paraId="688E4279" w14:textId="77777777" w:rsidR="00465F24" w:rsidRDefault="00465F24" w:rsidP="00465F24"/>
    <w:p w14:paraId="349917BD" w14:textId="77777777" w:rsidR="00465F24" w:rsidRDefault="00465F24" w:rsidP="00465F24">
      <w:r>
        <w:lastRenderedPageBreak/>
        <w:t xml:space="preserve">ESMA says it is aware of Recital 22 </w:t>
      </w:r>
      <w:proofErr w:type="spellStart"/>
      <w:r>
        <w:t>MiCA</w:t>
      </w:r>
      <w:proofErr w:type="spellEnd"/>
      <w:r>
        <w:t xml:space="preserve"> stating that “crypto-asset services provided </w:t>
      </w:r>
      <w:r w:rsidRPr="00665218">
        <w:rPr>
          <w:b/>
          <w:bCs/>
        </w:rPr>
        <w:t xml:space="preserve">in a fully </w:t>
      </w:r>
      <w:r>
        <w:t xml:space="preserve">decentralised manner without any intermediary” do </w:t>
      </w:r>
      <w:r w:rsidRPr="00665218">
        <w:rPr>
          <w:b/>
          <w:bCs/>
        </w:rPr>
        <w:t>not</w:t>
      </w:r>
      <w:r>
        <w:t xml:space="preserve"> fall within the scope of </w:t>
      </w:r>
      <w:proofErr w:type="spellStart"/>
      <w:r>
        <w:t>MiCA</w:t>
      </w:r>
      <w:proofErr w:type="spellEnd"/>
      <w:r>
        <w:t>. It also says that the exact scope of this exemption remains uncertain. In our perspective, such is not the question.</w:t>
      </w:r>
    </w:p>
    <w:p w14:paraId="70308A32" w14:textId="77777777" w:rsidR="00465F24" w:rsidRDefault="00465F24" w:rsidP="00465F24"/>
    <w:p w14:paraId="60E162E6" w14:textId="11328685" w:rsidR="00465F24" w:rsidRDefault="00465F24" w:rsidP="00465F24">
      <w:r>
        <w:t>Standards and best practices for the relevant CASPs are to be found in the MiFID/</w:t>
      </w:r>
      <w:proofErr w:type="spellStart"/>
      <w:r>
        <w:t>MiFIR</w:t>
      </w:r>
      <w:proofErr w:type="spellEnd"/>
      <w:r>
        <w:t>, also on OTC (enforcement at DEX level might be more challenging).</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3D950C" w14:textId="77777777" w:rsidR="00465F24" w:rsidRDefault="00465F24" w:rsidP="00465F24">
      <w:permStart w:id="785540877" w:edGrp="everyone"/>
      <w:r>
        <w:t>Not entirely</w:t>
      </w:r>
    </w:p>
    <w:p w14:paraId="4C8BD403" w14:textId="77777777" w:rsidR="00465F24" w:rsidRDefault="00465F24" w:rsidP="00465F24"/>
    <w:p w14:paraId="2B514B16" w14:textId="77777777" w:rsidR="00465F24" w:rsidRDefault="00465F24" w:rsidP="00465F24">
      <w:r>
        <w:t>AMM are only mentioned twice in the RTS: in the Annex and in Recital (5) RTS. This Recital (5) RTS has redactional issues.</w:t>
      </w:r>
    </w:p>
    <w:p w14:paraId="68BA5638" w14:textId="77777777" w:rsidR="00465F24" w:rsidRDefault="00465F24" w:rsidP="00465F24"/>
    <w:p w14:paraId="4F8A8A45" w14:textId="77777777" w:rsidR="00465F24" w:rsidRDefault="00465F24" w:rsidP="00465F24">
      <w:r>
        <w:t xml:space="preserve">In turn, the Annex is where the AMM is defined – not defined in the main body of the RTS. There is no apparent reason to do </w:t>
      </w:r>
      <w:proofErr w:type="gramStart"/>
      <w:r>
        <w:t>so</w:t>
      </w:r>
      <w:proofErr w:type="gramEnd"/>
      <w:r>
        <w:t xml:space="preserve"> and we would suggest to define it in </w:t>
      </w:r>
      <w:proofErr w:type="spellStart"/>
      <w:r>
        <w:t>a</w:t>
      </w:r>
      <w:proofErr w:type="spellEnd"/>
      <w:r>
        <w:t xml:space="preserve"> introductory article. Furthermore, terms used to define AMM are not themselves explained or defined – “liquidity pools” and “smart contracts” and “permissionless way”.</w:t>
      </w:r>
    </w:p>
    <w:p w14:paraId="10E75070" w14:textId="77777777" w:rsidR="00465F24" w:rsidRDefault="00465F24" w:rsidP="00465F24"/>
    <w:p w14:paraId="63ADA05D" w14:textId="0FAE46A4" w:rsidR="00FA64BE" w:rsidRDefault="00465F24" w:rsidP="00465F24">
      <w:r>
        <w:lastRenderedPageBreak/>
        <w:t>Article 2-1 RTS also refers, both, to CASPs “</w:t>
      </w:r>
      <w:r w:rsidRPr="00465F24">
        <w:rPr>
          <w:b/>
          <w:bCs/>
        </w:rPr>
        <w:t>operating</w:t>
      </w:r>
      <w:r>
        <w:t xml:space="preserve"> a </w:t>
      </w:r>
      <w:r w:rsidRPr="00465F24">
        <w:rPr>
          <w:b/>
          <w:bCs/>
        </w:rPr>
        <w:t>trading platform</w:t>
      </w:r>
      <w:r>
        <w:t>” and “</w:t>
      </w:r>
      <w:r w:rsidRPr="00465F24">
        <w:rPr>
          <w:b/>
          <w:bCs/>
        </w:rPr>
        <w:t>trading systems</w:t>
      </w:r>
      <w:r>
        <w:t xml:space="preserve"> they [CASPs] </w:t>
      </w:r>
      <w:r w:rsidRPr="00465F24">
        <w:rPr>
          <w:b/>
          <w:bCs/>
        </w:rPr>
        <w:t>operate</w:t>
      </w:r>
      <w:r>
        <w:t xml:space="preserve">”. There seems to be a confusion between trading platforms and trading systems. A CASP operates a trading platform where, in turn, may be used or implemented certain systems. CASPs do not operate ‘trading systems’ per se, and it is not the operation of trading systems that are aimed by Article 76 </w:t>
      </w:r>
      <w:proofErr w:type="spellStart"/>
      <w:r>
        <w:t>MiCA</w:t>
      </w:r>
      <w:proofErr w:type="spellEnd"/>
      <w:r>
        <w:t>. We also find inadequate to say that a CASP operates a trading system such as an AMM, that is based on a smart contract.</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7D67D98D" w14:textId="77777777" w:rsidR="005646B2" w:rsidRDefault="005646B2" w:rsidP="005646B2">
      <w:permStart w:id="478694635" w:edGrp="everyone"/>
      <w:r>
        <w:t xml:space="preserve">No </w:t>
      </w:r>
    </w:p>
    <w:p w14:paraId="1411E306" w14:textId="77777777" w:rsidR="005646B2" w:rsidRDefault="005646B2" w:rsidP="005646B2"/>
    <w:p w14:paraId="480998AA" w14:textId="0D3F06C5" w:rsidR="00FA64BE" w:rsidRDefault="005646B2" w:rsidP="005646B2">
      <w:proofErr w:type="spellStart"/>
      <w:r>
        <w:t>MiCA</w:t>
      </w:r>
      <w:proofErr w:type="spellEnd"/>
      <w:r>
        <w:t xml:space="preserve"> gives ESMA a mandate to draft an RTS to specify the way transparency data is to be presented in relation to the </w:t>
      </w:r>
      <w:r w:rsidRPr="00AB643E">
        <w:rPr>
          <w:b/>
          <w:bCs/>
        </w:rPr>
        <w:t>price</w:t>
      </w:r>
      <w:r>
        <w:t xml:space="preserve">, </w:t>
      </w:r>
      <w:r w:rsidRPr="00AB643E">
        <w:rPr>
          <w:b/>
          <w:bCs/>
        </w:rPr>
        <w:t>volume</w:t>
      </w:r>
      <w:r>
        <w:t xml:space="preserve"> and </w:t>
      </w:r>
      <w:r w:rsidRPr="00AB643E">
        <w:rPr>
          <w:b/>
          <w:bCs/>
        </w:rPr>
        <w:t>time</w:t>
      </w:r>
      <w:r>
        <w:t xml:space="preserve"> of the transactions executed. There is no requirement in relation to the </w:t>
      </w:r>
      <w:r w:rsidRPr="00AB643E">
        <w:rPr>
          <w:b/>
          <w:bCs/>
        </w:rPr>
        <w:t>publication</w:t>
      </w:r>
      <w:r>
        <w:t xml:space="preserve"> date and time and to also make public the venue of publication.</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lastRenderedPageBreak/>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0CD70A8E" w14:textId="77777777" w:rsidR="00AB643E" w:rsidRDefault="00AB643E" w:rsidP="00AB643E">
      <w:permStart w:id="712931667" w:edGrp="everyone"/>
      <w:r>
        <w:t>Yes</w:t>
      </w:r>
    </w:p>
    <w:p w14:paraId="30BC97D1" w14:textId="77777777" w:rsidR="00AB643E" w:rsidRDefault="00AB643E" w:rsidP="00AB643E"/>
    <w:p w14:paraId="34FFE556" w14:textId="4E190989" w:rsidR="00FA64BE" w:rsidRDefault="00AB643E" w:rsidP="00AB643E">
      <w:r>
        <w:t xml:space="preserve">We suggest </w:t>
      </w:r>
      <w:proofErr w:type="gramStart"/>
      <w:r>
        <w:t>to specify</w:t>
      </w:r>
      <w:proofErr w:type="gramEnd"/>
      <w:r>
        <w:t xml:space="preserve"> the stabilisation mechanism of a crypto-asset, in particular of Asset-Referenced Tokens (“[…] referencing another value or right or a combination thereof, including one or more official currencies”). Important post-trade transparency data as mechanism will have impact on the value of the </w:t>
      </w:r>
      <w:proofErr w:type="gramStart"/>
      <w:r>
        <w:t>crypto-asset</w:t>
      </w:r>
      <w:proofErr w:type="gramEnd"/>
      <w:r>
        <w:t xml:space="preserve"> after it has been sold.</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6E3581AE" w:rsidR="00FA64BE" w:rsidRDefault="005658DF" w:rsidP="00FA64BE">
      <w:permStart w:id="814574276" w:edGrp="everyone"/>
      <w:r w:rsidRPr="005658DF">
        <w:t>From the data provider point of view, 10 minutes is an acceptable time lag to qualify as “close to real-time and technically possible”. Meanwhile, data-user expectations could be as short as 10 second delay.</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A4F392C" w:rsidR="00FA64BE" w:rsidRDefault="00D00239" w:rsidP="00FA64BE">
      <w:permStart w:id="1795817737" w:edGrp="everyone"/>
      <w:r w:rsidRPr="00D00239">
        <w:t>We observe that the level of access to the data varies from one crypto-asset platform to another. A noticeable number of crypto-assets trading platforms currently charge a fee to access disaggregated data, while aggregated data remains free of charge. The price also depends on the profile of the data user: professional or retail.</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49707068" w14:textId="77777777" w:rsidR="002728C9" w:rsidRDefault="002728C9" w:rsidP="002728C9">
      <w:permStart w:id="1190932617" w:edGrp="everyone"/>
      <w:r>
        <w:t>No</w:t>
      </w:r>
    </w:p>
    <w:p w14:paraId="79951102" w14:textId="77777777" w:rsidR="002728C9" w:rsidRDefault="002728C9" w:rsidP="002728C9"/>
    <w:p w14:paraId="66BA61A6" w14:textId="77777777" w:rsidR="002728C9" w:rsidRDefault="002728C9" w:rsidP="002728C9">
      <w:r>
        <w:lastRenderedPageBreak/>
        <w:t xml:space="preserve">According to the publicly available information, the DTI Foundation (DTIF) is a non-profit division of a private financial technology firm with a mission of “solving market-wide problems by building market infrastructures for the new digital economy”. </w:t>
      </w:r>
    </w:p>
    <w:p w14:paraId="17411B1D" w14:textId="77777777" w:rsidR="002728C9" w:rsidRDefault="002728C9" w:rsidP="002728C9"/>
    <w:p w14:paraId="37B9DA0A" w14:textId="77777777" w:rsidR="002728C9" w:rsidRDefault="002728C9" w:rsidP="002728C9">
      <w:r>
        <w:t>We would like to inquire why this firm specifically has been chosen in the RTS to assign an ID for crypto-assets and whether other neutral alternatives could be proposed / considered? Furthermore, the firm that underpins the Foundation is located outside of the European Union. If for example, for any internal or external reason, the activity of the Foundation could be paused or halted, how this would impact the provision of crypto-assets IDs in EU?</w:t>
      </w:r>
    </w:p>
    <w:p w14:paraId="6FEE7571" w14:textId="77777777" w:rsidR="002728C9" w:rsidRDefault="002728C9" w:rsidP="002728C9"/>
    <w:p w14:paraId="665BE297" w14:textId="2A1C58A7" w:rsidR="00FA64BE" w:rsidRDefault="002728C9" w:rsidP="002728C9">
      <w:r>
        <w:t xml:space="preserve">Furthermore, the DTI, as the name implies, identifies all </w:t>
      </w:r>
      <w:proofErr w:type="gramStart"/>
      <w:r>
        <w:t>crypto-assets</w:t>
      </w:r>
      <w:proofErr w:type="gramEnd"/>
      <w:r>
        <w:t xml:space="preserve"> as ‘tokens’ (including coins). The difference between ‘tokens’ and ‘coins’ is not clearly operated. Coins are called ‘Native Digital Token’.</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5D450890" w:rsidR="00FA64BE" w:rsidRDefault="004F600F" w:rsidP="00FA64BE">
      <w:permStart w:id="713520583" w:edGrp="everyone"/>
      <w:r w:rsidRPr="004F600F">
        <w:t>We would like ESMA to precise the following: For complex sets of smart contracts involving a series of transaction hashes to complete an “operational transaction”, which transaction hash should be considered?</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37C62BC2" w14:textId="34B87D0B" w:rsidR="00881D4B" w:rsidRDefault="00881D4B" w:rsidP="00881D4B">
      <w:permStart w:id="1621834718" w:edGrp="everyone"/>
      <w:r>
        <w:t>Not entirely</w:t>
      </w:r>
    </w:p>
    <w:p w14:paraId="4889901C" w14:textId="77777777" w:rsidR="00881D4B" w:rsidRDefault="00881D4B" w:rsidP="00881D4B"/>
    <w:p w14:paraId="606A6BD2" w14:textId="77777777" w:rsidR="00881D4B" w:rsidRDefault="00881D4B" w:rsidP="00881D4B">
      <w:r>
        <w:t>Gas fees are relevant for the trade, but indeed are not accessible for all under the current regulations.</w:t>
      </w:r>
    </w:p>
    <w:p w14:paraId="6DB73579" w14:textId="77777777" w:rsidR="00881D4B" w:rsidRDefault="00881D4B" w:rsidP="00881D4B"/>
    <w:p w14:paraId="0A5E7D5D" w14:textId="62A02501" w:rsidR="00FA64BE" w:rsidRDefault="00881D4B" w:rsidP="00FA64BE">
      <w:r>
        <w:lastRenderedPageBreak/>
        <w:t>Recording of gas fees could be difficult or even impossible in case of the use of a third-party fee payer.</w:t>
      </w:r>
      <w:r>
        <w:br/>
      </w:r>
      <w:permEnd w:id="1621834718"/>
      <w:r w:rsidR="00FA64BE">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lastRenderedPageBreak/>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7587C877" w14:textId="77777777" w:rsidR="005F4B42" w:rsidRDefault="005F4B42" w:rsidP="005F4B42">
      <w:permStart w:id="1269643049" w:edGrp="everyone"/>
      <w:r>
        <w:t>Yes</w:t>
      </w:r>
    </w:p>
    <w:p w14:paraId="75226501" w14:textId="77777777" w:rsidR="005F4B42" w:rsidRDefault="005F4B42" w:rsidP="005F4B42"/>
    <w:p w14:paraId="4389C73B" w14:textId="77777777" w:rsidR="005F4B42" w:rsidRDefault="005F4B42" w:rsidP="005F4B42">
      <w:r>
        <w:t xml:space="preserve">Prescribed length of reported addresses (seller, buyer, smart contract, etc.) are too small: 52 characters. For instance, </w:t>
      </w:r>
      <w:proofErr w:type="spellStart"/>
      <w:r>
        <w:t>Algorand</w:t>
      </w:r>
      <w:proofErr w:type="spellEnd"/>
      <w:r>
        <w:t xml:space="preserve"> addresses are 58 characters long, Stellar </w:t>
      </w:r>
      <w:proofErr w:type="gramStart"/>
      <w:r>
        <w:t>-  56</w:t>
      </w:r>
      <w:proofErr w:type="gramEnd"/>
      <w:r>
        <w:t xml:space="preserve"> characters, while </w:t>
      </w:r>
      <w:proofErr w:type="spellStart"/>
      <w:r>
        <w:t>Cardano</w:t>
      </w:r>
      <w:proofErr w:type="spellEnd"/>
      <w:r>
        <w:t xml:space="preserve"> has 103 characters. </w:t>
      </w:r>
    </w:p>
    <w:p w14:paraId="17AD039E" w14:textId="77777777" w:rsidR="005F4B42" w:rsidRDefault="005F4B42" w:rsidP="005F4B42"/>
    <w:p w14:paraId="3010C3D9" w14:textId="63708E6D" w:rsidR="00FA64BE" w:rsidRDefault="005F4B42" w:rsidP="005F4B42">
      <w:r>
        <w:t>We propose the following: Align prescribed reporting length to SWIFT standards i.e. 140 characters.</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lastRenderedPageBreak/>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lastRenderedPageBreak/>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w:t>
      </w:r>
      <w:r w:rsidRPr="003A287A">
        <w:lastRenderedPageBreak/>
        <w:t xml:space="preserve">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lastRenderedPageBreak/>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xml:space="preserve">: Should a social media or a web-based platform be media reasonably relied upon by the public, what are the risks that you see when using them to </w:t>
      </w:r>
      <w:r w:rsidRPr="003A287A">
        <w:lastRenderedPageBreak/>
        <w:t>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5F57" w14:textId="77777777" w:rsidR="002007B7" w:rsidRDefault="002007B7" w:rsidP="007E7997">
      <w:r>
        <w:separator/>
      </w:r>
    </w:p>
  </w:endnote>
  <w:endnote w:type="continuationSeparator" w:id="0">
    <w:p w14:paraId="497B43C6" w14:textId="77777777" w:rsidR="002007B7" w:rsidRDefault="002007B7" w:rsidP="007E7997">
      <w:r>
        <w:continuationSeparator/>
      </w:r>
    </w:p>
  </w:endnote>
  <w:endnote w:type="continuationNotice" w:id="1">
    <w:p w14:paraId="7746127F" w14:textId="77777777" w:rsidR="002007B7" w:rsidRDefault="00200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F1A3" w14:textId="77777777" w:rsidR="002007B7" w:rsidRDefault="002007B7" w:rsidP="007E7997">
      <w:r>
        <w:separator/>
      </w:r>
    </w:p>
  </w:footnote>
  <w:footnote w:type="continuationSeparator" w:id="0">
    <w:p w14:paraId="0E94B3AD" w14:textId="77777777" w:rsidR="002007B7" w:rsidRDefault="002007B7" w:rsidP="007E7997">
      <w:r>
        <w:continuationSeparator/>
      </w:r>
    </w:p>
  </w:footnote>
  <w:footnote w:type="continuationNotice" w:id="1">
    <w:p w14:paraId="7C30682A" w14:textId="77777777" w:rsidR="002007B7" w:rsidRDefault="00200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5A47"/>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7B7"/>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8C9"/>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3EC9"/>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65F24"/>
    <w:rsid w:val="004708CA"/>
    <w:rsid w:val="004709E7"/>
    <w:rsid w:val="00470ADE"/>
    <w:rsid w:val="004712C7"/>
    <w:rsid w:val="004759EB"/>
    <w:rsid w:val="00477919"/>
    <w:rsid w:val="00482611"/>
    <w:rsid w:val="00482A27"/>
    <w:rsid w:val="0048740E"/>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4F600F"/>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6B2"/>
    <w:rsid w:val="00565193"/>
    <w:rsid w:val="005658DF"/>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B49"/>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6E07"/>
    <w:rsid w:val="005E7969"/>
    <w:rsid w:val="005F0C93"/>
    <w:rsid w:val="005F3F22"/>
    <w:rsid w:val="005F4B4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218"/>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2A4B"/>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325C"/>
    <w:rsid w:val="008157C8"/>
    <w:rsid w:val="008173E2"/>
    <w:rsid w:val="008201C3"/>
    <w:rsid w:val="00820422"/>
    <w:rsid w:val="00820655"/>
    <w:rsid w:val="008227D7"/>
    <w:rsid w:val="008249A1"/>
    <w:rsid w:val="00825D43"/>
    <w:rsid w:val="0082632D"/>
    <w:rsid w:val="008279D3"/>
    <w:rsid w:val="00832500"/>
    <w:rsid w:val="00832787"/>
    <w:rsid w:val="00833000"/>
    <w:rsid w:val="00834B44"/>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1D4B"/>
    <w:rsid w:val="008842F7"/>
    <w:rsid w:val="00885B94"/>
    <w:rsid w:val="0089075A"/>
    <w:rsid w:val="00890F80"/>
    <w:rsid w:val="00892BFD"/>
    <w:rsid w:val="0089338A"/>
    <w:rsid w:val="00894199"/>
    <w:rsid w:val="008948BE"/>
    <w:rsid w:val="008A1E27"/>
    <w:rsid w:val="008A2C86"/>
    <w:rsid w:val="008A4C4C"/>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373B"/>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643E"/>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0F2"/>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0239"/>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A7EB3"/>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06F9"/>
    <w:rsid w:val="00F146BE"/>
    <w:rsid w:val="00F22013"/>
    <w:rsid w:val="00F22356"/>
    <w:rsid w:val="00F226E0"/>
    <w:rsid w:val="00F2522F"/>
    <w:rsid w:val="00F2654B"/>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23</TotalTime>
  <Pages>24</Pages>
  <Words>6035</Words>
  <Characters>34406</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Andrey MARTOVOY</cp:lastModifiedBy>
  <cp:revision>36</cp:revision>
  <cp:lastPrinted>2017-07-24T14:47:00Z</cp:lastPrinted>
  <dcterms:created xsi:type="dcterms:W3CDTF">2023-09-18T15:22:00Z</dcterms:created>
  <dcterms:modified xsi:type="dcterms:W3CDTF">2023-12-14T21:12:00Z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