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tulo"/>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tulo"/>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tulo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tu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rrafodelist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Prrafodelist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Ttulo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6587087F" w:rsidR="00C85C8B" w:rsidRPr="00B16706" w:rsidRDefault="00D34638" w:rsidP="00C85C8B">
                <w:pPr>
                  <w:rPr>
                    <w:rFonts w:ascii="Arial" w:hAnsi="Arial" w:cs="Arial"/>
                    <w:color w:val="808080"/>
                    <w:sz w:val="16"/>
                    <w:szCs w:val="20"/>
                    <w:lang w:eastAsia="de-DE"/>
                  </w:rPr>
                </w:pPr>
                <w:r>
                  <w:rPr>
                    <w:rFonts w:ascii="Arial" w:hAnsi="Arial" w:cs="Arial"/>
                    <w:color w:val="808080"/>
                    <w:sz w:val="16"/>
                    <w:szCs w:val="20"/>
                    <w:lang w:eastAsia="de-DE"/>
                  </w:rPr>
                  <w:t>CONSORCIO RED ALASTRIA</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2BA9489"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66BB5">
                  <w:rPr>
                    <w:rFonts w:ascii="Arial" w:hAnsi="Arial" w:cs="Arial"/>
                    <w:sz w:val="16"/>
                    <w:szCs w:val="20"/>
                    <w:lang w:eastAsia="de-DE"/>
                  </w:rPr>
                  <w:t>Non-financial counterparty</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5CF87AB6" w:rsidR="00C85C8B" w:rsidRPr="00B16706" w:rsidRDefault="005A7D08"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13954047" w:rsidR="00C85C8B" w:rsidRPr="00B16706" w:rsidRDefault="00D34638" w:rsidP="00C85C8B">
                <w:pPr>
                  <w:rPr>
                    <w:rFonts w:ascii="Arial" w:hAnsi="Arial" w:cs="Arial"/>
                    <w:sz w:val="16"/>
                    <w:szCs w:val="20"/>
                    <w:lang w:eastAsia="de-DE"/>
                  </w:rPr>
                </w:pPr>
                <w:r>
                  <w:rPr>
                    <w:rFonts w:ascii="Arial" w:hAnsi="Arial" w:cs="Arial"/>
                    <w:sz w:val="16"/>
                    <w:szCs w:val="20"/>
                    <w:lang w:eastAsia="de-DE"/>
                  </w:rPr>
                  <w:t>Spain</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6E7553AC" w14:textId="77777777" w:rsidR="000E7022" w:rsidRPr="00F44D92" w:rsidRDefault="000E7022" w:rsidP="000E7022">
      <w:pPr>
        <w:pStyle w:val="Default"/>
        <w:jc w:val="both"/>
        <w:rPr>
          <w:rFonts w:asciiTheme="minorHAnsi" w:hAnsiTheme="minorHAnsi" w:cstheme="minorHAnsi"/>
          <w:i/>
          <w:color w:val="0F0F0F"/>
          <w:lang w:val="en-GB"/>
        </w:rPr>
      </w:pPr>
      <w:permStart w:id="212889190" w:edGrp="everyone"/>
      <w:r w:rsidRPr="00F44D92">
        <w:rPr>
          <w:rFonts w:asciiTheme="minorHAnsi" w:hAnsiTheme="minorHAnsi" w:cstheme="minorHAnsi"/>
          <w:i/>
          <w:color w:val="0F0F0F"/>
          <w:lang w:val="en-GB"/>
        </w:rPr>
        <w:t xml:space="preserve">Response </w:t>
      </w:r>
    </w:p>
    <w:p w14:paraId="2617E18D" w14:textId="77777777" w:rsidR="000E7022" w:rsidRPr="00F44D92" w:rsidRDefault="000E7022" w:rsidP="000E7022">
      <w:pPr>
        <w:pStyle w:val="Default"/>
        <w:jc w:val="both"/>
        <w:rPr>
          <w:rFonts w:asciiTheme="minorHAnsi" w:hAnsiTheme="minorHAnsi" w:cstheme="minorHAnsi"/>
          <w:color w:val="0F0F0F"/>
          <w:lang w:val="en-GB"/>
        </w:rPr>
      </w:pPr>
    </w:p>
    <w:p w14:paraId="7D349FA2" w14:textId="77777777" w:rsidR="000E7022" w:rsidRPr="00F44D92" w:rsidRDefault="000E7022" w:rsidP="000E7022">
      <w:pPr>
        <w:pStyle w:val="Default"/>
        <w:jc w:val="both"/>
        <w:rPr>
          <w:rFonts w:asciiTheme="minorHAnsi" w:hAnsiTheme="minorHAnsi" w:cstheme="minorHAnsi"/>
          <w:color w:val="0F0F0F"/>
          <w:lang w:val="en-GB"/>
        </w:rPr>
      </w:pPr>
      <w:r w:rsidRPr="00F44D92">
        <w:rPr>
          <w:rFonts w:asciiTheme="minorHAnsi" w:hAnsiTheme="minorHAnsi" w:cstheme="minorHAnsi"/>
          <w:color w:val="0F0F0F"/>
          <w:lang w:val="en-GB"/>
        </w:rPr>
        <w:t xml:space="preserve">No. </w:t>
      </w:r>
    </w:p>
    <w:p w14:paraId="66DCF9A4" w14:textId="77777777" w:rsidR="000E7022" w:rsidRPr="00F44D92" w:rsidRDefault="000E7022" w:rsidP="000E7022">
      <w:pPr>
        <w:pStyle w:val="Default"/>
        <w:jc w:val="both"/>
        <w:rPr>
          <w:rFonts w:asciiTheme="minorHAnsi" w:hAnsiTheme="minorHAnsi" w:cstheme="minorHAnsi"/>
          <w:color w:val="0F0F0F"/>
          <w:lang w:val="en-GB"/>
        </w:rPr>
      </w:pPr>
    </w:p>
    <w:p w14:paraId="46620914" w14:textId="77777777" w:rsidR="000E7022" w:rsidRPr="00F44D92" w:rsidRDefault="000E7022" w:rsidP="000E7022">
      <w:pPr>
        <w:pStyle w:val="Default"/>
        <w:jc w:val="both"/>
        <w:rPr>
          <w:rFonts w:asciiTheme="minorHAnsi" w:hAnsiTheme="minorHAnsi" w:cstheme="minorHAnsi"/>
          <w:i/>
          <w:color w:val="0F0F0F"/>
          <w:lang w:val="en-GB"/>
        </w:rPr>
      </w:pPr>
      <w:r w:rsidRPr="00F44D92">
        <w:rPr>
          <w:rFonts w:asciiTheme="minorHAnsi" w:hAnsiTheme="minorHAnsi" w:cstheme="minorHAnsi"/>
          <w:i/>
          <w:color w:val="0F0F0F"/>
          <w:lang w:val="en-GB"/>
        </w:rPr>
        <w:t>Rationale</w:t>
      </w:r>
    </w:p>
    <w:p w14:paraId="3A0331D0" w14:textId="77777777" w:rsidR="000E7022" w:rsidRPr="00F44D92" w:rsidRDefault="000E7022" w:rsidP="000E7022">
      <w:pPr>
        <w:pStyle w:val="Default"/>
        <w:jc w:val="both"/>
        <w:rPr>
          <w:rFonts w:asciiTheme="minorHAnsi" w:hAnsiTheme="minorHAnsi" w:cstheme="minorHAnsi"/>
          <w:color w:val="0F0F0F"/>
          <w:lang w:val="en-GB"/>
        </w:rPr>
      </w:pPr>
    </w:p>
    <w:p w14:paraId="279AC178" w14:textId="77777777" w:rsidR="000E7022" w:rsidRPr="00F44D92" w:rsidRDefault="000E7022" w:rsidP="000E7022">
      <w:pPr>
        <w:pStyle w:val="Default"/>
        <w:jc w:val="both"/>
        <w:rPr>
          <w:rFonts w:asciiTheme="minorHAnsi" w:hAnsiTheme="minorHAnsi" w:cstheme="minorHAnsi"/>
          <w:color w:val="0F0F0F"/>
          <w:lang w:val="en-GB"/>
        </w:rPr>
      </w:pPr>
      <w:r w:rsidRPr="00F44D92">
        <w:rPr>
          <w:rFonts w:asciiTheme="minorHAnsi" w:hAnsiTheme="minorHAnsi" w:cstheme="minorHAnsi"/>
          <w:color w:val="0F0F0F"/>
          <w:lang w:val="en-GB"/>
        </w:rPr>
        <w:t xml:space="preserve">Sustainability disclosures (recital 7 </w:t>
      </w:r>
      <w:proofErr w:type="spellStart"/>
      <w:r w:rsidRPr="00F44D92">
        <w:rPr>
          <w:rFonts w:asciiTheme="minorHAnsi" w:hAnsiTheme="minorHAnsi" w:cstheme="minorHAnsi"/>
          <w:color w:val="0F0F0F"/>
          <w:lang w:val="en-GB"/>
        </w:rPr>
        <w:t>MiCA</w:t>
      </w:r>
      <w:proofErr w:type="spellEnd"/>
      <w:r w:rsidRPr="00F44D92">
        <w:rPr>
          <w:rFonts w:asciiTheme="minorHAnsi" w:hAnsiTheme="minorHAnsi" w:cstheme="minorHAnsi"/>
          <w:color w:val="0F0F0F"/>
          <w:lang w:val="en-GB"/>
        </w:rPr>
        <w:t>) aim to inform the public with environmental adverse impacts. But consensus-mechanism solutions given by public-</w:t>
      </w:r>
      <w:proofErr w:type="gramStart"/>
      <w:r w:rsidRPr="00F44D92">
        <w:rPr>
          <w:rFonts w:asciiTheme="minorHAnsi" w:hAnsiTheme="minorHAnsi" w:cstheme="minorHAnsi"/>
          <w:color w:val="0F0F0F"/>
          <w:lang w:val="en-GB"/>
        </w:rPr>
        <w:t>permissioned  DLT</w:t>
      </w:r>
      <w:proofErr w:type="gramEnd"/>
      <w:r w:rsidRPr="00F44D92">
        <w:rPr>
          <w:rFonts w:asciiTheme="minorHAnsi" w:hAnsiTheme="minorHAnsi" w:cstheme="minorHAnsi"/>
          <w:color w:val="0F0F0F"/>
          <w:lang w:val="en-GB"/>
        </w:rPr>
        <w:t xml:space="preserve"> networks commonly used in </w:t>
      </w:r>
      <w:proofErr w:type="spellStart"/>
      <w:r w:rsidRPr="00F44D92">
        <w:rPr>
          <w:rFonts w:asciiTheme="minorHAnsi" w:hAnsiTheme="minorHAnsi" w:cstheme="minorHAnsi"/>
          <w:color w:val="0F0F0F"/>
          <w:lang w:val="en-GB"/>
        </w:rPr>
        <w:t>DeFi</w:t>
      </w:r>
      <w:proofErr w:type="spellEnd"/>
      <w:r w:rsidRPr="00F44D92">
        <w:rPr>
          <w:rFonts w:asciiTheme="minorHAnsi" w:hAnsiTheme="minorHAnsi" w:cstheme="minorHAnsi"/>
          <w:color w:val="0F0F0F"/>
          <w:lang w:val="en-GB"/>
        </w:rPr>
        <w:t xml:space="preserve"> or DLT-TX industrial practice are friendly enough, since mining to find out nonces (as in </w:t>
      </w:r>
      <w:proofErr w:type="spellStart"/>
      <w:r w:rsidRPr="00F44D92">
        <w:rPr>
          <w:rFonts w:asciiTheme="minorHAnsi" w:hAnsiTheme="minorHAnsi" w:cstheme="minorHAnsi"/>
          <w:color w:val="0F0F0F"/>
          <w:lang w:val="en-GB"/>
        </w:rPr>
        <w:t>PoW</w:t>
      </w:r>
      <w:proofErr w:type="spellEnd"/>
      <w:r w:rsidRPr="00F44D92">
        <w:rPr>
          <w:rFonts w:asciiTheme="minorHAnsi" w:hAnsiTheme="minorHAnsi" w:cstheme="minorHAnsi"/>
          <w:color w:val="0F0F0F"/>
          <w:lang w:val="en-GB"/>
        </w:rPr>
        <w:t xml:space="preserve"> block validation) is not required in Ethereum and other similar DLT-network protocols. Gas-transaction environmental impact is reduced, thus making </w:t>
      </w:r>
      <w:proofErr w:type="spellStart"/>
      <w:r w:rsidRPr="00F44D92">
        <w:rPr>
          <w:rFonts w:asciiTheme="minorHAnsi" w:hAnsiTheme="minorHAnsi" w:cstheme="minorHAnsi"/>
          <w:color w:val="0F0F0F"/>
          <w:lang w:val="en-GB"/>
        </w:rPr>
        <w:t>improductive</w:t>
      </w:r>
      <w:proofErr w:type="spellEnd"/>
      <w:r w:rsidRPr="00F44D92">
        <w:rPr>
          <w:rFonts w:asciiTheme="minorHAnsi" w:hAnsiTheme="minorHAnsi" w:cstheme="minorHAnsi"/>
          <w:color w:val="0F0F0F"/>
          <w:lang w:val="en-GB"/>
        </w:rPr>
        <w:t xml:space="preserve"> the extra effort suggested to </w:t>
      </w:r>
      <w:proofErr w:type="spellStart"/>
      <w:r w:rsidRPr="00F44D92">
        <w:rPr>
          <w:rFonts w:asciiTheme="minorHAnsi" w:hAnsiTheme="minorHAnsi" w:cstheme="minorHAnsi"/>
          <w:color w:val="0F0F0F"/>
          <w:lang w:val="en-GB"/>
        </w:rPr>
        <w:t>depoly</w:t>
      </w:r>
      <w:proofErr w:type="spellEnd"/>
      <w:r w:rsidRPr="00F44D92">
        <w:rPr>
          <w:rFonts w:asciiTheme="minorHAnsi" w:hAnsiTheme="minorHAnsi" w:cstheme="minorHAnsi"/>
          <w:color w:val="0F0F0F"/>
          <w:lang w:val="en-GB"/>
        </w:rPr>
        <w:t xml:space="preserve"> “more environmentally friendly” solutions (ibidem) in terms of identification and disclosure of adverse impacts, precisely under the invoked proportionality principle.  </w:t>
      </w:r>
    </w:p>
    <w:p w14:paraId="76FCE850" w14:textId="77777777" w:rsidR="000E7022" w:rsidRPr="00F44D92" w:rsidRDefault="000E7022" w:rsidP="000E7022">
      <w:pPr>
        <w:pStyle w:val="Default"/>
        <w:jc w:val="both"/>
        <w:rPr>
          <w:rFonts w:asciiTheme="minorHAnsi" w:hAnsiTheme="minorHAnsi" w:cstheme="minorHAnsi"/>
          <w:color w:val="0F0F0F"/>
          <w:lang w:val="en-GB"/>
        </w:rPr>
      </w:pPr>
    </w:p>
    <w:p w14:paraId="5F694F74" w14:textId="77777777" w:rsidR="000E7022" w:rsidRPr="00F44D92" w:rsidRDefault="000E7022" w:rsidP="000E7022">
      <w:pPr>
        <w:pStyle w:val="Default"/>
        <w:jc w:val="both"/>
        <w:rPr>
          <w:rFonts w:asciiTheme="minorHAnsi" w:hAnsiTheme="minorHAnsi" w:cstheme="minorHAnsi"/>
          <w:i/>
          <w:color w:val="0F0F0F"/>
          <w:lang w:val="en-GB"/>
        </w:rPr>
      </w:pPr>
      <w:r w:rsidRPr="00F44D92">
        <w:rPr>
          <w:rFonts w:asciiTheme="minorHAnsi" w:hAnsiTheme="minorHAnsi" w:cstheme="minorHAnsi"/>
          <w:i/>
          <w:color w:val="0F0F0F"/>
          <w:lang w:val="en-GB"/>
        </w:rPr>
        <w:t>Alternatives</w:t>
      </w:r>
    </w:p>
    <w:p w14:paraId="661A01DC" w14:textId="77777777" w:rsidR="000E7022" w:rsidRPr="00F44D92" w:rsidRDefault="000E7022" w:rsidP="000E7022">
      <w:pPr>
        <w:pStyle w:val="Default"/>
        <w:jc w:val="both"/>
        <w:rPr>
          <w:rFonts w:asciiTheme="minorHAnsi" w:hAnsiTheme="minorHAnsi" w:cstheme="minorHAnsi"/>
          <w:color w:val="0F0F0F"/>
          <w:lang w:val="en-GB"/>
        </w:rPr>
      </w:pPr>
    </w:p>
    <w:p w14:paraId="0EC64445" w14:textId="77777777" w:rsidR="000E7022" w:rsidRDefault="000E7022" w:rsidP="000E7022">
      <w:pPr>
        <w:pStyle w:val="Default"/>
        <w:jc w:val="both"/>
        <w:rPr>
          <w:rFonts w:asciiTheme="minorHAnsi" w:hAnsiTheme="minorHAnsi" w:cstheme="minorHAnsi"/>
          <w:color w:val="0F0F0F"/>
          <w:lang w:val="en-GB"/>
        </w:rPr>
      </w:pPr>
      <w:r w:rsidRPr="00F44D92">
        <w:rPr>
          <w:rFonts w:asciiTheme="minorHAnsi" w:hAnsiTheme="minorHAnsi" w:cstheme="minorHAnsi"/>
          <w:color w:val="0F0F0F"/>
          <w:lang w:val="en-GB"/>
        </w:rPr>
        <w:t xml:space="preserve">RTS within the context of Articles 6(12), 19 (11), 51 (15) and 66 (6) of </w:t>
      </w:r>
      <w:proofErr w:type="spellStart"/>
      <w:r w:rsidRPr="00F44D92">
        <w:rPr>
          <w:rFonts w:asciiTheme="minorHAnsi" w:hAnsiTheme="minorHAnsi" w:cstheme="minorHAnsi"/>
          <w:color w:val="0F0F0F"/>
          <w:lang w:val="en-GB"/>
        </w:rPr>
        <w:t>MiCA</w:t>
      </w:r>
      <w:proofErr w:type="spellEnd"/>
      <w:r w:rsidRPr="00F44D92">
        <w:rPr>
          <w:rFonts w:asciiTheme="minorHAnsi" w:hAnsiTheme="minorHAnsi" w:cstheme="minorHAnsi"/>
          <w:color w:val="0F0F0F"/>
          <w:lang w:val="en-GB"/>
        </w:rPr>
        <w:t xml:space="preserve"> should simplify contents, methods and disclosed items and indicators on energy (renewable or not), waste and gas emissions.</w:t>
      </w:r>
    </w:p>
    <w:p w14:paraId="46DF4B3A" w14:textId="77777777" w:rsidR="00A33CA7" w:rsidRDefault="00A33CA7" w:rsidP="000E7022">
      <w:pPr>
        <w:pStyle w:val="Default"/>
        <w:jc w:val="both"/>
        <w:rPr>
          <w:rFonts w:asciiTheme="minorHAnsi" w:hAnsiTheme="minorHAnsi" w:cstheme="minorHAnsi"/>
          <w:color w:val="0F0F0F"/>
          <w:lang w:val="en-GB"/>
        </w:rPr>
      </w:pPr>
    </w:p>
    <w:p w14:paraId="54B6A6DE" w14:textId="1B9E567F" w:rsidR="00A33CA7" w:rsidRPr="00A70C18" w:rsidRDefault="00A33CA7" w:rsidP="000E7022">
      <w:pPr>
        <w:pStyle w:val="Default"/>
        <w:jc w:val="both"/>
        <w:rPr>
          <w:rFonts w:asciiTheme="minorHAnsi" w:hAnsiTheme="minorHAnsi" w:cstheme="minorHAnsi"/>
          <w:color w:val="0F0F0F"/>
          <w:lang w:val="en-GB"/>
        </w:rPr>
      </w:pPr>
      <w:r w:rsidRPr="00A33CA7">
        <w:rPr>
          <w:rFonts w:asciiTheme="minorHAnsi" w:hAnsiTheme="minorHAnsi" w:cstheme="minorHAnsi"/>
          <w:color w:val="0F0F0F"/>
          <w:lang w:val="en-GB"/>
        </w:rPr>
        <w:t xml:space="preserve">At the same time, </w:t>
      </w:r>
      <w:proofErr w:type="spellStart"/>
      <w:r w:rsidRPr="00A33CA7">
        <w:rPr>
          <w:rFonts w:asciiTheme="minorHAnsi" w:hAnsiTheme="minorHAnsi" w:cstheme="minorHAnsi"/>
          <w:color w:val="0F0F0F"/>
          <w:lang w:val="en-GB"/>
        </w:rPr>
        <w:t>PoW</w:t>
      </w:r>
      <w:proofErr w:type="spellEnd"/>
      <w:r w:rsidRPr="00A33CA7">
        <w:rPr>
          <w:rFonts w:asciiTheme="minorHAnsi" w:hAnsiTheme="minorHAnsi" w:cstheme="minorHAnsi"/>
          <w:color w:val="0F0F0F"/>
          <w:lang w:val="en-GB"/>
        </w:rPr>
        <w:t xml:space="preserve"> to </w:t>
      </w:r>
      <w:proofErr w:type="spellStart"/>
      <w:r w:rsidRPr="00A33CA7">
        <w:rPr>
          <w:rFonts w:asciiTheme="minorHAnsi" w:hAnsiTheme="minorHAnsi" w:cstheme="minorHAnsi"/>
          <w:color w:val="0F0F0F"/>
          <w:lang w:val="en-GB"/>
        </w:rPr>
        <w:t>PoS</w:t>
      </w:r>
      <w:proofErr w:type="spellEnd"/>
      <w:r w:rsidRPr="00A33CA7">
        <w:rPr>
          <w:rFonts w:asciiTheme="minorHAnsi" w:hAnsiTheme="minorHAnsi" w:cstheme="minorHAnsi"/>
          <w:color w:val="0F0F0F"/>
          <w:lang w:val="en-GB"/>
        </w:rPr>
        <w:t xml:space="preserve"> migrations done in Ethereum (The Merge) have reduced the energy consumption in 99,9% as declared by Ethereum Foundation. Similar migrations are expected in other </w:t>
      </w:r>
      <w:proofErr w:type="spellStart"/>
      <w:r w:rsidRPr="00A33CA7">
        <w:rPr>
          <w:rFonts w:asciiTheme="minorHAnsi" w:hAnsiTheme="minorHAnsi" w:cstheme="minorHAnsi"/>
          <w:color w:val="0F0F0F"/>
          <w:lang w:val="en-GB"/>
        </w:rPr>
        <w:t>PoW</w:t>
      </w:r>
      <w:proofErr w:type="spellEnd"/>
      <w:r w:rsidRPr="00A33CA7">
        <w:rPr>
          <w:rFonts w:asciiTheme="minorHAnsi" w:hAnsiTheme="minorHAnsi" w:cstheme="minorHAnsi"/>
          <w:color w:val="0F0F0F"/>
          <w:lang w:val="en-GB"/>
        </w:rPr>
        <w:t xml:space="preserve">-based networks, including BTC. At the same time, and even BTC continuing being </w:t>
      </w:r>
      <w:proofErr w:type="spellStart"/>
      <w:r w:rsidRPr="00A33CA7">
        <w:rPr>
          <w:rFonts w:asciiTheme="minorHAnsi" w:hAnsiTheme="minorHAnsi" w:cstheme="minorHAnsi"/>
          <w:color w:val="0F0F0F"/>
          <w:lang w:val="en-GB"/>
        </w:rPr>
        <w:t>PoW</w:t>
      </w:r>
      <w:proofErr w:type="spellEnd"/>
      <w:r w:rsidRPr="00A33CA7">
        <w:rPr>
          <w:rFonts w:asciiTheme="minorHAnsi" w:hAnsiTheme="minorHAnsi" w:cstheme="minorHAnsi"/>
          <w:color w:val="0F0F0F"/>
          <w:lang w:val="en-GB"/>
        </w:rPr>
        <w:t xml:space="preserve">, it uses stranded energy not used for other purpose, hence environmental impact is lesser. However, we support and welcome the decision of including the </w:t>
      </w:r>
      <w:proofErr w:type="spellStart"/>
      <w:r w:rsidRPr="00A33CA7">
        <w:rPr>
          <w:rFonts w:asciiTheme="minorHAnsi" w:hAnsiTheme="minorHAnsi" w:cstheme="minorHAnsi"/>
          <w:color w:val="0F0F0F"/>
          <w:lang w:val="en-GB"/>
        </w:rPr>
        <w:t>cryptoindustry</w:t>
      </w:r>
      <w:proofErr w:type="spellEnd"/>
      <w:r w:rsidRPr="00A33CA7">
        <w:rPr>
          <w:rFonts w:asciiTheme="minorHAnsi" w:hAnsiTheme="minorHAnsi" w:cstheme="minorHAnsi"/>
          <w:color w:val="0F0F0F"/>
          <w:lang w:val="en-GB"/>
        </w:rPr>
        <w:t xml:space="preserve"> in the 2025 ESG targets.</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7B75ED63" w14:textId="77777777" w:rsidR="00CA0C1F" w:rsidRPr="00A70C18" w:rsidRDefault="00CA0C1F" w:rsidP="00CA0C1F">
      <w:pPr>
        <w:pStyle w:val="Default"/>
        <w:jc w:val="both"/>
        <w:rPr>
          <w:rFonts w:asciiTheme="minorHAnsi" w:hAnsiTheme="minorHAnsi" w:cstheme="minorHAnsi"/>
          <w:i/>
          <w:color w:val="0F0F0F"/>
          <w:lang w:val="en-GB"/>
        </w:rPr>
      </w:pPr>
      <w:permStart w:id="1220439445" w:edGrp="everyone"/>
      <w:r w:rsidRPr="00A70C18">
        <w:rPr>
          <w:rFonts w:asciiTheme="minorHAnsi" w:hAnsiTheme="minorHAnsi" w:cstheme="minorHAnsi"/>
          <w:i/>
          <w:color w:val="0F0F0F"/>
          <w:lang w:val="en-GB"/>
        </w:rPr>
        <w:t>Response</w:t>
      </w:r>
    </w:p>
    <w:p w14:paraId="7620EC04" w14:textId="77777777" w:rsidR="00CA0C1F" w:rsidRPr="00A70C18" w:rsidRDefault="00CA0C1F" w:rsidP="00CA0C1F">
      <w:pPr>
        <w:pStyle w:val="Default"/>
        <w:jc w:val="both"/>
        <w:rPr>
          <w:rFonts w:asciiTheme="minorHAnsi" w:hAnsiTheme="minorHAnsi" w:cstheme="minorHAnsi"/>
          <w:color w:val="0F0F0F"/>
          <w:lang w:val="en-GB"/>
        </w:rPr>
      </w:pPr>
    </w:p>
    <w:p w14:paraId="680B5BCC" w14:textId="77777777" w:rsidR="00CA0C1F" w:rsidRPr="00A70C18" w:rsidRDefault="00CA0C1F" w:rsidP="00CA0C1F">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The most relevant features, from the view of the DLT -blockchain- consulted legal and ICT experts in the Alastria ecosystems, are: </w:t>
      </w:r>
    </w:p>
    <w:p w14:paraId="16CD952D" w14:textId="77777777" w:rsidR="00CA0C1F" w:rsidRPr="00A70C18" w:rsidRDefault="00CA0C1F" w:rsidP="00CA0C1F">
      <w:pPr>
        <w:pStyle w:val="Default"/>
        <w:jc w:val="both"/>
        <w:rPr>
          <w:rFonts w:asciiTheme="minorHAnsi" w:hAnsiTheme="minorHAnsi" w:cstheme="minorHAnsi"/>
          <w:color w:val="0F0F0F"/>
          <w:lang w:val="en-GB"/>
        </w:rPr>
      </w:pPr>
    </w:p>
    <w:p w14:paraId="67E0A0AF" w14:textId="77777777" w:rsidR="00CA0C1F" w:rsidRPr="00A70C18" w:rsidRDefault="00CA0C1F" w:rsidP="00CA0C1F">
      <w:pPr>
        <w:pStyle w:val="Default"/>
        <w:numPr>
          <w:ilvl w:val="0"/>
          <w:numId w:val="31"/>
        </w:numPr>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The type of </w:t>
      </w:r>
      <w:r w:rsidRPr="00A70C18">
        <w:rPr>
          <w:rFonts w:asciiTheme="minorHAnsi" w:hAnsiTheme="minorHAnsi" w:cstheme="minorHAnsi"/>
          <w:i/>
          <w:color w:val="0F0F0F"/>
          <w:lang w:val="en-GB"/>
        </w:rPr>
        <w:t>proof</w:t>
      </w:r>
      <w:r w:rsidRPr="00A70C18">
        <w:rPr>
          <w:rFonts w:asciiTheme="minorHAnsi" w:hAnsiTheme="minorHAnsi" w:cstheme="minorHAnsi"/>
          <w:color w:val="0F0F0F"/>
          <w:lang w:val="en-GB"/>
        </w:rPr>
        <w:t xml:space="preserve"> </w:t>
      </w:r>
      <w:proofErr w:type="spellStart"/>
      <w:r w:rsidRPr="00A70C18">
        <w:rPr>
          <w:rFonts w:asciiTheme="minorHAnsi" w:hAnsiTheme="minorHAnsi" w:cstheme="minorHAnsi"/>
          <w:color w:val="0F0F0F"/>
          <w:lang w:val="en-GB"/>
        </w:rPr>
        <w:t>undelying</w:t>
      </w:r>
      <w:proofErr w:type="spellEnd"/>
      <w:r w:rsidRPr="00A70C18">
        <w:rPr>
          <w:rFonts w:asciiTheme="minorHAnsi" w:hAnsiTheme="minorHAnsi" w:cstheme="minorHAnsi"/>
          <w:color w:val="0F0F0F"/>
          <w:lang w:val="en-GB"/>
        </w:rPr>
        <w:t xml:space="preserve"> the consensus and utilised to perform and gather the blocks </w:t>
      </w:r>
      <w:proofErr w:type="spellStart"/>
      <w:r w:rsidRPr="00A70C18">
        <w:rPr>
          <w:rFonts w:asciiTheme="minorHAnsi" w:hAnsiTheme="minorHAnsi" w:cstheme="minorHAnsi"/>
          <w:color w:val="0F0F0F"/>
          <w:lang w:val="en-GB"/>
        </w:rPr>
        <w:t>onchain</w:t>
      </w:r>
      <w:proofErr w:type="spellEnd"/>
      <w:r w:rsidRPr="00A70C18">
        <w:rPr>
          <w:rFonts w:asciiTheme="minorHAnsi" w:hAnsiTheme="minorHAnsi" w:cstheme="minorHAnsi"/>
          <w:color w:val="0F0F0F"/>
          <w:lang w:val="en-GB"/>
        </w:rPr>
        <w:t>. This is a complex feature encompassing the structure of consensus in accordance with number and types of nodes (validators and other), node rotation and substitution, node access to the network, governance of the network and inner DLT-network architecture, among other key factors.</w:t>
      </w:r>
    </w:p>
    <w:p w14:paraId="2F814266" w14:textId="77777777" w:rsidR="00CA0C1F" w:rsidRPr="00A70C18" w:rsidRDefault="00CA0C1F" w:rsidP="00CA0C1F">
      <w:pPr>
        <w:pStyle w:val="Default"/>
        <w:ind w:left="720"/>
        <w:jc w:val="both"/>
        <w:rPr>
          <w:rFonts w:asciiTheme="minorHAnsi" w:hAnsiTheme="minorHAnsi" w:cstheme="minorHAnsi"/>
          <w:color w:val="0F0F0F"/>
          <w:lang w:val="en-GB"/>
        </w:rPr>
      </w:pPr>
    </w:p>
    <w:p w14:paraId="0CDD2151" w14:textId="77777777" w:rsidR="00CA0C1F" w:rsidRPr="00A70C18" w:rsidRDefault="00CA0C1F" w:rsidP="00CA0C1F">
      <w:pPr>
        <w:pStyle w:val="Default"/>
        <w:numPr>
          <w:ilvl w:val="0"/>
          <w:numId w:val="31"/>
        </w:numPr>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The existence on an economic incentive for mining coins thus requiring computational effort to fulfil the conditions implicit in the execution of the proof (e. g. </w:t>
      </w:r>
      <w:proofErr w:type="spellStart"/>
      <w:r w:rsidRPr="00A70C18">
        <w:rPr>
          <w:rFonts w:asciiTheme="minorHAnsi" w:hAnsiTheme="minorHAnsi" w:cstheme="minorHAnsi"/>
          <w:color w:val="0F0F0F"/>
          <w:lang w:val="en-GB"/>
        </w:rPr>
        <w:t>PoW</w:t>
      </w:r>
      <w:proofErr w:type="spellEnd"/>
      <w:r w:rsidRPr="00A70C18">
        <w:rPr>
          <w:rFonts w:asciiTheme="minorHAnsi" w:hAnsiTheme="minorHAnsi" w:cstheme="minorHAnsi"/>
          <w:color w:val="0F0F0F"/>
          <w:lang w:val="en-GB"/>
        </w:rPr>
        <w:t>)</w:t>
      </w:r>
    </w:p>
    <w:p w14:paraId="1A53E73C" w14:textId="77777777" w:rsidR="00CA0C1F" w:rsidRPr="00A70C18" w:rsidRDefault="00CA0C1F" w:rsidP="00CA0C1F">
      <w:pPr>
        <w:pStyle w:val="Prrafodelista"/>
        <w:numPr>
          <w:ilvl w:val="0"/>
          <w:numId w:val="0"/>
        </w:numPr>
        <w:ind w:left="1068"/>
        <w:rPr>
          <w:color w:val="0F0F0F"/>
        </w:rPr>
      </w:pPr>
    </w:p>
    <w:p w14:paraId="1FDAB53A" w14:textId="77777777" w:rsidR="00CA0C1F" w:rsidRPr="00A70C18" w:rsidRDefault="00CA0C1F" w:rsidP="00CA0C1F">
      <w:pPr>
        <w:pStyle w:val="Default"/>
        <w:numPr>
          <w:ilvl w:val="0"/>
          <w:numId w:val="31"/>
        </w:numPr>
        <w:jc w:val="both"/>
        <w:rPr>
          <w:rFonts w:asciiTheme="minorHAnsi" w:hAnsiTheme="minorHAnsi" w:cstheme="minorHAnsi"/>
          <w:color w:val="0F0F0F"/>
          <w:lang w:val="en-GB"/>
        </w:rPr>
      </w:pPr>
      <w:r w:rsidRPr="00A70C18">
        <w:rPr>
          <w:rFonts w:asciiTheme="minorHAnsi" w:hAnsiTheme="minorHAnsi" w:cstheme="minorHAnsi"/>
          <w:color w:val="0F0F0F"/>
          <w:lang w:val="en-GB"/>
        </w:rPr>
        <w:t>The cost and extension of the gas permissioned in the case of permissioned networks, including the limits of authorised gas (e. g. Alastria networks in Quorum / Ethereum T and B networks), within an IBFT context (see below, Rationale).</w:t>
      </w:r>
    </w:p>
    <w:p w14:paraId="2467300A" w14:textId="77777777" w:rsidR="00CA0C1F" w:rsidRPr="00A70C18" w:rsidRDefault="00CA0C1F" w:rsidP="00CA0C1F">
      <w:pPr>
        <w:pStyle w:val="Prrafodelista"/>
        <w:numPr>
          <w:ilvl w:val="0"/>
          <w:numId w:val="0"/>
        </w:numPr>
        <w:ind w:left="1068"/>
        <w:rPr>
          <w:color w:val="0F0F0F"/>
        </w:rPr>
      </w:pPr>
    </w:p>
    <w:p w14:paraId="25AAAB6D" w14:textId="77777777" w:rsidR="00CA0C1F" w:rsidRPr="005F0340" w:rsidRDefault="00CA0C1F" w:rsidP="00CA0C1F">
      <w:pPr>
        <w:pStyle w:val="Default"/>
        <w:numPr>
          <w:ilvl w:val="0"/>
          <w:numId w:val="31"/>
        </w:numPr>
        <w:jc w:val="both"/>
        <w:rPr>
          <w:rFonts w:asciiTheme="minorHAnsi" w:hAnsiTheme="minorHAnsi" w:cstheme="minorHAnsi"/>
          <w:color w:val="0F0F0F"/>
          <w:lang w:val="en-GB"/>
        </w:rPr>
      </w:pPr>
      <w:r w:rsidRPr="005F0340">
        <w:rPr>
          <w:rFonts w:asciiTheme="minorHAnsi" w:hAnsiTheme="minorHAnsi" w:cstheme="minorHAnsi"/>
          <w:color w:val="0F0F0F"/>
          <w:lang w:val="en-GB"/>
        </w:rPr>
        <w:t>A variety of specific economic (</w:t>
      </w:r>
      <w:proofErr w:type="gramStart"/>
      <w:r w:rsidRPr="005F0340">
        <w:rPr>
          <w:rFonts w:asciiTheme="minorHAnsi" w:hAnsiTheme="minorHAnsi" w:cstheme="minorHAnsi"/>
          <w:color w:val="0F0F0F"/>
          <w:lang w:val="en-GB"/>
        </w:rPr>
        <w:t>and  potentially</w:t>
      </w:r>
      <w:proofErr w:type="gramEnd"/>
      <w:r w:rsidRPr="005F0340">
        <w:rPr>
          <w:rFonts w:asciiTheme="minorHAnsi" w:hAnsiTheme="minorHAnsi" w:cstheme="minorHAnsi"/>
          <w:color w:val="0F0F0F"/>
          <w:lang w:val="en-GB"/>
        </w:rPr>
        <w:t xml:space="preserve"> social) contractual incentives granted for the obtention of consensus or for the performance of blocks (e. g. stakes in </w:t>
      </w:r>
      <w:r w:rsidRPr="005F0340">
        <w:rPr>
          <w:rFonts w:asciiTheme="minorHAnsi" w:hAnsiTheme="minorHAnsi" w:cstheme="minorHAnsi"/>
          <w:i/>
          <w:color w:val="0F0F0F"/>
          <w:lang w:val="en-GB"/>
        </w:rPr>
        <w:t>proof of stake</w:t>
      </w:r>
      <w:r w:rsidRPr="005F0340">
        <w:rPr>
          <w:rFonts w:asciiTheme="minorHAnsi" w:hAnsiTheme="minorHAnsi" w:cstheme="minorHAnsi"/>
          <w:color w:val="0F0F0F"/>
          <w:lang w:val="en-GB"/>
        </w:rPr>
        <w:t xml:space="preserve"> -</w:t>
      </w:r>
      <w:proofErr w:type="spellStart"/>
      <w:r w:rsidRPr="005F0340">
        <w:rPr>
          <w:rFonts w:asciiTheme="minorHAnsi" w:hAnsiTheme="minorHAnsi" w:cstheme="minorHAnsi"/>
          <w:color w:val="0F0F0F"/>
          <w:lang w:val="en-GB"/>
        </w:rPr>
        <w:t>PoS</w:t>
      </w:r>
      <w:proofErr w:type="spellEnd"/>
      <w:r w:rsidRPr="005F0340">
        <w:rPr>
          <w:rFonts w:asciiTheme="minorHAnsi" w:hAnsiTheme="minorHAnsi" w:cstheme="minorHAnsi"/>
          <w:color w:val="0F0F0F"/>
          <w:lang w:val="en-GB"/>
        </w:rPr>
        <w:t>- protocol).</w:t>
      </w:r>
    </w:p>
    <w:p w14:paraId="1F7F4C7E" w14:textId="77777777" w:rsidR="00CA0C1F" w:rsidRPr="005F0340" w:rsidRDefault="00CA0C1F" w:rsidP="00CA0C1F">
      <w:pPr>
        <w:pStyle w:val="Prrafodelista"/>
        <w:numPr>
          <w:ilvl w:val="0"/>
          <w:numId w:val="0"/>
        </w:numPr>
        <w:ind w:left="1068"/>
        <w:rPr>
          <w:color w:val="0F0F0F"/>
        </w:rPr>
      </w:pPr>
    </w:p>
    <w:p w14:paraId="71A633B8" w14:textId="77777777" w:rsidR="00CA0C1F" w:rsidRPr="00A70C18" w:rsidRDefault="00CA0C1F" w:rsidP="00CA0C1F">
      <w:pPr>
        <w:pStyle w:val="Default"/>
        <w:numPr>
          <w:ilvl w:val="0"/>
          <w:numId w:val="31"/>
        </w:numPr>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DLT-network inner political incentives (as votes in </w:t>
      </w:r>
      <w:r w:rsidRPr="00A70C18">
        <w:rPr>
          <w:rFonts w:asciiTheme="minorHAnsi" w:hAnsiTheme="minorHAnsi" w:cstheme="minorHAnsi"/>
          <w:i/>
          <w:color w:val="0F0F0F"/>
          <w:lang w:val="en-GB"/>
        </w:rPr>
        <w:t>delegated proof of stake</w:t>
      </w:r>
      <w:r w:rsidRPr="00A70C18">
        <w:rPr>
          <w:rFonts w:asciiTheme="minorHAnsi" w:hAnsiTheme="minorHAnsi" w:cstheme="minorHAnsi"/>
          <w:color w:val="0F0F0F"/>
          <w:lang w:val="en-GB"/>
        </w:rPr>
        <w:t xml:space="preserve"> -</w:t>
      </w:r>
      <w:proofErr w:type="spellStart"/>
      <w:r w:rsidRPr="00A70C18">
        <w:rPr>
          <w:rFonts w:asciiTheme="minorHAnsi" w:hAnsiTheme="minorHAnsi" w:cstheme="minorHAnsi"/>
          <w:color w:val="0F0F0F"/>
          <w:lang w:val="en-GB"/>
        </w:rPr>
        <w:t>DPoS</w:t>
      </w:r>
      <w:proofErr w:type="spellEnd"/>
      <w:r w:rsidRPr="00A70C18">
        <w:rPr>
          <w:rFonts w:asciiTheme="minorHAnsi" w:hAnsiTheme="minorHAnsi" w:cstheme="minorHAnsi"/>
          <w:color w:val="0F0F0F"/>
          <w:lang w:val="en-GB"/>
        </w:rPr>
        <w:t>- protocol); in proof of authority -</w:t>
      </w:r>
      <w:proofErr w:type="spellStart"/>
      <w:r w:rsidRPr="00A70C18">
        <w:rPr>
          <w:rFonts w:asciiTheme="minorHAnsi" w:hAnsiTheme="minorHAnsi" w:cstheme="minorHAnsi"/>
          <w:color w:val="0F0F0F"/>
          <w:lang w:val="en-GB"/>
        </w:rPr>
        <w:t>PoA</w:t>
      </w:r>
      <w:proofErr w:type="spellEnd"/>
      <w:r w:rsidRPr="00A70C18">
        <w:rPr>
          <w:rFonts w:asciiTheme="minorHAnsi" w:hAnsiTheme="minorHAnsi" w:cstheme="minorHAnsi"/>
          <w:color w:val="0F0F0F"/>
          <w:lang w:val="en-GB"/>
        </w:rPr>
        <w:t xml:space="preserve">- protocol there is an </w:t>
      </w:r>
      <w:proofErr w:type="spellStart"/>
      <w:r w:rsidRPr="00A70C18">
        <w:rPr>
          <w:rFonts w:asciiTheme="minorHAnsi" w:hAnsiTheme="minorHAnsi" w:cstheme="minorHAnsi"/>
          <w:color w:val="0F0F0F"/>
          <w:lang w:val="en-GB"/>
        </w:rPr>
        <w:t>ambigous</w:t>
      </w:r>
      <w:proofErr w:type="spellEnd"/>
      <w:r w:rsidRPr="00A70C18">
        <w:rPr>
          <w:rFonts w:asciiTheme="minorHAnsi" w:hAnsiTheme="minorHAnsi" w:cstheme="minorHAnsi"/>
          <w:color w:val="0F0F0F"/>
          <w:lang w:val="en-GB"/>
        </w:rPr>
        <w:t xml:space="preserve"> political incentive since validators may prefer or not exchange personal reputation by network control. </w:t>
      </w:r>
    </w:p>
    <w:p w14:paraId="101B11A8" w14:textId="77777777" w:rsidR="00CA0C1F" w:rsidRPr="00A70C18" w:rsidRDefault="00CA0C1F" w:rsidP="00CA0C1F">
      <w:pPr>
        <w:pStyle w:val="Default"/>
        <w:ind w:left="720"/>
        <w:jc w:val="both"/>
        <w:rPr>
          <w:rFonts w:asciiTheme="minorHAnsi" w:hAnsiTheme="minorHAnsi" w:cstheme="minorHAnsi"/>
          <w:color w:val="0F0F0F"/>
          <w:lang w:val="en-GB"/>
        </w:rPr>
      </w:pPr>
    </w:p>
    <w:p w14:paraId="79811E96" w14:textId="39B60534" w:rsidR="00CA0C1F" w:rsidRPr="00A70C18" w:rsidRDefault="00CA0C1F" w:rsidP="00CA0C1F">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With respect to the information that may be obtained about nodes, it is full in permissioned networks (irrespective of them being public </w:t>
      </w:r>
      <w:r>
        <w:rPr>
          <w:rFonts w:asciiTheme="minorHAnsi" w:hAnsiTheme="minorHAnsi" w:cstheme="minorHAnsi"/>
          <w:color w:val="0F0F0F"/>
          <w:lang w:val="en-GB"/>
        </w:rPr>
        <w:t>o</w:t>
      </w:r>
      <w:r w:rsidRPr="00A70C18">
        <w:rPr>
          <w:rFonts w:asciiTheme="minorHAnsi" w:hAnsiTheme="minorHAnsi" w:cstheme="minorHAnsi"/>
          <w:color w:val="0F0F0F"/>
          <w:lang w:val="en-GB"/>
        </w:rPr>
        <w:t xml:space="preserve">r private), thus facilitating administrative or NCA / ESA intervention. </w:t>
      </w:r>
    </w:p>
    <w:p w14:paraId="697F6869" w14:textId="77777777" w:rsidR="00CA0C1F" w:rsidRPr="00A70C18" w:rsidRDefault="00CA0C1F" w:rsidP="00CA0C1F">
      <w:pPr>
        <w:pStyle w:val="Default"/>
        <w:jc w:val="both"/>
        <w:rPr>
          <w:rFonts w:asciiTheme="minorHAnsi" w:hAnsiTheme="minorHAnsi" w:cstheme="minorHAnsi"/>
          <w:i/>
          <w:color w:val="0F0F0F"/>
          <w:lang w:val="en-GB"/>
        </w:rPr>
      </w:pPr>
    </w:p>
    <w:p w14:paraId="57D57104" w14:textId="77777777" w:rsidR="00CA0C1F" w:rsidRPr="00A70C18" w:rsidRDefault="00CA0C1F" w:rsidP="00CA0C1F">
      <w:pPr>
        <w:pStyle w:val="Default"/>
        <w:jc w:val="both"/>
        <w:rPr>
          <w:rFonts w:asciiTheme="minorHAnsi" w:hAnsiTheme="minorHAnsi" w:cstheme="minorHAnsi"/>
          <w:i/>
          <w:color w:val="0F0F0F"/>
          <w:lang w:val="en-GB"/>
        </w:rPr>
      </w:pPr>
      <w:r w:rsidRPr="00A70C18">
        <w:rPr>
          <w:rFonts w:asciiTheme="minorHAnsi" w:hAnsiTheme="minorHAnsi" w:cstheme="minorHAnsi"/>
          <w:i/>
          <w:color w:val="0F0F0F"/>
          <w:lang w:val="en-GB"/>
        </w:rPr>
        <w:t>Rationale</w:t>
      </w:r>
    </w:p>
    <w:p w14:paraId="325D7D5F" w14:textId="77777777" w:rsidR="00CA0C1F" w:rsidRPr="00A70C18" w:rsidRDefault="00CA0C1F" w:rsidP="00CA0C1F">
      <w:pPr>
        <w:pStyle w:val="Default"/>
        <w:jc w:val="both"/>
        <w:rPr>
          <w:rFonts w:asciiTheme="minorHAnsi" w:hAnsiTheme="minorHAnsi" w:cstheme="minorHAnsi"/>
          <w:i/>
          <w:color w:val="0F0F0F"/>
          <w:lang w:val="en-GB"/>
        </w:rPr>
      </w:pPr>
    </w:p>
    <w:p w14:paraId="479F73F6" w14:textId="77777777" w:rsidR="00CA0C1F"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 xml:space="preserve">As explained by SALTINI / HYLAND-WOOD (2019), </w:t>
      </w:r>
      <w:hyperlink r:id="rId20" w:history="1">
        <w:r w:rsidRPr="00CA0C1F">
          <w:rPr>
            <w:rStyle w:val="Hipervnculo"/>
            <w:rFonts w:asciiTheme="minorHAnsi" w:hAnsiTheme="minorHAnsi" w:cstheme="minorHAnsi"/>
            <w:lang w:val="en-US"/>
          </w:rPr>
          <w:t>1901.07160.pdf (arxiv.org)</w:t>
        </w:r>
      </w:hyperlink>
      <w:r w:rsidRPr="00A70C18">
        <w:rPr>
          <w:rFonts w:asciiTheme="minorHAnsi" w:hAnsiTheme="minorHAnsi" w:cstheme="minorHAnsi"/>
          <w:lang w:val="en-GB"/>
        </w:rPr>
        <w:t xml:space="preserve">, in IBFT (Istanbul) consensus mechanism (widely used in public-permissioned DLT networks -hereafter PPDL- like </w:t>
      </w:r>
      <w:proofErr w:type="spellStart"/>
      <w:r w:rsidRPr="00A70C18">
        <w:rPr>
          <w:rFonts w:asciiTheme="minorHAnsi" w:hAnsiTheme="minorHAnsi" w:cstheme="minorHAnsi"/>
          <w:lang w:val="en-GB"/>
        </w:rPr>
        <w:t>Alastria’s</w:t>
      </w:r>
      <w:proofErr w:type="spellEnd"/>
      <w:r w:rsidRPr="00A70C18">
        <w:rPr>
          <w:rFonts w:asciiTheme="minorHAnsi" w:hAnsiTheme="minorHAnsi" w:cstheme="minorHAnsi"/>
          <w:lang w:val="en-GB"/>
        </w:rPr>
        <w:t>), none submits requests to the network, and only validator nodes can propose a block (participating in the consensus mechanism), not “regular” or ordinary nodes which can just propose transactions.</w:t>
      </w:r>
    </w:p>
    <w:p w14:paraId="38FA7D4D" w14:textId="77777777" w:rsidR="009E3A37" w:rsidRPr="00A70C18" w:rsidRDefault="009E3A37" w:rsidP="00CA0C1F">
      <w:pPr>
        <w:pStyle w:val="Default"/>
        <w:jc w:val="both"/>
        <w:rPr>
          <w:rFonts w:asciiTheme="minorHAnsi" w:hAnsiTheme="minorHAnsi" w:cstheme="minorHAnsi"/>
          <w:lang w:val="en-GB"/>
        </w:rPr>
      </w:pPr>
    </w:p>
    <w:p w14:paraId="4B308506" w14:textId="77777777" w:rsidR="00CA0C1F"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The set of validators in PBFT (Practical) is static whereas IBFT has a dynamic validator-rotating set (e. g. in the Quorum chain used by Alastria).</w:t>
      </w:r>
    </w:p>
    <w:p w14:paraId="7D92B18B" w14:textId="77777777" w:rsidR="009E3A37" w:rsidRPr="00A70C18" w:rsidRDefault="009E3A37" w:rsidP="00CA0C1F">
      <w:pPr>
        <w:pStyle w:val="Default"/>
        <w:jc w:val="both"/>
        <w:rPr>
          <w:rFonts w:asciiTheme="minorHAnsi" w:hAnsiTheme="minorHAnsi" w:cstheme="minorHAnsi"/>
          <w:lang w:val="en-GB"/>
        </w:rPr>
      </w:pPr>
    </w:p>
    <w:p w14:paraId="1F6C1D29" w14:textId="77777777" w:rsidR="00CA0C1F" w:rsidRPr="00A70C18"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 xml:space="preserve">IBFT simplifies the so-called </w:t>
      </w:r>
      <w:r w:rsidRPr="00A70C18">
        <w:rPr>
          <w:rFonts w:asciiTheme="minorHAnsi" w:hAnsiTheme="minorHAnsi" w:cstheme="minorHAnsi"/>
          <w:i/>
          <w:lang w:val="en-GB"/>
        </w:rPr>
        <w:t>View-Change message</w:t>
      </w:r>
      <w:r w:rsidRPr="00A70C18">
        <w:rPr>
          <w:rFonts w:asciiTheme="minorHAnsi" w:hAnsiTheme="minorHAnsi" w:cstheme="minorHAnsi"/>
          <w:lang w:val="en-GB"/>
        </w:rPr>
        <w:t xml:space="preserve"> of PBFT and does not include the so-called </w:t>
      </w:r>
      <w:r w:rsidRPr="00A70C18">
        <w:rPr>
          <w:rFonts w:asciiTheme="minorHAnsi" w:hAnsiTheme="minorHAnsi" w:cstheme="minorHAnsi"/>
          <w:i/>
          <w:lang w:val="en-GB"/>
        </w:rPr>
        <w:t>New-View message</w:t>
      </w:r>
      <w:r w:rsidRPr="00A70C18">
        <w:rPr>
          <w:rFonts w:asciiTheme="minorHAnsi" w:hAnsiTheme="minorHAnsi" w:cstheme="minorHAnsi"/>
          <w:lang w:val="en-GB"/>
        </w:rPr>
        <w:t xml:space="preserve"> included in the PBFT protocol. Moreover, IBFT does not use checkpoints explicitly, and each IBFT block can be considered the IBFT equivalent of a PBFT checkpoint.</w:t>
      </w:r>
    </w:p>
    <w:p w14:paraId="11A7698A" w14:textId="77777777" w:rsidR="00CA0C1F" w:rsidRPr="00A70C18" w:rsidRDefault="00CA0C1F" w:rsidP="00CA0C1F">
      <w:pPr>
        <w:pStyle w:val="Default"/>
        <w:jc w:val="both"/>
        <w:rPr>
          <w:rFonts w:asciiTheme="minorHAnsi" w:hAnsiTheme="minorHAnsi" w:cstheme="minorHAnsi"/>
          <w:lang w:val="en-GB"/>
        </w:rPr>
      </w:pPr>
    </w:p>
    <w:p w14:paraId="5E889D16" w14:textId="77777777" w:rsidR="00CA0C1F" w:rsidRPr="00A70C18" w:rsidRDefault="00CA0C1F" w:rsidP="00CA0C1F">
      <w:pPr>
        <w:pStyle w:val="Default"/>
        <w:jc w:val="both"/>
        <w:rPr>
          <w:rFonts w:asciiTheme="minorHAnsi" w:hAnsiTheme="minorHAnsi" w:cstheme="minorHAnsi"/>
          <w:i/>
          <w:lang w:val="en-GB"/>
        </w:rPr>
      </w:pPr>
      <w:r w:rsidRPr="00A70C18">
        <w:rPr>
          <w:rFonts w:asciiTheme="minorHAnsi" w:hAnsiTheme="minorHAnsi" w:cstheme="minorHAnsi"/>
          <w:i/>
          <w:lang w:val="en-GB"/>
        </w:rPr>
        <w:t xml:space="preserve">Alternatives </w:t>
      </w:r>
    </w:p>
    <w:p w14:paraId="39FF398C" w14:textId="77777777" w:rsidR="00CA0C1F" w:rsidRPr="00A70C18" w:rsidRDefault="00CA0C1F" w:rsidP="00CA0C1F">
      <w:pPr>
        <w:pStyle w:val="Default"/>
        <w:jc w:val="both"/>
        <w:rPr>
          <w:rFonts w:asciiTheme="minorHAnsi" w:hAnsiTheme="minorHAnsi" w:cstheme="minorHAnsi"/>
          <w:i/>
          <w:lang w:val="en-GB"/>
        </w:rPr>
      </w:pPr>
    </w:p>
    <w:p w14:paraId="0F4F808F" w14:textId="77777777" w:rsidR="00CA0C1F" w:rsidRPr="00A70C18"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 xml:space="preserve">Potential environmental impact does not depend on protocol and consensus mechanism but in </w:t>
      </w:r>
      <w:proofErr w:type="spellStart"/>
      <w:r w:rsidRPr="00A70C18">
        <w:rPr>
          <w:rFonts w:asciiTheme="minorHAnsi" w:hAnsiTheme="minorHAnsi" w:cstheme="minorHAnsi"/>
          <w:lang w:val="en-GB"/>
        </w:rPr>
        <w:t>offchain</w:t>
      </w:r>
      <w:proofErr w:type="spellEnd"/>
      <w:r w:rsidRPr="00A70C18">
        <w:rPr>
          <w:rFonts w:asciiTheme="minorHAnsi" w:hAnsiTheme="minorHAnsi" w:cstheme="minorHAnsi"/>
          <w:lang w:val="en-GB"/>
        </w:rPr>
        <w:t xml:space="preserve"> governance, which can effectively deter malicious transactions and forks, coin misappropriation (like in THE DAO) and anticompetitive or </w:t>
      </w:r>
      <w:proofErr w:type="spellStart"/>
      <w:r w:rsidRPr="00A70C18">
        <w:rPr>
          <w:rFonts w:asciiTheme="minorHAnsi" w:hAnsiTheme="minorHAnsi" w:cstheme="minorHAnsi"/>
          <w:lang w:val="en-GB"/>
        </w:rPr>
        <w:t>monopilistic</w:t>
      </w:r>
      <w:proofErr w:type="spellEnd"/>
      <w:r w:rsidRPr="00A70C18">
        <w:rPr>
          <w:rFonts w:asciiTheme="minorHAnsi" w:hAnsiTheme="minorHAnsi" w:cstheme="minorHAnsi"/>
          <w:lang w:val="en-GB"/>
        </w:rPr>
        <w:t xml:space="preserve"> conducts or abuse of market dominant position (as incentivised in </w:t>
      </w:r>
      <w:proofErr w:type="spellStart"/>
      <w:r w:rsidRPr="00A70C18">
        <w:rPr>
          <w:rFonts w:asciiTheme="minorHAnsi" w:hAnsiTheme="minorHAnsi" w:cstheme="minorHAnsi"/>
          <w:lang w:val="en-GB"/>
        </w:rPr>
        <w:t>PoS</w:t>
      </w:r>
      <w:proofErr w:type="spellEnd"/>
      <w:r w:rsidRPr="00A70C18">
        <w:rPr>
          <w:rFonts w:asciiTheme="minorHAnsi" w:hAnsiTheme="minorHAnsi" w:cstheme="minorHAnsi"/>
          <w:lang w:val="en-GB"/>
        </w:rPr>
        <w:t xml:space="preserve"> solutions). For a quick comparison of costs under different protocols under the viewpoint of  environmental protection, </w:t>
      </w:r>
      <w:hyperlink r:id="rId21" w:history="1">
        <w:r w:rsidRPr="00CA0C1F">
          <w:rPr>
            <w:rStyle w:val="Hipervnculo"/>
            <w:rFonts w:asciiTheme="minorHAnsi" w:hAnsiTheme="minorHAnsi" w:cstheme="minorHAnsi"/>
            <w:lang w:val="en-US"/>
          </w:rPr>
          <w:t>https://www.geeksforgeeks.org/crypto graphic-consensus-mechanisms-in-blockchain/</w:t>
        </w:r>
      </w:hyperlink>
      <w:r w:rsidRPr="00A70C18">
        <w:rPr>
          <w:rFonts w:asciiTheme="minorHAnsi" w:hAnsiTheme="minorHAnsi" w:cstheme="minorHAnsi"/>
          <w:lang w:val="en-GB"/>
        </w:rPr>
        <w:t xml:space="preserve">. </w:t>
      </w:r>
    </w:p>
    <w:p w14:paraId="7803B979" w14:textId="77777777" w:rsidR="00CA0C1F" w:rsidRPr="00A70C18" w:rsidRDefault="00CA0C1F" w:rsidP="00CA0C1F">
      <w:pPr>
        <w:pStyle w:val="Default"/>
        <w:jc w:val="both"/>
        <w:rPr>
          <w:rFonts w:asciiTheme="minorHAnsi" w:hAnsiTheme="minorHAnsi" w:cstheme="minorHAnsi"/>
          <w:lang w:val="en-GB"/>
        </w:rPr>
      </w:pPr>
    </w:p>
    <w:p w14:paraId="41EF5AC2" w14:textId="77777777" w:rsidR="00CA0C1F" w:rsidRPr="00A70C18"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 xml:space="preserve">In general, permissionless networks based on </w:t>
      </w:r>
      <w:proofErr w:type="spellStart"/>
      <w:r w:rsidRPr="00A70C18">
        <w:rPr>
          <w:rFonts w:asciiTheme="minorHAnsi" w:hAnsiTheme="minorHAnsi" w:cstheme="minorHAnsi"/>
          <w:lang w:val="en-GB"/>
        </w:rPr>
        <w:t>PoW</w:t>
      </w:r>
      <w:proofErr w:type="spellEnd"/>
      <w:r w:rsidRPr="00A70C18">
        <w:rPr>
          <w:rFonts w:asciiTheme="minorHAnsi" w:hAnsiTheme="minorHAnsi" w:cstheme="minorHAnsi"/>
          <w:lang w:val="en-GB"/>
        </w:rPr>
        <w:t xml:space="preserve"> decentralise TXs but require high energy consumption, reduced in both in </w:t>
      </w:r>
      <w:proofErr w:type="spellStart"/>
      <w:r w:rsidRPr="00A70C18">
        <w:rPr>
          <w:rFonts w:asciiTheme="minorHAnsi" w:hAnsiTheme="minorHAnsi" w:cstheme="minorHAnsi"/>
          <w:lang w:val="en-GB"/>
        </w:rPr>
        <w:t>PoS</w:t>
      </w:r>
      <w:proofErr w:type="spellEnd"/>
      <w:r w:rsidRPr="00A70C18">
        <w:rPr>
          <w:rFonts w:asciiTheme="minorHAnsi" w:hAnsiTheme="minorHAnsi" w:cstheme="minorHAnsi"/>
          <w:lang w:val="en-GB"/>
        </w:rPr>
        <w:t xml:space="preserve"> systems and </w:t>
      </w:r>
      <w:proofErr w:type="spellStart"/>
      <w:r w:rsidRPr="00A70C18">
        <w:rPr>
          <w:rFonts w:asciiTheme="minorHAnsi" w:hAnsiTheme="minorHAnsi" w:cstheme="minorHAnsi"/>
          <w:lang w:val="en-GB"/>
        </w:rPr>
        <w:t>PoA</w:t>
      </w:r>
      <w:proofErr w:type="spellEnd"/>
      <w:r w:rsidRPr="00A70C18">
        <w:rPr>
          <w:rFonts w:asciiTheme="minorHAnsi" w:hAnsiTheme="minorHAnsi" w:cstheme="minorHAnsi"/>
          <w:lang w:val="en-GB"/>
        </w:rPr>
        <w:t>; other PPDL system may significantly reduce energy consumption whenever adequate node governance is implemented in accordance with node-community expectations and industrial needs of scalability, interoperability and decentralisation for particular purposes.</w:t>
      </w:r>
    </w:p>
    <w:p w14:paraId="16798B70" w14:textId="77777777" w:rsidR="00CA0C1F" w:rsidRPr="00A70C18" w:rsidRDefault="00CA0C1F" w:rsidP="00CA0C1F">
      <w:pPr>
        <w:pStyle w:val="Default"/>
        <w:jc w:val="both"/>
        <w:rPr>
          <w:rFonts w:asciiTheme="minorHAnsi" w:hAnsiTheme="minorHAnsi" w:cstheme="minorHAnsi"/>
          <w:lang w:val="en-GB"/>
        </w:rPr>
      </w:pPr>
    </w:p>
    <w:p w14:paraId="4FE6FBB0" w14:textId="77777777" w:rsidR="00CA0C1F" w:rsidRPr="00A70C18"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 xml:space="preserve">It is to be well noted that under </w:t>
      </w:r>
      <w:proofErr w:type="spellStart"/>
      <w:r w:rsidRPr="00A70C18">
        <w:rPr>
          <w:rFonts w:asciiTheme="minorHAnsi" w:hAnsiTheme="minorHAnsi" w:cstheme="minorHAnsi"/>
          <w:lang w:val="en-GB"/>
        </w:rPr>
        <w:t>PoA</w:t>
      </w:r>
      <w:proofErr w:type="spellEnd"/>
      <w:r w:rsidRPr="00A70C18">
        <w:rPr>
          <w:rFonts w:asciiTheme="minorHAnsi" w:hAnsiTheme="minorHAnsi" w:cstheme="minorHAnsi"/>
          <w:lang w:val="en-GB"/>
        </w:rPr>
        <w:t xml:space="preserve"> protocols, all node information is cheap and easy to obtain by market authorities.  </w:t>
      </w:r>
    </w:p>
    <w:p w14:paraId="6B526B06" w14:textId="77777777" w:rsidR="00CA0C1F" w:rsidRPr="00A70C18" w:rsidRDefault="00CA0C1F" w:rsidP="00CA0C1F">
      <w:pPr>
        <w:pStyle w:val="Default"/>
        <w:jc w:val="both"/>
        <w:rPr>
          <w:rFonts w:asciiTheme="minorHAnsi" w:hAnsiTheme="minorHAnsi" w:cstheme="minorHAnsi"/>
          <w:lang w:val="en-GB"/>
        </w:rPr>
      </w:pPr>
    </w:p>
    <w:p w14:paraId="53E0A816" w14:textId="77777777" w:rsidR="00CA0C1F" w:rsidRPr="00A70C18" w:rsidRDefault="00CA0C1F" w:rsidP="00CA0C1F">
      <w:pPr>
        <w:pStyle w:val="Default"/>
        <w:jc w:val="both"/>
        <w:rPr>
          <w:rFonts w:asciiTheme="minorHAnsi" w:hAnsiTheme="minorHAnsi" w:cstheme="minorHAnsi"/>
          <w:lang w:val="en-GB"/>
        </w:rPr>
      </w:pPr>
      <w:r w:rsidRPr="00A70C18">
        <w:rPr>
          <w:rFonts w:asciiTheme="minorHAnsi" w:hAnsiTheme="minorHAnsi" w:cstheme="minorHAnsi"/>
          <w:lang w:val="en-GB"/>
        </w:rPr>
        <w:t xml:space="preserve">It is obvious that a CA issuance can be the ultimate result of validation. Therefore, monitoring and selecting the optimal DLT network validation system and assessing the TX scaled global impact of the token issuance and distribution by related CASPs should be carefully analysed prior to a STO / ITO and properly disclosed by validator nodes or by DLT-network administrator operating with the issuer and concerned CASPs, in order to facilitate full compliance.  </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130B5F09" w14:textId="77777777" w:rsidR="009A3249" w:rsidRPr="00A70C18" w:rsidRDefault="009A3249" w:rsidP="009A3249">
      <w:pPr>
        <w:pStyle w:val="Default"/>
        <w:jc w:val="both"/>
        <w:rPr>
          <w:rFonts w:asciiTheme="minorHAnsi" w:hAnsiTheme="minorHAnsi" w:cstheme="minorHAnsi"/>
          <w:i/>
          <w:color w:val="0F0F0F"/>
          <w:lang w:val="en-GB"/>
        </w:rPr>
      </w:pPr>
      <w:permStart w:id="731276388" w:edGrp="everyone"/>
      <w:r w:rsidRPr="00A70C18">
        <w:rPr>
          <w:rFonts w:asciiTheme="minorHAnsi" w:hAnsiTheme="minorHAnsi" w:cstheme="minorHAnsi"/>
          <w:i/>
          <w:color w:val="0F0F0F"/>
          <w:lang w:val="en-GB"/>
        </w:rPr>
        <w:t>Response</w:t>
      </w:r>
    </w:p>
    <w:p w14:paraId="364987CE" w14:textId="77777777" w:rsidR="009A3249" w:rsidRPr="00A70C18" w:rsidRDefault="009A3249" w:rsidP="009A3249">
      <w:pPr>
        <w:pStyle w:val="Default"/>
        <w:jc w:val="both"/>
        <w:rPr>
          <w:rFonts w:asciiTheme="minorHAnsi" w:hAnsiTheme="minorHAnsi" w:cstheme="minorHAnsi"/>
          <w:color w:val="0F0F0F"/>
          <w:lang w:val="en-GB"/>
        </w:rPr>
      </w:pPr>
    </w:p>
    <w:p w14:paraId="3DEBB1C4" w14:textId="77777777" w:rsidR="009A3249" w:rsidRPr="00A70C18" w:rsidRDefault="009A3249" w:rsidP="009A3249">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Yes, generally speaking and in a partial manner. However, it is to be noted that the results of such approach depend more on the </w:t>
      </w:r>
      <w:proofErr w:type="spellStart"/>
      <w:r w:rsidRPr="00A70C18">
        <w:rPr>
          <w:rFonts w:asciiTheme="minorHAnsi" w:hAnsiTheme="minorHAnsi" w:cstheme="minorHAnsi"/>
          <w:color w:val="0F0F0F"/>
          <w:lang w:val="en-GB"/>
        </w:rPr>
        <w:t>organisative</w:t>
      </w:r>
      <w:proofErr w:type="spellEnd"/>
      <w:r w:rsidRPr="00A70C18">
        <w:rPr>
          <w:rFonts w:asciiTheme="minorHAnsi" w:hAnsiTheme="minorHAnsi" w:cstheme="minorHAnsi"/>
          <w:color w:val="0F0F0F"/>
          <w:lang w:val="en-GB"/>
        </w:rPr>
        <w:t xml:space="preserve"> practices and governance structure and competence of issuers and related CASPs than on a RTS listing of terms and requisites, given the wide scope and varied nature of the purported aims. More than ensuring consistency, coherence or proportionality, the ESMA proposed approach creates a </w:t>
      </w:r>
      <w:proofErr w:type="spellStart"/>
      <w:r w:rsidRPr="00A70C18">
        <w:rPr>
          <w:rFonts w:asciiTheme="minorHAnsi" w:hAnsiTheme="minorHAnsi" w:cstheme="minorHAnsi"/>
          <w:color w:val="0F0F0F"/>
          <w:lang w:val="en-GB"/>
        </w:rPr>
        <w:t>favoring</w:t>
      </w:r>
      <w:proofErr w:type="spellEnd"/>
      <w:r w:rsidRPr="00A70C18">
        <w:rPr>
          <w:rFonts w:asciiTheme="minorHAnsi" w:hAnsiTheme="minorHAnsi" w:cstheme="minorHAnsi"/>
          <w:color w:val="0F0F0F"/>
          <w:lang w:val="en-GB"/>
        </w:rPr>
        <w:t xml:space="preserve"> and fostering proper framework, limited to some extent within this scope.</w:t>
      </w:r>
    </w:p>
    <w:p w14:paraId="160F946E" w14:textId="77777777" w:rsidR="009A3249" w:rsidRPr="00A70C18" w:rsidRDefault="009A3249" w:rsidP="009A3249">
      <w:pPr>
        <w:pStyle w:val="Default"/>
        <w:jc w:val="both"/>
        <w:rPr>
          <w:rFonts w:asciiTheme="minorHAnsi" w:hAnsiTheme="minorHAnsi" w:cstheme="minorHAnsi"/>
          <w:b/>
          <w:color w:val="0F0F0F"/>
          <w:lang w:val="en-GB"/>
        </w:rPr>
      </w:pPr>
    </w:p>
    <w:p w14:paraId="6EBE0CD6" w14:textId="77777777" w:rsidR="009A3249" w:rsidRPr="00A70C18" w:rsidRDefault="009A3249" w:rsidP="009A3249">
      <w:pPr>
        <w:pStyle w:val="Default"/>
        <w:jc w:val="both"/>
        <w:rPr>
          <w:rFonts w:asciiTheme="minorHAnsi" w:hAnsiTheme="minorHAnsi" w:cstheme="minorHAnsi"/>
          <w:i/>
          <w:color w:val="0F0F0F"/>
          <w:lang w:val="en-GB"/>
        </w:rPr>
      </w:pPr>
      <w:r w:rsidRPr="00A70C18">
        <w:rPr>
          <w:rFonts w:asciiTheme="minorHAnsi" w:hAnsiTheme="minorHAnsi" w:cstheme="minorHAnsi"/>
          <w:i/>
          <w:color w:val="0F0F0F"/>
          <w:lang w:val="en-GB"/>
        </w:rPr>
        <w:t xml:space="preserve">Rationale </w:t>
      </w:r>
    </w:p>
    <w:p w14:paraId="0BFF5585" w14:textId="77777777" w:rsidR="009A3249" w:rsidRPr="00A70C18" w:rsidRDefault="009A3249" w:rsidP="009A3249">
      <w:pPr>
        <w:pStyle w:val="Default"/>
        <w:jc w:val="both"/>
        <w:rPr>
          <w:rFonts w:asciiTheme="minorHAnsi" w:hAnsiTheme="minorHAnsi" w:cstheme="minorHAnsi"/>
          <w:color w:val="0F0F0F"/>
          <w:lang w:val="en-GB"/>
        </w:rPr>
      </w:pPr>
    </w:p>
    <w:p w14:paraId="5D8098D2" w14:textId="77777777" w:rsidR="009A3249" w:rsidRPr="00A70C18" w:rsidRDefault="009A3249" w:rsidP="009A3249">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The reference to complementarity and consistency of disclosure requirements on environmental impacts (mainly related to energy consumption and waste impact on climate) present in Recital 7 </w:t>
      </w:r>
      <w:proofErr w:type="spellStart"/>
      <w:r w:rsidRPr="00A70C18">
        <w:rPr>
          <w:rFonts w:asciiTheme="minorHAnsi" w:hAnsiTheme="minorHAnsi" w:cstheme="minorHAnsi"/>
          <w:color w:val="0F0F0F"/>
          <w:lang w:val="en-GB"/>
        </w:rPr>
        <w:t>MiCA</w:t>
      </w:r>
      <w:proofErr w:type="spellEnd"/>
      <w:r w:rsidRPr="00A70C18">
        <w:rPr>
          <w:rFonts w:asciiTheme="minorHAnsi" w:hAnsiTheme="minorHAnsi" w:cstheme="minorHAnsi"/>
          <w:color w:val="0F0F0F"/>
          <w:lang w:val="en-GB"/>
        </w:rPr>
        <w:t xml:space="preserve"> is generic, thus permitting a variety of methods for presentation of indicators by issuers and CASPs in the context of arts. 6(12), 19 (11), </w:t>
      </w:r>
      <w:r w:rsidRPr="00A70C18">
        <w:rPr>
          <w:rFonts w:asciiTheme="minorHAnsi" w:hAnsiTheme="minorHAnsi" w:cstheme="minorHAnsi"/>
          <w:color w:val="0F0F0F"/>
          <w:lang w:val="en-GB"/>
        </w:rPr>
        <w:lastRenderedPageBreak/>
        <w:t xml:space="preserve">51 (15) and 66(6) of </w:t>
      </w:r>
      <w:proofErr w:type="spellStart"/>
      <w:r w:rsidRPr="00A70C18">
        <w:rPr>
          <w:rFonts w:asciiTheme="minorHAnsi" w:hAnsiTheme="minorHAnsi" w:cstheme="minorHAnsi"/>
          <w:color w:val="0F0F0F"/>
          <w:lang w:val="en-GB"/>
        </w:rPr>
        <w:t>MiCA</w:t>
      </w:r>
      <w:proofErr w:type="spellEnd"/>
      <w:r w:rsidRPr="00A70C18">
        <w:rPr>
          <w:rFonts w:asciiTheme="minorHAnsi" w:hAnsiTheme="minorHAnsi" w:cstheme="minorHAnsi"/>
          <w:color w:val="0F0F0F"/>
          <w:lang w:val="en-GB"/>
        </w:rPr>
        <w:t xml:space="preserve">. Bundling the information in whitepapers seems adequate given the identity of the intended purpose in the referred norms. </w:t>
      </w:r>
    </w:p>
    <w:p w14:paraId="29739166" w14:textId="77777777" w:rsidR="009A3249" w:rsidRPr="00A70C18" w:rsidRDefault="009A3249" w:rsidP="009A3249">
      <w:pPr>
        <w:pStyle w:val="Default"/>
        <w:jc w:val="both"/>
        <w:rPr>
          <w:rFonts w:asciiTheme="minorHAnsi" w:hAnsiTheme="minorHAnsi" w:cstheme="minorHAnsi"/>
          <w:color w:val="0F0F0F"/>
          <w:lang w:val="en-GB"/>
        </w:rPr>
      </w:pPr>
    </w:p>
    <w:p w14:paraId="519DB91D" w14:textId="77777777" w:rsidR="009A3249" w:rsidRPr="005F0340" w:rsidRDefault="009A3249" w:rsidP="009A3249">
      <w:pPr>
        <w:pStyle w:val="Default"/>
        <w:jc w:val="both"/>
        <w:rPr>
          <w:rFonts w:asciiTheme="minorHAnsi" w:hAnsiTheme="minorHAnsi" w:cstheme="minorHAnsi"/>
          <w:color w:val="0F0F0F"/>
          <w:lang w:val="en-GB"/>
        </w:rPr>
      </w:pPr>
      <w:r w:rsidRPr="005F0340">
        <w:rPr>
          <w:rFonts w:asciiTheme="minorHAnsi" w:hAnsiTheme="minorHAnsi" w:cstheme="minorHAnsi"/>
          <w:color w:val="0F0F0F"/>
          <w:lang w:val="en-GB"/>
        </w:rPr>
        <w:t xml:space="preserve">Moreover, the consistency and coherence of the disclosed data is, as aforesaid, fostered by common updated standards, but not guaranteed by standardisation. The same observations can be applied to the debate on information on sustainability issues ex arts. 19 bis, 29 bis and 29 </w:t>
      </w:r>
      <w:proofErr w:type="spellStart"/>
      <w:r w:rsidRPr="005F0340">
        <w:rPr>
          <w:rFonts w:asciiTheme="minorHAnsi" w:hAnsiTheme="minorHAnsi" w:cstheme="minorHAnsi"/>
          <w:color w:val="0F0F0F"/>
          <w:lang w:val="en-GB"/>
        </w:rPr>
        <w:t>quinquies</w:t>
      </w:r>
      <w:proofErr w:type="spellEnd"/>
      <w:r w:rsidRPr="005F0340">
        <w:rPr>
          <w:rFonts w:asciiTheme="minorHAnsi" w:hAnsiTheme="minorHAnsi" w:cstheme="minorHAnsi"/>
          <w:color w:val="0F0F0F"/>
          <w:lang w:val="en-GB"/>
        </w:rPr>
        <w:t xml:space="preserve"> of Directive 2013/34/EU as modified by art. 1 CSRD. Collecting too granular data can be too costly, thus deterring innovation mainly in ART and utility (consumption) token issuance experiences; the </w:t>
      </w:r>
      <w:proofErr w:type="spellStart"/>
      <w:r w:rsidRPr="005F0340">
        <w:rPr>
          <w:rFonts w:asciiTheme="minorHAnsi" w:hAnsiTheme="minorHAnsi" w:cstheme="minorHAnsi"/>
          <w:color w:val="0F0F0F"/>
          <w:lang w:val="en-GB"/>
        </w:rPr>
        <w:t>magnitud</w:t>
      </w:r>
      <w:proofErr w:type="spellEnd"/>
      <w:r w:rsidRPr="005F0340">
        <w:rPr>
          <w:rFonts w:asciiTheme="minorHAnsi" w:hAnsiTheme="minorHAnsi" w:cstheme="minorHAnsi"/>
          <w:color w:val="0F0F0F"/>
          <w:lang w:val="en-GB"/>
        </w:rPr>
        <w:t xml:space="preserve"> </w:t>
      </w:r>
      <w:proofErr w:type="gramStart"/>
      <w:r w:rsidRPr="005F0340">
        <w:rPr>
          <w:rFonts w:asciiTheme="minorHAnsi" w:hAnsiTheme="minorHAnsi" w:cstheme="minorHAnsi"/>
          <w:color w:val="0F0F0F"/>
          <w:lang w:val="en-GB"/>
        </w:rPr>
        <w:t>of  related</w:t>
      </w:r>
      <w:proofErr w:type="gramEnd"/>
      <w:r w:rsidRPr="005F0340">
        <w:rPr>
          <w:rFonts w:asciiTheme="minorHAnsi" w:hAnsiTheme="minorHAnsi" w:cstheme="minorHAnsi"/>
          <w:color w:val="0F0F0F"/>
          <w:lang w:val="en-GB"/>
        </w:rPr>
        <w:t xml:space="preserve"> </w:t>
      </w:r>
      <w:proofErr w:type="spellStart"/>
      <w:r w:rsidRPr="005F0340">
        <w:rPr>
          <w:rFonts w:asciiTheme="minorHAnsi" w:hAnsiTheme="minorHAnsi" w:cstheme="minorHAnsi"/>
          <w:color w:val="0F0F0F"/>
          <w:lang w:val="en-GB"/>
        </w:rPr>
        <w:t>costes</w:t>
      </w:r>
      <w:proofErr w:type="spellEnd"/>
      <w:r w:rsidRPr="005F0340">
        <w:rPr>
          <w:rFonts w:asciiTheme="minorHAnsi" w:hAnsiTheme="minorHAnsi" w:cstheme="minorHAnsi"/>
          <w:color w:val="0F0F0F"/>
          <w:lang w:val="en-GB"/>
        </w:rPr>
        <w:t xml:space="preserve"> depends not only on CASP or issuer size, but mainly on DLT experience and expertise. </w:t>
      </w:r>
    </w:p>
    <w:p w14:paraId="2AD37D2E" w14:textId="77777777" w:rsidR="009A3249" w:rsidRPr="005F0340" w:rsidRDefault="009A3249" w:rsidP="009A3249">
      <w:pPr>
        <w:pStyle w:val="Default"/>
        <w:jc w:val="both"/>
        <w:rPr>
          <w:rFonts w:asciiTheme="minorHAnsi" w:hAnsiTheme="minorHAnsi" w:cstheme="minorHAnsi"/>
          <w:color w:val="0F0F0F"/>
          <w:lang w:val="en-GB"/>
        </w:rPr>
      </w:pPr>
    </w:p>
    <w:p w14:paraId="0E7619EB" w14:textId="77777777" w:rsidR="009A3249" w:rsidRPr="00A70C18" w:rsidRDefault="009A3249" w:rsidP="009A3249">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Apart from this, there is a long way to go in terms of standards in public-permissioned DLT </w:t>
      </w:r>
      <w:proofErr w:type="spellStart"/>
      <w:r w:rsidRPr="00A70C18">
        <w:rPr>
          <w:rFonts w:asciiTheme="minorHAnsi" w:hAnsiTheme="minorHAnsi" w:cstheme="minorHAnsi"/>
          <w:color w:val="0F0F0F"/>
          <w:lang w:val="en-GB"/>
        </w:rPr>
        <w:t>networka</w:t>
      </w:r>
      <w:proofErr w:type="spellEnd"/>
      <w:r w:rsidRPr="00A70C18">
        <w:rPr>
          <w:rFonts w:asciiTheme="minorHAnsi" w:hAnsiTheme="minorHAnsi" w:cstheme="minorHAnsi"/>
          <w:color w:val="0F0F0F"/>
          <w:lang w:val="en-GB"/>
        </w:rPr>
        <w:t xml:space="preserve"> and also in other public and permissionless consensus mechanisms, transaction gas and fees and related mechanisms involving potential environmental impact. </w:t>
      </w:r>
    </w:p>
    <w:p w14:paraId="63CCF56E" w14:textId="77777777" w:rsidR="009A3249" w:rsidRPr="00A70C18" w:rsidRDefault="009A3249" w:rsidP="009A3249">
      <w:pPr>
        <w:pStyle w:val="Default"/>
        <w:jc w:val="both"/>
        <w:rPr>
          <w:rFonts w:asciiTheme="minorHAnsi" w:hAnsiTheme="minorHAnsi" w:cstheme="minorHAnsi"/>
          <w:i/>
          <w:color w:val="0F0F0F"/>
          <w:lang w:val="en-GB"/>
        </w:rPr>
      </w:pPr>
    </w:p>
    <w:p w14:paraId="48F06B7B" w14:textId="77777777" w:rsidR="009A3249" w:rsidRPr="00A70C18" w:rsidRDefault="009A3249" w:rsidP="009A3249">
      <w:pPr>
        <w:pStyle w:val="Default"/>
        <w:jc w:val="both"/>
        <w:rPr>
          <w:rFonts w:asciiTheme="minorHAnsi" w:hAnsiTheme="minorHAnsi" w:cstheme="minorHAnsi"/>
          <w:i/>
          <w:color w:val="0F0F0F"/>
          <w:lang w:val="en-GB"/>
        </w:rPr>
      </w:pPr>
      <w:r w:rsidRPr="00A70C18">
        <w:rPr>
          <w:rFonts w:asciiTheme="minorHAnsi" w:hAnsiTheme="minorHAnsi" w:cstheme="minorHAnsi"/>
          <w:i/>
          <w:color w:val="0F0F0F"/>
          <w:lang w:val="en-GB"/>
        </w:rPr>
        <w:t>Alternatives</w:t>
      </w:r>
    </w:p>
    <w:p w14:paraId="4A582473" w14:textId="77777777" w:rsidR="009A3249" w:rsidRPr="00A70C18" w:rsidRDefault="009A3249" w:rsidP="009A3249">
      <w:pPr>
        <w:pStyle w:val="Default"/>
        <w:jc w:val="both"/>
        <w:rPr>
          <w:rFonts w:asciiTheme="minorHAnsi" w:hAnsiTheme="minorHAnsi" w:cstheme="minorHAnsi"/>
          <w:i/>
          <w:color w:val="0F0F0F"/>
          <w:lang w:val="en-GB"/>
        </w:rPr>
      </w:pPr>
    </w:p>
    <w:p w14:paraId="327B36A8" w14:textId="77777777" w:rsidR="009A3249" w:rsidRPr="00A70C18" w:rsidRDefault="009A3249" w:rsidP="009A3249">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Restrict the complementary information that issuers and CASPs should disclose about DLT sustainability TXs to a </w:t>
      </w:r>
      <w:proofErr w:type="spellStart"/>
      <w:r w:rsidRPr="00A70C18">
        <w:rPr>
          <w:rFonts w:asciiTheme="minorHAnsi" w:hAnsiTheme="minorHAnsi" w:cstheme="minorHAnsi"/>
          <w:color w:val="0F0F0F"/>
          <w:lang w:val="en-GB"/>
        </w:rPr>
        <w:t>mínimum</w:t>
      </w:r>
      <w:proofErr w:type="spellEnd"/>
      <w:r w:rsidRPr="00A70C18">
        <w:rPr>
          <w:rFonts w:asciiTheme="minorHAnsi" w:hAnsiTheme="minorHAnsi" w:cstheme="minorHAnsi"/>
          <w:color w:val="0F0F0F"/>
          <w:lang w:val="en-GB"/>
        </w:rPr>
        <w:t xml:space="preserve"> relevant for public confidence in order to ensure that the (public or purely private) permissioned blockchain complies both with CSRD / NFRD standards and where necessary, with specific </w:t>
      </w:r>
      <w:proofErr w:type="spellStart"/>
      <w:r w:rsidRPr="00A70C18">
        <w:rPr>
          <w:rFonts w:asciiTheme="minorHAnsi" w:hAnsiTheme="minorHAnsi" w:cstheme="minorHAnsi"/>
          <w:color w:val="0F0F0F"/>
          <w:lang w:val="en-GB"/>
        </w:rPr>
        <w:t>ongoin</w:t>
      </w:r>
      <w:proofErr w:type="spellEnd"/>
      <w:r w:rsidRPr="00A70C18">
        <w:rPr>
          <w:rFonts w:asciiTheme="minorHAnsi" w:hAnsiTheme="minorHAnsi" w:cstheme="minorHAnsi"/>
          <w:color w:val="0F0F0F"/>
          <w:lang w:val="en-GB"/>
        </w:rPr>
        <w:t xml:space="preserve"> ISO / ITU / CEN / IEC related standards, disclosing only relevant specific information in whitepapers. To this extent, CASP and issuers segmentation criteria could be aligned with the ones present in CSRD and NFRD (e. g., cf. Recital 54 and arts. 19ª (2) and 29 b 1(</w:t>
      </w:r>
      <w:proofErr w:type="spellStart"/>
      <w:r w:rsidRPr="00A70C18">
        <w:rPr>
          <w:rFonts w:asciiTheme="minorHAnsi" w:hAnsiTheme="minorHAnsi" w:cstheme="minorHAnsi"/>
          <w:color w:val="0F0F0F"/>
          <w:lang w:val="en-GB"/>
        </w:rPr>
        <w:t>i</w:t>
      </w:r>
      <w:proofErr w:type="spellEnd"/>
      <w:r w:rsidRPr="00A70C18">
        <w:rPr>
          <w:rFonts w:asciiTheme="minorHAnsi" w:hAnsiTheme="minorHAnsi" w:cstheme="minorHAnsi"/>
          <w:color w:val="0F0F0F"/>
          <w:lang w:val="en-GB"/>
        </w:rPr>
        <w:t xml:space="preserve">) CRSD) in order to assess proportionality. To this extent, hardware devices underlying node structures (apart from ASIC circuits) should be carefully watched by node or DLT administrators </w:t>
      </w:r>
      <w:proofErr w:type="spellStart"/>
      <w:r w:rsidRPr="00A70C18">
        <w:rPr>
          <w:rFonts w:asciiTheme="minorHAnsi" w:hAnsiTheme="minorHAnsi" w:cstheme="minorHAnsi"/>
          <w:color w:val="0F0F0F"/>
          <w:lang w:val="en-GB"/>
        </w:rPr>
        <w:t>ogverning</w:t>
      </w:r>
      <w:proofErr w:type="spellEnd"/>
      <w:r w:rsidRPr="00A70C18">
        <w:rPr>
          <w:rFonts w:asciiTheme="minorHAnsi" w:hAnsiTheme="minorHAnsi" w:cstheme="minorHAnsi"/>
          <w:color w:val="0F0F0F"/>
          <w:lang w:val="en-GB"/>
        </w:rPr>
        <w:t xml:space="preserve"> the network, conveniently and timely informing </w:t>
      </w:r>
      <w:proofErr w:type="spellStart"/>
      <w:r w:rsidRPr="00A70C18">
        <w:rPr>
          <w:rFonts w:asciiTheme="minorHAnsi" w:hAnsiTheme="minorHAnsi" w:cstheme="minorHAnsi"/>
          <w:color w:val="0F0F0F"/>
          <w:lang w:val="en-GB"/>
        </w:rPr>
        <w:t>DeFi</w:t>
      </w:r>
      <w:proofErr w:type="spellEnd"/>
      <w:r w:rsidRPr="00A70C18">
        <w:rPr>
          <w:rFonts w:asciiTheme="minorHAnsi" w:hAnsiTheme="minorHAnsi" w:cstheme="minorHAnsi"/>
          <w:color w:val="0F0F0F"/>
          <w:lang w:val="en-GB"/>
        </w:rPr>
        <w:t xml:space="preserve"> platform managers and related contracting parties. </w:t>
      </w:r>
    </w:p>
    <w:p w14:paraId="3BEC8D91" w14:textId="77777777" w:rsidR="009A3249" w:rsidRPr="00A70C18" w:rsidRDefault="009A3249" w:rsidP="009A3249">
      <w:pPr>
        <w:pStyle w:val="Default"/>
        <w:jc w:val="both"/>
        <w:rPr>
          <w:rFonts w:asciiTheme="minorHAnsi" w:hAnsiTheme="minorHAnsi" w:cstheme="minorHAnsi"/>
          <w:color w:val="0F0F0F"/>
          <w:lang w:val="en-GB"/>
        </w:rPr>
      </w:pPr>
    </w:p>
    <w:p w14:paraId="7CFFD8E7" w14:textId="77777777" w:rsidR="009A3249" w:rsidRPr="00A70C18" w:rsidRDefault="009A3249" w:rsidP="009A3249">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Anyway, disclosure should not trespass the threshold of necessity from both the NCA / ESMA supervision functions and, ultimately, non-professional investor protection. Complementary data are to be reported only “where necessary”.  </w:t>
      </w:r>
    </w:p>
    <w:p w14:paraId="7E30FEF7" w14:textId="77777777" w:rsidR="009A3249" w:rsidRPr="00A70C18" w:rsidRDefault="009A3249" w:rsidP="009A3249">
      <w:pPr>
        <w:pStyle w:val="Default"/>
        <w:jc w:val="both"/>
        <w:rPr>
          <w:rFonts w:asciiTheme="minorHAnsi" w:hAnsiTheme="minorHAnsi" w:cstheme="minorHAnsi"/>
          <w:color w:val="0F0F0F"/>
          <w:lang w:val="en-GB"/>
        </w:rPr>
      </w:pPr>
    </w:p>
    <w:p w14:paraId="38B23CE5" w14:textId="77777777" w:rsidR="009A3249" w:rsidRPr="00A70C18" w:rsidRDefault="009A3249" w:rsidP="009A3249">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Last, we note that despite former CSRD reporting feedback, standard quantitative metrics naturally ensure comparability, but not proportionality and coherence assessment, characteristics that should always require qualitative evaluation. Within this sense, a best-effort exception when available data are scarce seems to be efficient and proportional. </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lastRenderedPageBreak/>
        <w:t>&lt;ESMA_QUESTION_MIC2_4&gt;</w:t>
      </w:r>
    </w:p>
    <w:p w14:paraId="6CAD1BC1" w14:textId="77777777" w:rsidR="00266857" w:rsidRPr="00A70C18" w:rsidRDefault="00266857" w:rsidP="00266857">
      <w:pPr>
        <w:pStyle w:val="Default"/>
        <w:jc w:val="both"/>
        <w:rPr>
          <w:rFonts w:asciiTheme="minorHAnsi" w:hAnsiTheme="minorHAnsi" w:cstheme="minorHAnsi"/>
          <w:i/>
          <w:color w:val="0F0F0F"/>
          <w:lang w:val="en-GB"/>
        </w:rPr>
      </w:pPr>
      <w:permStart w:id="1601982568" w:edGrp="everyone"/>
      <w:r w:rsidRPr="00A70C18">
        <w:rPr>
          <w:rFonts w:asciiTheme="minorHAnsi" w:hAnsiTheme="minorHAnsi" w:cstheme="minorHAnsi"/>
          <w:i/>
          <w:color w:val="0F0F0F"/>
          <w:lang w:val="en-GB"/>
        </w:rPr>
        <w:t>Response</w:t>
      </w:r>
    </w:p>
    <w:p w14:paraId="480E9FBE" w14:textId="77777777" w:rsidR="00266857" w:rsidRPr="00A70C18" w:rsidRDefault="00266857" w:rsidP="00266857">
      <w:pPr>
        <w:pStyle w:val="Default"/>
        <w:jc w:val="both"/>
        <w:rPr>
          <w:rFonts w:asciiTheme="minorHAnsi" w:hAnsiTheme="minorHAnsi" w:cstheme="minorHAnsi"/>
          <w:color w:val="0F0F0F"/>
          <w:lang w:val="en-GB"/>
        </w:rPr>
      </w:pPr>
    </w:p>
    <w:p w14:paraId="741313C3" w14:textId="7777777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The use of estimates is essential to preserve efficiency, impeding wasting the time necessary for proper data collection, managing, control and delivery. This is crucial not to diminish the effectiveness of the tasks assumed by key employees or outsourced human resources in SMEs. In bigger firms a proper balance between data availability, tech competitiveness and innovation growing capacity, should be sought when setting the boundaries of the use of estimates. Irrespective of this, data reliability must be ensured to avoid misinterpretation and prevent fraud within this field.</w:t>
      </w:r>
    </w:p>
    <w:p w14:paraId="1AEA1495" w14:textId="77777777" w:rsidR="00266857" w:rsidRPr="00A70C18" w:rsidRDefault="00266857" w:rsidP="00266857">
      <w:pPr>
        <w:pStyle w:val="Default"/>
        <w:jc w:val="both"/>
        <w:rPr>
          <w:rFonts w:asciiTheme="minorHAnsi" w:hAnsiTheme="minorHAnsi" w:cstheme="minorHAnsi"/>
          <w:color w:val="0F0F0F"/>
          <w:lang w:val="en-GB"/>
        </w:rPr>
      </w:pPr>
    </w:p>
    <w:p w14:paraId="21244B75" w14:textId="36B47FF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Anyway, efficiency must be aligned with proportionality and fairness in the use of estimations. Data extrapolation should always consider the reputational and competition effects of data managers and collectors on the affected enterprises, conveniently balancing supervisory and compliance benefits for </w:t>
      </w:r>
      <w:proofErr w:type="spellStart"/>
      <w:r w:rsidRPr="00A70C18">
        <w:rPr>
          <w:rFonts w:asciiTheme="minorHAnsi" w:hAnsiTheme="minorHAnsi" w:cstheme="minorHAnsi"/>
          <w:color w:val="0F0F0F"/>
          <w:lang w:val="en-GB"/>
        </w:rPr>
        <w:t>MiCAs</w:t>
      </w:r>
      <w:proofErr w:type="spellEnd"/>
      <w:r w:rsidRPr="00A70C18">
        <w:rPr>
          <w:rFonts w:asciiTheme="minorHAnsi" w:hAnsiTheme="minorHAnsi" w:cstheme="minorHAnsi"/>
          <w:color w:val="0F0F0F"/>
          <w:lang w:val="en-GB"/>
        </w:rPr>
        <w:t xml:space="preserve"> with respect to privacy, competition and ICT innovation costs, extremely sensitive to data extrapolation</w:t>
      </w:r>
      <w:r w:rsidR="00CD41A7">
        <w:rPr>
          <w:rFonts w:asciiTheme="minorHAnsi" w:hAnsiTheme="minorHAnsi" w:cstheme="minorHAnsi"/>
          <w:color w:val="0F0F0F"/>
          <w:lang w:val="en-GB"/>
        </w:rPr>
        <w:t>.</w:t>
      </w:r>
    </w:p>
    <w:p w14:paraId="086F8B3E" w14:textId="77777777" w:rsidR="00266857" w:rsidRPr="00A70C18" w:rsidRDefault="00266857" w:rsidP="00266857">
      <w:pPr>
        <w:pStyle w:val="Default"/>
        <w:jc w:val="both"/>
        <w:rPr>
          <w:rFonts w:asciiTheme="minorHAnsi" w:hAnsiTheme="minorHAnsi" w:cstheme="minorHAnsi"/>
          <w:i/>
          <w:color w:val="0F0F0F"/>
          <w:lang w:val="en-GB"/>
        </w:rPr>
      </w:pPr>
    </w:p>
    <w:p w14:paraId="3A3D84CB" w14:textId="77777777" w:rsidR="00266857" w:rsidRPr="00A70C18" w:rsidRDefault="00266857" w:rsidP="00266857">
      <w:pPr>
        <w:pStyle w:val="Default"/>
        <w:jc w:val="both"/>
        <w:rPr>
          <w:rFonts w:asciiTheme="minorHAnsi" w:hAnsiTheme="minorHAnsi" w:cstheme="minorHAnsi"/>
          <w:i/>
          <w:color w:val="0F0F0F"/>
          <w:lang w:val="en-GB"/>
        </w:rPr>
      </w:pPr>
      <w:r w:rsidRPr="00A70C18">
        <w:rPr>
          <w:rFonts w:asciiTheme="minorHAnsi" w:hAnsiTheme="minorHAnsi" w:cstheme="minorHAnsi"/>
          <w:i/>
          <w:color w:val="0F0F0F"/>
          <w:lang w:val="en-GB"/>
        </w:rPr>
        <w:t xml:space="preserve">Rationale </w:t>
      </w:r>
    </w:p>
    <w:p w14:paraId="651C2D38" w14:textId="77777777" w:rsidR="00266857" w:rsidRPr="00A70C18" w:rsidRDefault="00266857" w:rsidP="00266857">
      <w:pPr>
        <w:pStyle w:val="Default"/>
        <w:jc w:val="both"/>
        <w:rPr>
          <w:rFonts w:asciiTheme="minorHAnsi" w:hAnsiTheme="minorHAnsi" w:cstheme="minorHAnsi"/>
          <w:color w:val="0F0F0F"/>
          <w:lang w:val="en-GB"/>
        </w:rPr>
      </w:pPr>
    </w:p>
    <w:p w14:paraId="04FFB682" w14:textId="7777777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GHG estimations based on node location can bias assessment, generating effects detrimental to node community natural expanding, DLT-consortium consolidation and blockchain or BaaS business scalability. Furthermore, negative reputational impact on node-client related business, including those of the </w:t>
      </w:r>
      <w:proofErr w:type="spellStart"/>
      <w:r w:rsidRPr="00A70C18">
        <w:rPr>
          <w:rFonts w:asciiTheme="minorHAnsi" w:hAnsiTheme="minorHAnsi" w:cstheme="minorHAnsi"/>
          <w:color w:val="0F0F0F"/>
          <w:lang w:val="en-GB"/>
        </w:rPr>
        <w:t>cryptoasset</w:t>
      </w:r>
      <w:proofErr w:type="spellEnd"/>
      <w:r w:rsidRPr="00A70C18">
        <w:rPr>
          <w:rFonts w:asciiTheme="minorHAnsi" w:hAnsiTheme="minorHAnsi" w:cstheme="minorHAnsi"/>
          <w:color w:val="0F0F0F"/>
          <w:lang w:val="en-GB"/>
        </w:rPr>
        <w:t xml:space="preserve"> issuer and token service providers, can be significant.  Energy consumption of each individual node (validator or not) is a more proper way and fair way to assess the sustainability </w:t>
      </w:r>
      <w:proofErr w:type="spellStart"/>
      <w:r w:rsidRPr="00A70C18">
        <w:rPr>
          <w:rFonts w:asciiTheme="minorHAnsi" w:hAnsiTheme="minorHAnsi" w:cstheme="minorHAnsi"/>
          <w:color w:val="0F0F0F"/>
          <w:lang w:val="en-GB"/>
        </w:rPr>
        <w:t>impacto</w:t>
      </w:r>
      <w:proofErr w:type="spellEnd"/>
      <w:r w:rsidRPr="00A70C18">
        <w:rPr>
          <w:rFonts w:asciiTheme="minorHAnsi" w:hAnsiTheme="minorHAnsi" w:cstheme="minorHAnsi"/>
          <w:color w:val="0F0F0F"/>
          <w:lang w:val="en-GB"/>
        </w:rPr>
        <w:t xml:space="preserve"> </w:t>
      </w:r>
      <w:proofErr w:type="spellStart"/>
      <w:r w:rsidRPr="00A70C18">
        <w:rPr>
          <w:rFonts w:asciiTheme="minorHAnsi" w:hAnsiTheme="minorHAnsi" w:cstheme="minorHAnsi"/>
          <w:color w:val="0F0F0F"/>
          <w:lang w:val="en-GB"/>
        </w:rPr>
        <w:t>f</w:t>
      </w:r>
      <w:proofErr w:type="spellEnd"/>
      <w:r w:rsidRPr="00A70C18">
        <w:rPr>
          <w:rFonts w:asciiTheme="minorHAnsi" w:hAnsiTheme="minorHAnsi" w:cstheme="minorHAnsi"/>
          <w:color w:val="0F0F0F"/>
          <w:lang w:val="en-GB"/>
        </w:rPr>
        <w:t xml:space="preserve"> the consensus mechanism. The same can be said of the measures of waste generation and resources used in HW equipment lifecycle.  </w:t>
      </w:r>
    </w:p>
    <w:p w14:paraId="610941B0" w14:textId="77777777" w:rsidR="00266857" w:rsidRPr="00A70C18" w:rsidRDefault="00266857" w:rsidP="00266857">
      <w:pPr>
        <w:pStyle w:val="Default"/>
        <w:jc w:val="both"/>
        <w:rPr>
          <w:rFonts w:asciiTheme="minorHAnsi" w:hAnsiTheme="minorHAnsi" w:cstheme="minorHAnsi"/>
          <w:color w:val="0F0F0F"/>
          <w:lang w:val="en-GB"/>
        </w:rPr>
      </w:pPr>
    </w:p>
    <w:p w14:paraId="3B29DA13" w14:textId="46AB297C" w:rsidR="00266857" w:rsidRPr="00A70C18" w:rsidRDefault="00266857" w:rsidP="00266857">
      <w:pPr>
        <w:pStyle w:val="Default"/>
        <w:jc w:val="both"/>
        <w:rPr>
          <w:rFonts w:asciiTheme="minorHAnsi" w:hAnsiTheme="minorHAnsi" w:cstheme="minorHAnsi"/>
          <w:color w:val="0F0F0F"/>
          <w:lang w:val="en-GB"/>
        </w:rPr>
      </w:pPr>
      <w:r w:rsidRPr="005F0340">
        <w:rPr>
          <w:rFonts w:asciiTheme="minorHAnsi" w:hAnsiTheme="minorHAnsi" w:cstheme="minorHAnsi"/>
          <w:color w:val="0F0F0F"/>
          <w:lang w:val="en-GB"/>
        </w:rPr>
        <w:t xml:space="preserve">Alastria CITT representatives </w:t>
      </w:r>
      <w:r w:rsidR="00CD41A7">
        <w:rPr>
          <w:rFonts w:asciiTheme="minorHAnsi" w:hAnsiTheme="minorHAnsi" w:cstheme="minorHAnsi"/>
          <w:color w:val="0F0F0F"/>
          <w:lang w:val="en-GB"/>
        </w:rPr>
        <w:t>(</w:t>
      </w:r>
      <w:proofErr w:type="spellStart"/>
      <w:r w:rsidR="00CD41A7">
        <w:rPr>
          <w:rFonts w:asciiTheme="minorHAnsi" w:hAnsiTheme="minorHAnsi" w:cstheme="minorHAnsi"/>
          <w:color w:val="0F0F0F"/>
          <w:lang w:val="en-GB"/>
        </w:rPr>
        <w:t>Comission</w:t>
      </w:r>
      <w:proofErr w:type="spellEnd"/>
      <w:r w:rsidR="00CD41A7">
        <w:rPr>
          <w:rFonts w:asciiTheme="minorHAnsi" w:hAnsiTheme="minorHAnsi" w:cstheme="minorHAnsi"/>
          <w:color w:val="0F0F0F"/>
          <w:lang w:val="en-GB"/>
        </w:rPr>
        <w:t xml:space="preserve"> for Academic Knowledge Transference) </w:t>
      </w:r>
      <w:r w:rsidRPr="005F0340">
        <w:rPr>
          <w:rFonts w:asciiTheme="minorHAnsi" w:hAnsiTheme="minorHAnsi" w:cstheme="minorHAnsi"/>
          <w:color w:val="0F0F0F"/>
          <w:lang w:val="en-GB"/>
        </w:rPr>
        <w:t xml:space="preserve">have reasonable doubts on the convenience </w:t>
      </w:r>
      <w:proofErr w:type="spellStart"/>
      <w:r w:rsidRPr="005F0340">
        <w:rPr>
          <w:rFonts w:asciiTheme="minorHAnsi" w:hAnsiTheme="minorHAnsi" w:cstheme="minorHAnsi"/>
          <w:color w:val="0F0F0F"/>
          <w:lang w:val="en-GB"/>
        </w:rPr>
        <w:t>o</w:t>
      </w:r>
      <w:proofErr w:type="spellEnd"/>
      <w:r w:rsidRPr="005F0340">
        <w:rPr>
          <w:rFonts w:asciiTheme="minorHAnsi" w:hAnsiTheme="minorHAnsi" w:cstheme="minorHAnsi"/>
          <w:color w:val="0F0F0F"/>
          <w:lang w:val="en-GB"/>
        </w:rPr>
        <w:t xml:space="preserve"> an automatic translation of burdens envisaged in the RTS, mainly some of them related to the collection and incorporation and combined interpretation of data on lifecycle assessment for HW equipment and their connection with the relevant geographical, energy and HW devices used by nodes. Some of these representatives wonder to what extent and why should some CASPs and whitepaper authors (whether or not within the token issuer’s staff </w:t>
      </w:r>
      <w:proofErr w:type="gramStart"/>
      <w:r w:rsidRPr="005F0340">
        <w:rPr>
          <w:rFonts w:asciiTheme="minorHAnsi" w:hAnsiTheme="minorHAnsi" w:cstheme="minorHAnsi"/>
          <w:color w:val="0F0F0F"/>
          <w:lang w:val="en-GB"/>
        </w:rPr>
        <w:t>or  perimeter</w:t>
      </w:r>
      <w:proofErr w:type="gramEnd"/>
      <w:r w:rsidRPr="005F0340">
        <w:rPr>
          <w:rFonts w:asciiTheme="minorHAnsi" w:hAnsiTheme="minorHAnsi" w:cstheme="minorHAnsi"/>
          <w:color w:val="0F0F0F"/>
          <w:lang w:val="en-GB"/>
        </w:rPr>
        <w:t xml:space="preserve"> of connected persons) should stand the burden of identifying these features and combine them with the proposed datasets on parameters. </w:t>
      </w:r>
      <w:r w:rsidRPr="00A70C18">
        <w:rPr>
          <w:rFonts w:asciiTheme="minorHAnsi" w:hAnsiTheme="minorHAnsi" w:cstheme="minorHAnsi"/>
          <w:color w:val="0F0F0F"/>
          <w:lang w:val="en-GB"/>
        </w:rPr>
        <w:t xml:space="preserve">Should they really be </w:t>
      </w:r>
      <w:proofErr w:type="spellStart"/>
      <w:r w:rsidRPr="00A70C18">
        <w:rPr>
          <w:rFonts w:asciiTheme="minorHAnsi" w:hAnsiTheme="minorHAnsi" w:cstheme="minorHAnsi"/>
          <w:color w:val="0F0F0F"/>
          <w:lang w:val="en-GB"/>
        </w:rPr>
        <w:t>responsable</w:t>
      </w:r>
      <w:proofErr w:type="spellEnd"/>
      <w:r w:rsidRPr="00A70C18">
        <w:rPr>
          <w:rFonts w:asciiTheme="minorHAnsi" w:hAnsiTheme="minorHAnsi" w:cstheme="minorHAnsi"/>
          <w:color w:val="0F0F0F"/>
          <w:lang w:val="en-GB"/>
        </w:rPr>
        <w:t xml:space="preserve"> for obtaining comparable and reliable assessments of the sustainability impact of consensus mechanisms? It is to be noted that the answer to this question depends on the proximity of DLT network administrator and validator nodes with token issuers and CASPS. </w:t>
      </w:r>
    </w:p>
    <w:p w14:paraId="4F9FDC46" w14:textId="77777777" w:rsidR="00266857" w:rsidRPr="00A70C18" w:rsidRDefault="00266857" w:rsidP="00266857">
      <w:pPr>
        <w:pStyle w:val="Default"/>
        <w:jc w:val="both"/>
        <w:rPr>
          <w:rFonts w:asciiTheme="minorHAnsi" w:hAnsiTheme="minorHAnsi" w:cstheme="minorHAnsi"/>
          <w:i/>
          <w:color w:val="0F0F0F"/>
          <w:lang w:val="en-GB"/>
        </w:rPr>
      </w:pPr>
    </w:p>
    <w:p w14:paraId="42D24D4F" w14:textId="7777777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In absence of the aforesaid </w:t>
      </w:r>
      <w:proofErr w:type="gramStart"/>
      <w:r w:rsidRPr="00A70C18">
        <w:rPr>
          <w:rFonts w:asciiTheme="minorHAnsi" w:hAnsiTheme="minorHAnsi" w:cstheme="minorHAnsi"/>
          <w:color w:val="0F0F0F"/>
          <w:lang w:val="en-GB"/>
        </w:rPr>
        <w:t>proximity</w:t>
      </w:r>
      <w:proofErr w:type="gramEnd"/>
      <w:r w:rsidRPr="00A70C18">
        <w:rPr>
          <w:rFonts w:asciiTheme="minorHAnsi" w:hAnsiTheme="minorHAnsi" w:cstheme="minorHAnsi"/>
          <w:color w:val="0F0F0F"/>
          <w:lang w:val="en-GB"/>
        </w:rPr>
        <w:t xml:space="preserve"> it would be inefficient imposing them such inner administrative burdens, possible distracting </w:t>
      </w:r>
      <w:proofErr w:type="spellStart"/>
      <w:r w:rsidRPr="00A70C18">
        <w:rPr>
          <w:rFonts w:asciiTheme="minorHAnsi" w:hAnsiTheme="minorHAnsi" w:cstheme="minorHAnsi"/>
          <w:color w:val="0F0F0F"/>
          <w:lang w:val="en-GB"/>
        </w:rPr>
        <w:t>firme</w:t>
      </w:r>
      <w:proofErr w:type="spellEnd"/>
      <w:r w:rsidRPr="00A70C18">
        <w:rPr>
          <w:rFonts w:asciiTheme="minorHAnsi" w:hAnsiTheme="minorHAnsi" w:cstheme="minorHAnsi"/>
          <w:color w:val="0F0F0F"/>
          <w:lang w:val="en-GB"/>
        </w:rPr>
        <w:t xml:space="preserve"> resources from its main end, the </w:t>
      </w:r>
      <w:r w:rsidRPr="00A70C18">
        <w:rPr>
          <w:rFonts w:asciiTheme="minorHAnsi" w:hAnsiTheme="minorHAnsi" w:cstheme="minorHAnsi"/>
          <w:color w:val="0F0F0F"/>
          <w:lang w:val="en-GB"/>
        </w:rPr>
        <w:lastRenderedPageBreak/>
        <w:t>achievement of its societal interest, which is also social in a modern company-law ESG-oriented sense.</w:t>
      </w:r>
    </w:p>
    <w:p w14:paraId="18ECAE69" w14:textId="77777777" w:rsidR="00266857" w:rsidRPr="00A70C18" w:rsidRDefault="00266857" w:rsidP="00266857">
      <w:pPr>
        <w:pStyle w:val="Default"/>
        <w:jc w:val="both"/>
        <w:rPr>
          <w:rFonts w:asciiTheme="minorHAnsi" w:hAnsiTheme="minorHAnsi" w:cstheme="minorHAnsi"/>
          <w:i/>
          <w:color w:val="0F0F0F"/>
          <w:lang w:val="en-GB"/>
        </w:rPr>
      </w:pPr>
    </w:p>
    <w:p w14:paraId="4AEBBC66" w14:textId="77777777" w:rsidR="00266857" w:rsidRPr="00A70C18" w:rsidRDefault="00266857" w:rsidP="00266857">
      <w:pPr>
        <w:pStyle w:val="Default"/>
        <w:jc w:val="both"/>
        <w:rPr>
          <w:rFonts w:asciiTheme="minorHAnsi" w:hAnsiTheme="minorHAnsi" w:cstheme="minorHAnsi"/>
          <w:i/>
          <w:color w:val="0F0F0F"/>
          <w:lang w:val="en-GB"/>
        </w:rPr>
      </w:pPr>
      <w:r w:rsidRPr="00A70C18">
        <w:rPr>
          <w:rFonts w:asciiTheme="minorHAnsi" w:hAnsiTheme="minorHAnsi" w:cstheme="minorHAnsi"/>
          <w:i/>
          <w:color w:val="0F0F0F"/>
          <w:lang w:val="en-GB"/>
        </w:rPr>
        <w:t>Alternatives</w:t>
      </w:r>
    </w:p>
    <w:p w14:paraId="50A76F1E" w14:textId="77777777" w:rsidR="00266857" w:rsidRPr="00A70C18" w:rsidRDefault="00266857" w:rsidP="00266857">
      <w:pPr>
        <w:pStyle w:val="Default"/>
        <w:jc w:val="both"/>
        <w:rPr>
          <w:rFonts w:asciiTheme="minorHAnsi" w:hAnsiTheme="minorHAnsi" w:cstheme="minorHAnsi"/>
          <w:b/>
          <w:color w:val="0F0F0F"/>
          <w:lang w:val="en-GB"/>
        </w:rPr>
      </w:pPr>
    </w:p>
    <w:p w14:paraId="425EB87A" w14:textId="7777777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Considerable burden alleviation. The related RTS (cf. Recital 11) imposes a culture of exhausting checking out of supposedly relevant parameters just to support investor transparency. The model should not mix the aims of reporting regulation directly oriented to preserve the atmosphere or prevent greenwashing (like in the NFRD and CSRD context) with the more limited scope of ESMA aims within the </w:t>
      </w:r>
      <w:proofErr w:type="spellStart"/>
      <w:r w:rsidRPr="00A70C18">
        <w:rPr>
          <w:rFonts w:asciiTheme="minorHAnsi" w:hAnsiTheme="minorHAnsi" w:cstheme="minorHAnsi"/>
          <w:color w:val="0F0F0F"/>
          <w:lang w:val="en-GB"/>
        </w:rPr>
        <w:t>MiCA</w:t>
      </w:r>
      <w:proofErr w:type="spellEnd"/>
      <w:r w:rsidRPr="00A70C18">
        <w:rPr>
          <w:rFonts w:asciiTheme="minorHAnsi" w:hAnsiTheme="minorHAnsi" w:cstheme="minorHAnsi"/>
          <w:color w:val="0F0F0F"/>
          <w:lang w:val="en-GB"/>
        </w:rPr>
        <w:t xml:space="preserve"> context.</w:t>
      </w:r>
    </w:p>
    <w:p w14:paraId="46D7ED59" w14:textId="77777777" w:rsidR="00266857" w:rsidRPr="00A70C18" w:rsidRDefault="00266857" w:rsidP="00266857">
      <w:pPr>
        <w:pStyle w:val="Default"/>
        <w:jc w:val="both"/>
        <w:rPr>
          <w:rFonts w:asciiTheme="minorHAnsi" w:hAnsiTheme="minorHAnsi" w:cstheme="minorHAnsi"/>
          <w:color w:val="0F0F0F"/>
          <w:lang w:val="en-GB"/>
        </w:rPr>
      </w:pPr>
    </w:p>
    <w:p w14:paraId="64B93EAE" w14:textId="7777777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A more synthetical panel of quantitative metrics on consumption of non-renewable energy, generation of hazardous waste and of waste from electrical and electronic equipment could be replace by more descriptive set of contents, like in the case of the envisaged description of the impact on natural resources of the use of HW equipment by nodes.</w:t>
      </w:r>
    </w:p>
    <w:p w14:paraId="31A680C3" w14:textId="77777777" w:rsidR="00266857" w:rsidRPr="00A70C18" w:rsidRDefault="00266857" w:rsidP="00266857">
      <w:pPr>
        <w:pStyle w:val="Default"/>
        <w:jc w:val="both"/>
        <w:rPr>
          <w:rFonts w:asciiTheme="minorHAnsi" w:hAnsiTheme="minorHAnsi" w:cstheme="minorHAnsi"/>
          <w:color w:val="0F0F0F"/>
          <w:lang w:val="en-GB"/>
        </w:rPr>
      </w:pPr>
    </w:p>
    <w:p w14:paraId="5BA693BA" w14:textId="77777777" w:rsidR="00266857" w:rsidRPr="00A70C18" w:rsidRDefault="00266857" w:rsidP="00266857">
      <w:pPr>
        <w:pStyle w:val="Default"/>
        <w:jc w:val="both"/>
        <w:rPr>
          <w:rFonts w:asciiTheme="minorHAnsi" w:hAnsiTheme="minorHAnsi" w:cstheme="minorHAnsi"/>
          <w:color w:val="0F0F0F"/>
          <w:lang w:val="en-GB"/>
        </w:rPr>
      </w:pPr>
      <w:r w:rsidRPr="00A70C18">
        <w:rPr>
          <w:rFonts w:asciiTheme="minorHAnsi" w:hAnsiTheme="minorHAnsi" w:cstheme="minorHAnsi"/>
          <w:color w:val="0F0F0F"/>
          <w:lang w:val="en-GB"/>
        </w:rPr>
        <w:t xml:space="preserve">The listing of possible data-handling alternatives would be </w:t>
      </w:r>
      <w:proofErr w:type="spellStart"/>
      <w:r w:rsidRPr="00A70C18">
        <w:rPr>
          <w:rFonts w:asciiTheme="minorHAnsi" w:hAnsiTheme="minorHAnsi" w:cstheme="minorHAnsi"/>
          <w:color w:val="0F0F0F"/>
          <w:lang w:val="en-GB"/>
        </w:rPr>
        <w:t>incountable</w:t>
      </w:r>
      <w:proofErr w:type="spellEnd"/>
      <w:r w:rsidRPr="00A70C18">
        <w:rPr>
          <w:rFonts w:asciiTheme="minorHAnsi" w:hAnsiTheme="minorHAnsi" w:cstheme="minorHAnsi"/>
          <w:color w:val="0F0F0F"/>
          <w:lang w:val="en-GB"/>
        </w:rPr>
        <w:t xml:space="preserve"> and ineffective. We just suggest focusing on a more limited number of available and essential quantitative metrics.</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32310DF" w14:textId="77777777" w:rsidR="00500C05" w:rsidRDefault="00500C05" w:rsidP="00FA64BE">
      <w:pPr>
        <w:rPr>
          <w:rFonts w:ascii="Arial" w:hAnsi="Arial" w:cs="Arial"/>
          <w:i/>
          <w:iCs/>
        </w:rPr>
      </w:pPr>
      <w:permStart w:id="480602896" w:edGrp="everyone"/>
    </w:p>
    <w:p w14:paraId="321ACF4D" w14:textId="1A61C083" w:rsidR="00500C05" w:rsidRDefault="00500C05" w:rsidP="00FA64BE">
      <w:pPr>
        <w:rPr>
          <w:rFonts w:ascii="Arial" w:hAnsi="Arial" w:cs="Arial"/>
          <w:i/>
          <w:iCs/>
        </w:rPr>
      </w:pPr>
      <w:r>
        <w:rPr>
          <w:rFonts w:ascii="Arial" w:hAnsi="Arial" w:cs="Arial"/>
          <w:i/>
          <w:iCs/>
        </w:rPr>
        <w:t xml:space="preserve">Response </w:t>
      </w:r>
    </w:p>
    <w:p w14:paraId="362E0BB6" w14:textId="364BB29F" w:rsidR="00500C05" w:rsidRDefault="00500C05" w:rsidP="00FA64BE">
      <w:pPr>
        <w:rPr>
          <w:rFonts w:ascii="Arial" w:hAnsi="Arial" w:cs="Arial"/>
          <w:i/>
          <w:iCs/>
        </w:rPr>
      </w:pPr>
    </w:p>
    <w:p w14:paraId="111054D5" w14:textId="6AD7ED42" w:rsidR="00500C05" w:rsidRDefault="00500C05" w:rsidP="00E93660">
      <w:pPr>
        <w:jc w:val="both"/>
        <w:rPr>
          <w:rFonts w:ascii="Arial" w:hAnsi="Arial" w:cs="Arial"/>
        </w:rPr>
      </w:pPr>
      <w:r>
        <w:rPr>
          <w:rFonts w:ascii="Arial" w:hAnsi="Arial" w:cs="Arial"/>
        </w:rPr>
        <w:t xml:space="preserve">In our view, the costs of accessing data to compute such metrics, as structured by the draft, can be disproportionate and excessive, even deterring some obliged subjects, who will probably prefer assuming sanctions or fines rather than collecting compulsory data, unless these ones are served in organised DLT consortia under public-permissioned systems like Alastria. </w:t>
      </w:r>
    </w:p>
    <w:p w14:paraId="78B5E37A" w14:textId="74E4ABBD" w:rsidR="00500C05" w:rsidRDefault="00500C05" w:rsidP="00E93660">
      <w:pPr>
        <w:jc w:val="both"/>
        <w:rPr>
          <w:rFonts w:ascii="Arial" w:hAnsi="Arial" w:cs="Arial"/>
        </w:rPr>
      </w:pPr>
    </w:p>
    <w:p w14:paraId="6CD59655" w14:textId="77777777" w:rsidR="00500C05" w:rsidRDefault="00500C05" w:rsidP="00E93660">
      <w:pPr>
        <w:jc w:val="both"/>
        <w:rPr>
          <w:rFonts w:ascii="Arial" w:hAnsi="Arial" w:cs="Arial"/>
        </w:rPr>
      </w:pPr>
      <w:r>
        <w:rPr>
          <w:rFonts w:ascii="Arial" w:hAnsi="Arial" w:cs="Arial"/>
        </w:rPr>
        <w:t>Apart from this, it is to be noted that a subtle and granular segmentation of addressed and concerned subjects would probably stimulate those more reluctant to assumed the cost of accessing the necessary data for sustainability metrics</w:t>
      </w:r>
    </w:p>
    <w:p w14:paraId="513C19B8" w14:textId="77777777" w:rsidR="00500C05" w:rsidRDefault="00500C05" w:rsidP="00E93660">
      <w:pPr>
        <w:jc w:val="both"/>
        <w:rPr>
          <w:rFonts w:ascii="Arial" w:hAnsi="Arial" w:cs="Arial"/>
        </w:rPr>
      </w:pPr>
    </w:p>
    <w:p w14:paraId="4D9FBF61" w14:textId="77777777" w:rsidR="00500C05" w:rsidRDefault="00500C05" w:rsidP="00E93660">
      <w:pPr>
        <w:jc w:val="both"/>
        <w:rPr>
          <w:rFonts w:ascii="Arial" w:hAnsi="Arial" w:cs="Arial"/>
          <w:i/>
          <w:iCs/>
        </w:rPr>
      </w:pPr>
      <w:r>
        <w:rPr>
          <w:rFonts w:ascii="Arial" w:hAnsi="Arial" w:cs="Arial"/>
          <w:i/>
          <w:iCs/>
        </w:rPr>
        <w:t>Alternatives</w:t>
      </w:r>
    </w:p>
    <w:p w14:paraId="676FA715" w14:textId="77777777" w:rsidR="00500C05" w:rsidRDefault="00500C05" w:rsidP="00E93660">
      <w:pPr>
        <w:jc w:val="both"/>
        <w:rPr>
          <w:rFonts w:ascii="Arial" w:hAnsi="Arial" w:cs="Arial"/>
          <w:i/>
          <w:iCs/>
        </w:rPr>
      </w:pPr>
    </w:p>
    <w:p w14:paraId="039D6B93" w14:textId="66C76FF0" w:rsidR="00500C05" w:rsidRPr="00500C05" w:rsidRDefault="00500C05" w:rsidP="00E93660">
      <w:pPr>
        <w:jc w:val="both"/>
        <w:rPr>
          <w:rFonts w:ascii="Arial" w:hAnsi="Arial" w:cs="Arial"/>
        </w:rPr>
      </w:pPr>
      <w:r>
        <w:rPr>
          <w:rFonts w:ascii="Arial" w:hAnsi="Arial" w:cs="Arial"/>
        </w:rPr>
        <w:t xml:space="preserve">We suggest a granular subjective approach in accordance with the </w:t>
      </w:r>
      <w:r w:rsidR="00C927E6">
        <w:rPr>
          <w:rFonts w:ascii="Arial" w:hAnsi="Arial" w:cs="Arial"/>
        </w:rPr>
        <w:t xml:space="preserve">size, legal </w:t>
      </w:r>
      <w:r>
        <w:rPr>
          <w:rFonts w:ascii="Arial" w:hAnsi="Arial" w:cs="Arial"/>
        </w:rPr>
        <w:t xml:space="preserve">nature and </w:t>
      </w:r>
      <w:r w:rsidR="00C927E6">
        <w:rPr>
          <w:rFonts w:ascii="Arial" w:hAnsi="Arial" w:cs="Arial"/>
        </w:rPr>
        <w:t xml:space="preserve">economic </w:t>
      </w:r>
      <w:r>
        <w:rPr>
          <w:rFonts w:ascii="Arial" w:hAnsi="Arial" w:cs="Arial"/>
        </w:rPr>
        <w:t xml:space="preserve">aims of addressees and duty-obliged </w:t>
      </w:r>
      <w:r w:rsidR="00C927E6">
        <w:rPr>
          <w:rFonts w:ascii="Arial" w:hAnsi="Arial" w:cs="Arial"/>
        </w:rPr>
        <w:t>entities.</w:t>
      </w:r>
    </w:p>
    <w:p w14:paraId="3BBAE091" w14:textId="7521525D" w:rsidR="00FA64BE" w:rsidRDefault="00FA64BE" w:rsidP="00FA64BE"/>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lastRenderedPageBreak/>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0FBEA900" w14:textId="4984D2F8" w:rsidR="00FA64BE" w:rsidRDefault="00C927E6" w:rsidP="00FA64BE">
      <w:pPr>
        <w:rPr>
          <w:rFonts w:asciiTheme="minorHAnsi" w:hAnsiTheme="minorHAnsi" w:cstheme="minorHAnsi"/>
          <w:i/>
          <w:iCs/>
        </w:rPr>
      </w:pPr>
      <w:permStart w:id="74328323" w:edGrp="everyone"/>
      <w:r>
        <w:rPr>
          <w:rFonts w:asciiTheme="minorHAnsi" w:hAnsiTheme="minorHAnsi" w:cstheme="minorHAnsi"/>
          <w:i/>
          <w:iCs/>
        </w:rPr>
        <w:t xml:space="preserve">Response </w:t>
      </w:r>
    </w:p>
    <w:p w14:paraId="079E5368" w14:textId="4C93AE37" w:rsidR="00C927E6" w:rsidRDefault="00C927E6" w:rsidP="00FA64BE">
      <w:pPr>
        <w:rPr>
          <w:rFonts w:asciiTheme="minorHAnsi" w:hAnsiTheme="minorHAnsi" w:cstheme="minorHAnsi"/>
          <w:i/>
          <w:iCs/>
        </w:rPr>
      </w:pPr>
    </w:p>
    <w:p w14:paraId="588F5CF4" w14:textId="7B6A3750" w:rsidR="00C927E6" w:rsidRDefault="00C927E6" w:rsidP="00E93660">
      <w:pPr>
        <w:jc w:val="both"/>
        <w:rPr>
          <w:rFonts w:asciiTheme="minorHAnsi" w:hAnsiTheme="minorHAnsi" w:cstheme="minorHAnsi"/>
        </w:rPr>
      </w:pPr>
      <w:r>
        <w:rPr>
          <w:rFonts w:asciiTheme="minorHAnsi" w:hAnsiTheme="minorHAnsi" w:cstheme="minorHAnsi"/>
        </w:rPr>
        <w:t xml:space="preserve">Though entering into relevant environmental matters, the ESMA approach lacks a thorough social / ethical / economic approach encompassing CSR / ESG key sustainability issues concerning metrics of social impact derived from DLT transactions within the context of gas use, deployment of smart contracts and implementation of APIs and </w:t>
      </w:r>
      <w:proofErr w:type="spellStart"/>
      <w:r>
        <w:rPr>
          <w:rFonts w:asciiTheme="minorHAnsi" w:hAnsiTheme="minorHAnsi" w:cstheme="minorHAnsi"/>
        </w:rPr>
        <w:t>DApps</w:t>
      </w:r>
      <w:proofErr w:type="spellEnd"/>
      <w:r>
        <w:rPr>
          <w:rFonts w:asciiTheme="minorHAnsi" w:hAnsiTheme="minorHAnsi" w:cstheme="minorHAnsi"/>
        </w:rPr>
        <w:t xml:space="preserve"> on the upper layer of the DLT-network architecture. </w:t>
      </w:r>
    </w:p>
    <w:p w14:paraId="538C375C" w14:textId="453494D2" w:rsidR="00C927E6" w:rsidRDefault="00C927E6" w:rsidP="00E93660">
      <w:pPr>
        <w:jc w:val="both"/>
        <w:rPr>
          <w:rFonts w:asciiTheme="minorHAnsi" w:hAnsiTheme="minorHAnsi" w:cstheme="minorHAnsi"/>
        </w:rPr>
      </w:pPr>
    </w:p>
    <w:p w14:paraId="0D3E1DC6" w14:textId="46E9968B" w:rsidR="00C927E6" w:rsidRDefault="00C927E6" w:rsidP="00E93660">
      <w:pPr>
        <w:jc w:val="both"/>
        <w:rPr>
          <w:rFonts w:asciiTheme="minorHAnsi" w:hAnsiTheme="minorHAnsi" w:cstheme="minorHAnsi"/>
        </w:rPr>
      </w:pPr>
      <w:r>
        <w:rPr>
          <w:rFonts w:asciiTheme="minorHAnsi" w:hAnsiTheme="minorHAnsi" w:cstheme="minorHAnsi"/>
        </w:rPr>
        <w:t xml:space="preserve">Such measurable impacts could include relevant social items like </w:t>
      </w:r>
      <w:r w:rsidRPr="00C927E6">
        <w:rPr>
          <w:rFonts w:asciiTheme="minorHAnsi" w:hAnsiTheme="minorHAnsi" w:cstheme="minorHAnsi"/>
        </w:rPr>
        <w:t xml:space="preserve">number of </w:t>
      </w:r>
      <w:r>
        <w:rPr>
          <w:rFonts w:asciiTheme="minorHAnsi" w:hAnsiTheme="minorHAnsi" w:cstheme="minorHAnsi"/>
        </w:rPr>
        <w:t>actual or potential investors or consumers</w:t>
      </w:r>
      <w:r w:rsidRPr="00C927E6">
        <w:rPr>
          <w:rFonts w:asciiTheme="minorHAnsi" w:hAnsiTheme="minorHAnsi" w:cstheme="minorHAnsi"/>
        </w:rPr>
        <w:t xml:space="preserve"> reached by </w:t>
      </w:r>
      <w:r>
        <w:rPr>
          <w:rFonts w:asciiTheme="minorHAnsi" w:hAnsiTheme="minorHAnsi" w:cstheme="minorHAnsi"/>
        </w:rPr>
        <w:t xml:space="preserve">DLT-network </w:t>
      </w:r>
      <w:proofErr w:type="spellStart"/>
      <w:r>
        <w:rPr>
          <w:rFonts w:asciiTheme="minorHAnsi" w:hAnsiTheme="minorHAnsi" w:cstheme="minorHAnsi"/>
        </w:rPr>
        <w:t>transations</w:t>
      </w:r>
      <w:proofErr w:type="spellEnd"/>
      <w:r>
        <w:rPr>
          <w:rFonts w:asciiTheme="minorHAnsi" w:hAnsiTheme="minorHAnsi" w:cstheme="minorHAnsi"/>
        </w:rPr>
        <w:t xml:space="preserve"> (from data collectable by validating nodes or PPDL consortia, among other sources), impacts on</w:t>
      </w:r>
      <w:r w:rsidRPr="00C927E6">
        <w:rPr>
          <w:rFonts w:asciiTheme="minorHAnsi" w:hAnsiTheme="minorHAnsi" w:cstheme="minorHAnsi"/>
        </w:rPr>
        <w:t xml:space="preserve"> organization’s programs, number of </w:t>
      </w:r>
      <w:r>
        <w:rPr>
          <w:rFonts w:asciiTheme="minorHAnsi" w:hAnsiTheme="minorHAnsi" w:cstheme="minorHAnsi"/>
        </w:rPr>
        <w:t xml:space="preserve">NGOs or </w:t>
      </w:r>
      <w:r w:rsidRPr="00C927E6">
        <w:rPr>
          <w:rFonts w:asciiTheme="minorHAnsi" w:hAnsiTheme="minorHAnsi" w:cstheme="minorHAnsi"/>
        </w:rPr>
        <w:t>volunteer</w:t>
      </w:r>
      <w:r>
        <w:rPr>
          <w:rFonts w:asciiTheme="minorHAnsi" w:hAnsiTheme="minorHAnsi" w:cstheme="minorHAnsi"/>
        </w:rPr>
        <w:t xml:space="preserve"> organisations and subjects</w:t>
      </w:r>
      <w:r w:rsidRPr="00C927E6">
        <w:rPr>
          <w:rFonts w:asciiTheme="minorHAnsi" w:hAnsiTheme="minorHAnsi" w:cstheme="minorHAnsi"/>
        </w:rPr>
        <w:t xml:space="preserve"> who have participated over time (as a measure of engagement)</w:t>
      </w:r>
      <w:r>
        <w:rPr>
          <w:rFonts w:asciiTheme="minorHAnsi" w:hAnsiTheme="minorHAnsi" w:cstheme="minorHAnsi"/>
        </w:rPr>
        <w:t xml:space="preserve"> in DLT-related activities like the construction of consensus protocols, operating nodes, or just served time and effort (also measurable) to build the public-permissioned environment, in local, regional or national communities or ecosystems. Such social measures are relevant to compare social </w:t>
      </w:r>
      <w:r w:rsidR="001E095C">
        <w:rPr>
          <w:rFonts w:asciiTheme="minorHAnsi" w:hAnsiTheme="minorHAnsi" w:cstheme="minorHAnsi"/>
        </w:rPr>
        <w:t xml:space="preserve">DLT </w:t>
      </w:r>
      <w:r>
        <w:rPr>
          <w:rFonts w:asciiTheme="minorHAnsi" w:hAnsiTheme="minorHAnsi" w:cstheme="minorHAnsi"/>
        </w:rPr>
        <w:t xml:space="preserve">metrics </w:t>
      </w:r>
      <w:r w:rsidR="001E095C">
        <w:rPr>
          <w:rFonts w:asciiTheme="minorHAnsi" w:hAnsiTheme="minorHAnsi" w:cstheme="minorHAnsi"/>
        </w:rPr>
        <w:t xml:space="preserve">with other non-DLT related social metrics, in and out of the investment or </w:t>
      </w:r>
      <w:proofErr w:type="spellStart"/>
      <w:r w:rsidR="001E095C">
        <w:rPr>
          <w:rFonts w:asciiTheme="minorHAnsi" w:hAnsiTheme="minorHAnsi" w:cstheme="minorHAnsi"/>
        </w:rPr>
        <w:t>DeFi</w:t>
      </w:r>
      <w:proofErr w:type="spellEnd"/>
      <w:r w:rsidR="001E095C">
        <w:rPr>
          <w:rFonts w:asciiTheme="minorHAnsi" w:hAnsiTheme="minorHAnsi" w:cstheme="minorHAnsi"/>
        </w:rPr>
        <w:t xml:space="preserve"> field related with supervisory authority tasks. Such metrics could even compare the</w:t>
      </w:r>
      <w:r w:rsidRPr="00C927E6">
        <w:rPr>
          <w:rFonts w:asciiTheme="minorHAnsi" w:hAnsiTheme="minorHAnsi" w:cstheme="minorHAnsi"/>
        </w:rPr>
        <w:t xml:space="preserve"> quality of life </w:t>
      </w:r>
      <w:r w:rsidR="001E095C">
        <w:rPr>
          <w:rFonts w:asciiTheme="minorHAnsi" w:hAnsiTheme="minorHAnsi" w:cstheme="minorHAnsi"/>
        </w:rPr>
        <w:t>of</w:t>
      </w:r>
      <w:r w:rsidRPr="00C927E6">
        <w:rPr>
          <w:rFonts w:asciiTheme="minorHAnsi" w:hAnsiTheme="minorHAnsi" w:cstheme="minorHAnsi"/>
        </w:rPr>
        <w:t xml:space="preserve"> </w:t>
      </w:r>
      <w:r w:rsidR="001E095C">
        <w:rPr>
          <w:rFonts w:asciiTheme="minorHAnsi" w:hAnsiTheme="minorHAnsi" w:cstheme="minorHAnsi"/>
        </w:rPr>
        <w:t>investors and other</w:t>
      </w:r>
      <w:r w:rsidRPr="00C927E6">
        <w:rPr>
          <w:rFonts w:asciiTheme="minorHAnsi" w:hAnsiTheme="minorHAnsi" w:cstheme="minorHAnsi"/>
        </w:rPr>
        <w:t xml:space="preserve"> stakeholders</w:t>
      </w:r>
      <w:r w:rsidR="001E095C">
        <w:rPr>
          <w:rFonts w:asciiTheme="minorHAnsi" w:hAnsiTheme="minorHAnsi" w:cstheme="minorHAnsi"/>
        </w:rPr>
        <w:t xml:space="preserve"> using DLT networks by categories, and the social status of investors using or not DLT node or other non-DLT investing tools</w:t>
      </w:r>
      <w:r w:rsidR="00E93660">
        <w:rPr>
          <w:rFonts w:asciiTheme="minorHAnsi" w:hAnsiTheme="minorHAnsi" w:cstheme="minorHAnsi"/>
        </w:rPr>
        <w:t>.</w:t>
      </w:r>
    </w:p>
    <w:p w14:paraId="2C1101F6" w14:textId="23850692" w:rsidR="001E095C" w:rsidRDefault="001E095C" w:rsidP="00FA64BE">
      <w:pPr>
        <w:rPr>
          <w:rFonts w:asciiTheme="minorHAnsi" w:hAnsiTheme="minorHAnsi" w:cstheme="minorHAnsi"/>
        </w:rPr>
      </w:pPr>
    </w:p>
    <w:p w14:paraId="4AFE03BB" w14:textId="28BD652A" w:rsidR="001E095C" w:rsidRDefault="001E095C" w:rsidP="00FA64BE">
      <w:pPr>
        <w:rPr>
          <w:rFonts w:asciiTheme="minorHAnsi" w:hAnsiTheme="minorHAnsi" w:cstheme="minorHAnsi"/>
          <w:i/>
          <w:iCs/>
        </w:rPr>
      </w:pPr>
      <w:r>
        <w:rPr>
          <w:rFonts w:asciiTheme="minorHAnsi" w:hAnsiTheme="minorHAnsi" w:cstheme="minorHAnsi"/>
          <w:i/>
          <w:iCs/>
        </w:rPr>
        <w:t>Alternatives</w:t>
      </w:r>
    </w:p>
    <w:p w14:paraId="04DEC7A4" w14:textId="719D87B6" w:rsidR="001E095C" w:rsidRDefault="001E095C" w:rsidP="00FA64BE">
      <w:pPr>
        <w:rPr>
          <w:rFonts w:asciiTheme="minorHAnsi" w:hAnsiTheme="minorHAnsi" w:cstheme="minorHAnsi"/>
          <w:i/>
          <w:iCs/>
        </w:rPr>
      </w:pPr>
    </w:p>
    <w:p w14:paraId="436C469B" w14:textId="6F973B89" w:rsidR="001E095C" w:rsidRPr="001E095C" w:rsidRDefault="001E095C" w:rsidP="00FA64BE">
      <w:pPr>
        <w:rPr>
          <w:rFonts w:asciiTheme="minorHAnsi" w:hAnsiTheme="minorHAnsi" w:cstheme="minorHAnsi"/>
        </w:rPr>
      </w:pPr>
      <w:r>
        <w:rPr>
          <w:rFonts w:asciiTheme="minorHAnsi" w:hAnsiTheme="minorHAnsi" w:cstheme="minorHAnsi"/>
        </w:rPr>
        <w:t>Wider social sustainability approach in specific RTS</w:t>
      </w:r>
    </w:p>
    <w:p w14:paraId="78C3934E" w14:textId="77777777" w:rsidR="00C927E6" w:rsidRPr="00C927E6" w:rsidRDefault="00C927E6" w:rsidP="00FA64BE">
      <w:pPr>
        <w:rPr>
          <w:rFonts w:asciiTheme="minorHAnsi" w:hAnsiTheme="minorHAnsi" w:cstheme="minorHAnsi"/>
          <w:i/>
          <w:iCs/>
        </w:rPr>
      </w:pP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77777777" w:rsidR="00FA64BE" w:rsidRDefault="00FA64BE" w:rsidP="00FA64BE">
      <w:permStart w:id="1293448415" w:edGrp="everyone"/>
      <w:r>
        <w:lastRenderedPageBreak/>
        <w:t>TYPE YOUR TEXT HERE</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6134E0BB" w14:textId="77777777" w:rsidR="00FA3C6E" w:rsidRDefault="009537CB" w:rsidP="009537CB">
      <w:pPr>
        <w:shd w:val="clear" w:color="auto" w:fill="FFFFFF"/>
        <w:ind w:left="720"/>
        <w:jc w:val="both"/>
        <w:rPr>
          <w:rFonts w:ascii="Arial" w:hAnsi="Arial" w:cs="Arial"/>
          <w:color w:val="000000" w:themeColor="text1"/>
          <w:lang w:val="en-US" w:eastAsia="es-ES_tradnl"/>
        </w:rPr>
      </w:pPr>
      <w:permStart w:id="1363767151" w:edGrp="everyone"/>
      <w:r w:rsidRPr="00AF67B5">
        <w:rPr>
          <w:rFonts w:ascii="Arial" w:hAnsi="Arial" w:cs="Arial"/>
          <w:color w:val="000000" w:themeColor="text1"/>
          <w:lang w:val="en-US" w:eastAsia="es-ES_tradnl"/>
        </w:rPr>
        <w:t>In relation to the conceptualization of non-permissionless DLTs, there is a pressing need to address two crucial aspects</w:t>
      </w:r>
      <w:r w:rsidR="00FA3C6E">
        <w:rPr>
          <w:rFonts w:ascii="Arial" w:hAnsi="Arial" w:cs="Arial"/>
          <w:color w:val="000000" w:themeColor="text1"/>
          <w:lang w:val="en-US" w:eastAsia="es-ES_tradnl"/>
        </w:rPr>
        <w:t>:</w:t>
      </w:r>
    </w:p>
    <w:p w14:paraId="06887A87" w14:textId="77777777" w:rsidR="00FA3C6E" w:rsidRDefault="00FA3C6E" w:rsidP="009537CB">
      <w:pPr>
        <w:shd w:val="clear" w:color="auto" w:fill="FFFFFF"/>
        <w:ind w:left="720"/>
        <w:jc w:val="both"/>
        <w:rPr>
          <w:rFonts w:ascii="Arial" w:hAnsi="Arial" w:cs="Arial"/>
          <w:color w:val="000000" w:themeColor="text1"/>
          <w:lang w:val="en-US" w:eastAsia="es-ES_tradnl"/>
        </w:rPr>
      </w:pPr>
    </w:p>
    <w:p w14:paraId="424BE3FF" w14:textId="77777777" w:rsidR="00FA3C6E" w:rsidRDefault="009537CB" w:rsidP="009537CB">
      <w:pPr>
        <w:shd w:val="clear" w:color="auto" w:fill="FFFFFF"/>
        <w:ind w:left="720"/>
        <w:jc w:val="both"/>
        <w:rPr>
          <w:rFonts w:ascii="Arial" w:hAnsi="Arial" w:cs="Arial"/>
          <w:color w:val="000000" w:themeColor="text1"/>
          <w:lang w:val="en-US" w:eastAsia="es-ES_tradnl"/>
        </w:rPr>
      </w:pPr>
      <w:r w:rsidRPr="00AF67B5">
        <w:rPr>
          <w:rFonts w:ascii="Arial" w:hAnsi="Arial" w:cs="Arial"/>
          <w:color w:val="000000" w:themeColor="text1"/>
          <w:lang w:val="en-US" w:eastAsia="es-ES_tradnl"/>
        </w:rPr>
        <w:lastRenderedPageBreak/>
        <w:t>Firstly, the importance of (</w:t>
      </w:r>
      <w:proofErr w:type="spellStart"/>
      <w:r w:rsidRPr="00AF67B5">
        <w:rPr>
          <w:rFonts w:ascii="Arial" w:hAnsi="Arial" w:cs="Arial"/>
          <w:color w:val="000000" w:themeColor="text1"/>
          <w:lang w:val="en-US" w:eastAsia="es-ES_tradnl"/>
        </w:rPr>
        <w:t>i</w:t>
      </w:r>
      <w:proofErr w:type="spellEnd"/>
      <w:r w:rsidRPr="00AF67B5">
        <w:rPr>
          <w:rFonts w:ascii="Arial" w:hAnsi="Arial" w:cs="Arial"/>
          <w:color w:val="000000" w:themeColor="text1"/>
          <w:lang w:val="en-US" w:eastAsia="es-ES_tradnl"/>
        </w:rPr>
        <w:t xml:space="preserve">) incorporating and distinguishing public-permissioned networks, characterized by </w:t>
      </w:r>
      <w:r w:rsidR="009869C9" w:rsidRPr="00AF67B5">
        <w:rPr>
          <w:rFonts w:ascii="Arial" w:hAnsi="Arial" w:cs="Arial"/>
          <w:color w:val="000000" w:themeColor="text1"/>
          <w:lang w:val="en-US" w:eastAsia="es-ES_tradnl"/>
        </w:rPr>
        <w:t>strict</w:t>
      </w:r>
      <w:r w:rsidRPr="00AF67B5">
        <w:rPr>
          <w:rFonts w:ascii="Arial" w:hAnsi="Arial" w:cs="Arial"/>
          <w:color w:val="000000" w:themeColor="text1"/>
          <w:lang w:val="en-US" w:eastAsia="es-ES_tradnl"/>
        </w:rPr>
        <w:t xml:space="preserve"> contract</w:t>
      </w:r>
      <w:r w:rsidR="009869C9" w:rsidRPr="00AF67B5">
        <w:rPr>
          <w:rFonts w:ascii="Arial" w:hAnsi="Arial" w:cs="Arial"/>
          <w:color w:val="000000" w:themeColor="text1"/>
          <w:lang w:val="en-US" w:eastAsia="es-ES_tradnl"/>
        </w:rPr>
        <w:t>ual inner ruling</w:t>
      </w:r>
      <w:r w:rsidRPr="00AF67B5">
        <w:rPr>
          <w:rFonts w:ascii="Arial" w:hAnsi="Arial" w:cs="Arial"/>
          <w:color w:val="000000" w:themeColor="text1"/>
          <w:lang w:val="en-US" w:eastAsia="es-ES_tradnl"/>
        </w:rPr>
        <w:t xml:space="preserve"> and contractual </w:t>
      </w:r>
      <w:r w:rsidR="009869C9" w:rsidRPr="00AF67B5">
        <w:rPr>
          <w:rFonts w:ascii="Arial" w:hAnsi="Arial" w:cs="Arial"/>
          <w:color w:val="000000" w:themeColor="text1"/>
          <w:lang w:val="en-US" w:eastAsia="es-ES_tradnl"/>
        </w:rPr>
        <w:t xml:space="preserve">multilateral </w:t>
      </w:r>
      <w:r w:rsidRPr="00AF67B5">
        <w:rPr>
          <w:rFonts w:ascii="Arial" w:hAnsi="Arial" w:cs="Arial"/>
          <w:color w:val="000000" w:themeColor="text1"/>
          <w:lang w:val="en-US" w:eastAsia="es-ES_tradnl"/>
        </w:rPr>
        <w:t>responsibilities, although deserving to be considered as public goods as well,</w:t>
      </w:r>
      <w:r w:rsidR="009869C9" w:rsidRPr="00AF67B5">
        <w:rPr>
          <w:rFonts w:ascii="Arial" w:hAnsi="Arial" w:cs="Arial"/>
          <w:color w:val="000000" w:themeColor="text1"/>
          <w:lang w:val="en-US" w:eastAsia="es-ES_tradnl"/>
        </w:rPr>
        <w:t xml:space="preserve"> since</w:t>
      </w:r>
      <w:r w:rsidRPr="00AF67B5">
        <w:rPr>
          <w:rFonts w:ascii="Arial" w:hAnsi="Arial" w:cs="Arial"/>
          <w:color w:val="000000" w:themeColor="text1"/>
          <w:lang w:val="en-US" w:eastAsia="es-ES_tradnl"/>
        </w:rPr>
        <w:t xml:space="preserve"> they offer all the advantages of being public with the guarantees that there are nodes </w:t>
      </w:r>
      <w:r w:rsidR="009869C9" w:rsidRPr="00AF67B5">
        <w:rPr>
          <w:rFonts w:ascii="Arial" w:hAnsi="Arial" w:cs="Arial"/>
          <w:color w:val="000000" w:themeColor="text1"/>
          <w:lang w:val="en-US" w:eastAsia="es-ES_tradnl"/>
        </w:rPr>
        <w:t>granted</w:t>
      </w:r>
      <w:r w:rsidRPr="00AF67B5">
        <w:rPr>
          <w:rFonts w:ascii="Arial" w:hAnsi="Arial" w:cs="Arial"/>
          <w:color w:val="000000" w:themeColor="text1"/>
          <w:lang w:val="en-US" w:eastAsia="es-ES_tradnl"/>
        </w:rPr>
        <w:t xml:space="preserve"> </w:t>
      </w:r>
      <w:r w:rsidR="009869C9" w:rsidRPr="00AF67B5">
        <w:rPr>
          <w:rFonts w:ascii="Arial" w:hAnsi="Arial" w:cs="Arial"/>
          <w:color w:val="000000" w:themeColor="text1"/>
          <w:lang w:val="en-US" w:eastAsia="es-ES_tradnl"/>
        </w:rPr>
        <w:t xml:space="preserve">and empowered by other’s </w:t>
      </w:r>
      <w:r w:rsidRPr="00AF67B5">
        <w:rPr>
          <w:rFonts w:ascii="Arial" w:hAnsi="Arial" w:cs="Arial"/>
          <w:color w:val="000000" w:themeColor="text1"/>
          <w:lang w:val="en-US" w:eastAsia="es-ES_tradnl"/>
        </w:rPr>
        <w:t xml:space="preserve">additional permission to validate, </w:t>
      </w:r>
      <w:r w:rsidR="009869C9" w:rsidRPr="00AF67B5">
        <w:rPr>
          <w:rFonts w:ascii="Arial" w:hAnsi="Arial" w:cs="Arial"/>
          <w:color w:val="000000" w:themeColor="text1"/>
          <w:lang w:val="en-US" w:eastAsia="es-ES_tradnl"/>
        </w:rPr>
        <w:t>in order to</w:t>
      </w:r>
      <w:r w:rsidRPr="00AF67B5">
        <w:rPr>
          <w:rFonts w:ascii="Arial" w:hAnsi="Arial" w:cs="Arial"/>
          <w:color w:val="000000" w:themeColor="text1"/>
          <w:lang w:val="en-US" w:eastAsia="es-ES_tradnl"/>
        </w:rPr>
        <w:t xml:space="preserve"> </w:t>
      </w:r>
      <w:r w:rsidR="009869C9" w:rsidRPr="00AF67B5">
        <w:rPr>
          <w:rFonts w:ascii="Arial" w:hAnsi="Arial" w:cs="Arial"/>
          <w:color w:val="000000" w:themeColor="text1"/>
          <w:lang w:val="en-US" w:eastAsia="es-ES_tradnl"/>
        </w:rPr>
        <w:t>bring</w:t>
      </w:r>
      <w:r w:rsidRPr="00AF67B5">
        <w:rPr>
          <w:rFonts w:ascii="Arial" w:hAnsi="Arial" w:cs="Arial"/>
          <w:color w:val="000000" w:themeColor="text1"/>
          <w:lang w:val="en-US" w:eastAsia="es-ES_tradnl"/>
        </w:rPr>
        <w:t xml:space="preserve"> legal </w:t>
      </w:r>
      <w:r w:rsidR="009869C9" w:rsidRPr="00AF67B5">
        <w:rPr>
          <w:rFonts w:ascii="Arial" w:hAnsi="Arial" w:cs="Arial"/>
          <w:color w:val="000000" w:themeColor="text1"/>
          <w:lang w:val="en-US" w:eastAsia="es-ES_tradnl"/>
        </w:rPr>
        <w:t>certainty</w:t>
      </w:r>
      <w:r w:rsidRPr="00AF67B5">
        <w:rPr>
          <w:rFonts w:ascii="Arial" w:hAnsi="Arial" w:cs="Arial"/>
          <w:color w:val="000000" w:themeColor="text1"/>
          <w:lang w:val="en-US" w:eastAsia="es-ES_tradnl"/>
        </w:rPr>
        <w:t xml:space="preserve"> to the validation process. </w:t>
      </w:r>
    </w:p>
    <w:p w14:paraId="040CAFEB" w14:textId="77777777" w:rsidR="00FA3C6E" w:rsidRDefault="00FA3C6E" w:rsidP="009537CB">
      <w:pPr>
        <w:shd w:val="clear" w:color="auto" w:fill="FFFFFF"/>
        <w:ind w:left="720"/>
        <w:jc w:val="both"/>
        <w:rPr>
          <w:rFonts w:ascii="Arial" w:hAnsi="Arial" w:cs="Arial"/>
          <w:color w:val="000000" w:themeColor="text1"/>
          <w:lang w:val="en-US" w:eastAsia="es-ES_tradnl"/>
        </w:rPr>
      </w:pPr>
    </w:p>
    <w:p w14:paraId="2944F7A9" w14:textId="747693B0" w:rsidR="009537CB" w:rsidRPr="00AF67B5" w:rsidRDefault="009537CB" w:rsidP="009537CB">
      <w:pPr>
        <w:shd w:val="clear" w:color="auto" w:fill="FFFFFF"/>
        <w:ind w:left="720"/>
        <w:jc w:val="both"/>
        <w:rPr>
          <w:rFonts w:ascii="Arial" w:hAnsi="Arial" w:cs="Arial"/>
          <w:color w:val="000000" w:themeColor="text1"/>
          <w:lang w:val="en-US" w:eastAsia="es-ES_tradnl"/>
        </w:rPr>
      </w:pPr>
      <w:r w:rsidRPr="00AF67B5">
        <w:rPr>
          <w:rFonts w:ascii="Arial" w:hAnsi="Arial" w:cs="Arial"/>
          <w:color w:val="000000" w:themeColor="text1"/>
          <w:lang w:val="en-US" w:eastAsia="es-ES_tradnl"/>
        </w:rPr>
        <w:t xml:space="preserve">Secondly, emphasis is placed on the need to (ii) properly delimit the </w:t>
      </w:r>
      <w:r w:rsidR="009869C9" w:rsidRPr="00AF67B5">
        <w:rPr>
          <w:rFonts w:ascii="Arial" w:hAnsi="Arial" w:cs="Arial"/>
          <w:color w:val="000000" w:themeColor="text1"/>
          <w:lang w:val="en-US" w:eastAsia="es-ES_tradnl"/>
        </w:rPr>
        <w:t>legal effects</w:t>
      </w:r>
      <w:r w:rsidRPr="00AF67B5">
        <w:rPr>
          <w:rFonts w:ascii="Arial" w:hAnsi="Arial" w:cs="Arial"/>
          <w:color w:val="000000" w:themeColor="text1"/>
          <w:lang w:val="en-US" w:eastAsia="es-ES_tradnl"/>
        </w:rPr>
        <w:t xml:space="preserve"> of </w:t>
      </w:r>
      <w:r w:rsidR="009869C9" w:rsidRPr="00AF67B5">
        <w:rPr>
          <w:rFonts w:ascii="Arial" w:hAnsi="Arial" w:cs="Arial"/>
          <w:color w:val="000000" w:themeColor="text1"/>
          <w:lang w:val="en-US" w:eastAsia="es-ES_tradnl"/>
        </w:rPr>
        <w:t>celebrating a</w:t>
      </w:r>
      <w:r w:rsidRPr="00AF67B5">
        <w:rPr>
          <w:rFonts w:ascii="Arial" w:hAnsi="Arial" w:cs="Arial"/>
          <w:color w:val="000000" w:themeColor="text1"/>
          <w:lang w:val="en-US" w:eastAsia="es-ES_tradnl"/>
        </w:rPr>
        <w:t xml:space="preserve"> contract with a networ</w:t>
      </w:r>
      <w:r w:rsidR="009869C9" w:rsidRPr="00AF67B5">
        <w:rPr>
          <w:rFonts w:ascii="Arial" w:hAnsi="Arial" w:cs="Arial"/>
          <w:color w:val="000000" w:themeColor="text1"/>
          <w:lang w:val="en-US" w:eastAsia="es-ES_tradnl"/>
        </w:rPr>
        <w:t>k</w:t>
      </w:r>
      <w:r w:rsidRPr="00AF67B5">
        <w:rPr>
          <w:rFonts w:ascii="Arial" w:hAnsi="Arial" w:cs="Arial"/>
          <w:color w:val="000000" w:themeColor="text1"/>
          <w:lang w:val="en-US" w:eastAsia="es-ES_tradnl"/>
        </w:rPr>
        <w:t xml:space="preserve">. This process is essential in order, for example, to distinguish between public networks in which a consortium or foundation, by means of a </w:t>
      </w:r>
      <w:r w:rsidR="009869C9" w:rsidRPr="00AF67B5">
        <w:rPr>
          <w:rFonts w:ascii="Arial" w:hAnsi="Arial" w:cs="Arial"/>
          <w:color w:val="000000" w:themeColor="text1"/>
          <w:lang w:val="en-US" w:eastAsia="es-ES_tradnl"/>
        </w:rPr>
        <w:t xml:space="preserve">multi-node </w:t>
      </w:r>
      <w:r w:rsidRPr="00AF67B5">
        <w:rPr>
          <w:rFonts w:ascii="Arial" w:hAnsi="Arial" w:cs="Arial"/>
          <w:color w:val="000000" w:themeColor="text1"/>
          <w:lang w:val="en-US" w:eastAsia="es-ES_tradnl"/>
        </w:rPr>
        <w:t xml:space="preserve">contract, </w:t>
      </w:r>
      <w:r w:rsidR="009869C9" w:rsidRPr="00AF67B5">
        <w:rPr>
          <w:rFonts w:ascii="Arial" w:hAnsi="Arial" w:cs="Arial"/>
          <w:color w:val="000000" w:themeColor="text1"/>
          <w:lang w:val="en-US" w:eastAsia="es-ES_tradnl"/>
        </w:rPr>
        <w:t xml:space="preserve">voluntarily </w:t>
      </w:r>
      <w:r w:rsidRPr="00AF67B5">
        <w:rPr>
          <w:rFonts w:ascii="Arial" w:hAnsi="Arial" w:cs="Arial"/>
          <w:color w:val="000000" w:themeColor="text1"/>
          <w:lang w:val="en-US" w:eastAsia="es-ES_tradnl"/>
        </w:rPr>
        <w:t>collaborates in the construction or implementation of a node, without there being any ongoing services or benefits that suggest a private or licensed nature. In this context, it is essenti</w:t>
      </w:r>
      <w:r w:rsidR="009869C9" w:rsidRPr="00AF67B5">
        <w:rPr>
          <w:rFonts w:ascii="Arial" w:hAnsi="Arial" w:cs="Arial"/>
          <w:color w:val="000000" w:themeColor="text1"/>
          <w:lang w:val="en-US" w:eastAsia="es-ES_tradnl"/>
        </w:rPr>
        <w:t>al to consider the</w:t>
      </w:r>
      <w:r w:rsidRPr="00AF67B5">
        <w:rPr>
          <w:rFonts w:ascii="Arial" w:hAnsi="Arial" w:cs="Arial"/>
          <w:color w:val="000000" w:themeColor="text1"/>
          <w:lang w:val="en-US" w:eastAsia="es-ES_tradnl"/>
        </w:rPr>
        <w:t xml:space="preserve"> fact that th</w:t>
      </w:r>
      <w:r w:rsidR="009869C9" w:rsidRPr="00AF67B5">
        <w:rPr>
          <w:rFonts w:ascii="Arial" w:hAnsi="Arial" w:cs="Arial"/>
          <w:color w:val="000000" w:themeColor="text1"/>
          <w:lang w:val="en-US" w:eastAsia="es-ES_tradnl"/>
        </w:rPr>
        <w:t>e</w:t>
      </w:r>
      <w:r w:rsidRPr="00AF67B5">
        <w:rPr>
          <w:rFonts w:ascii="Arial" w:hAnsi="Arial" w:cs="Arial"/>
          <w:color w:val="000000" w:themeColor="text1"/>
          <w:lang w:val="en-US" w:eastAsia="es-ES_tradnl"/>
        </w:rPr>
        <w:t xml:space="preserve"> </w:t>
      </w:r>
      <w:proofErr w:type="spellStart"/>
      <w:r w:rsidRPr="00AF67B5">
        <w:rPr>
          <w:rFonts w:ascii="Arial" w:hAnsi="Arial" w:cs="Arial"/>
          <w:color w:val="000000" w:themeColor="text1"/>
          <w:lang w:val="en-US" w:eastAsia="es-ES_tradnl"/>
        </w:rPr>
        <w:t>the</w:t>
      </w:r>
      <w:proofErr w:type="spellEnd"/>
      <w:r w:rsidRPr="00AF67B5">
        <w:rPr>
          <w:rFonts w:ascii="Arial" w:hAnsi="Arial" w:cs="Arial"/>
          <w:color w:val="000000" w:themeColor="text1"/>
          <w:lang w:val="en-US" w:eastAsia="es-ES_tradnl"/>
        </w:rPr>
        <w:t xml:space="preserve"> platform's status as a public network</w:t>
      </w:r>
      <w:r w:rsidR="009869C9" w:rsidRPr="00AF67B5">
        <w:rPr>
          <w:rFonts w:ascii="Arial" w:hAnsi="Arial" w:cs="Arial"/>
          <w:color w:val="000000" w:themeColor="text1"/>
          <w:lang w:val="en-US" w:eastAsia="es-ES_tradnl"/>
        </w:rPr>
        <w:t xml:space="preserve"> should be not undermined by permissions</w:t>
      </w:r>
      <w:r w:rsidRPr="00AF67B5">
        <w:rPr>
          <w:rFonts w:ascii="Arial" w:hAnsi="Arial" w:cs="Arial"/>
          <w:color w:val="000000" w:themeColor="text1"/>
          <w:lang w:val="en-US" w:eastAsia="es-ES_tradnl"/>
        </w:rPr>
        <w:t xml:space="preserve">, a scenario exemplified by </w:t>
      </w:r>
      <w:r w:rsidR="00B957D6">
        <w:rPr>
          <w:rFonts w:ascii="Arial" w:hAnsi="Arial" w:cs="Arial"/>
          <w:color w:val="000000" w:themeColor="text1"/>
          <w:lang w:val="en-US" w:eastAsia="es-ES_tradnl"/>
        </w:rPr>
        <w:t>H</w:t>
      </w:r>
      <w:r w:rsidRPr="00AF67B5">
        <w:rPr>
          <w:rFonts w:ascii="Arial" w:hAnsi="Arial" w:cs="Arial"/>
          <w:color w:val="000000" w:themeColor="text1"/>
          <w:lang w:val="en-US" w:eastAsia="es-ES_tradnl"/>
        </w:rPr>
        <w:t>EDERA</w:t>
      </w:r>
      <w:r w:rsidR="00B957D6">
        <w:rPr>
          <w:rFonts w:ascii="Arial" w:hAnsi="Arial" w:cs="Arial"/>
          <w:color w:val="000000" w:themeColor="text1"/>
          <w:lang w:val="en-US" w:eastAsia="es-ES_tradnl"/>
        </w:rPr>
        <w:t>.</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662236D6" w14:textId="77777777" w:rsidR="009537CB" w:rsidRDefault="009537CB" w:rsidP="009537CB">
      <w:pPr>
        <w:jc w:val="both"/>
        <w:rPr>
          <w:rFonts w:ascii="Arial" w:hAnsi="Arial" w:cs="Arial"/>
        </w:rPr>
      </w:pPr>
      <w:permStart w:id="1236938786" w:edGrp="everyone"/>
      <w:r w:rsidRPr="009537CB">
        <w:rPr>
          <w:rFonts w:ascii="Arial" w:hAnsi="Arial" w:cs="Arial"/>
        </w:rPr>
        <w:t>Yes. It would make sense to borrow terms or concepts from this regulatory context for the development of the RTS, since the objective of the DORA Regulation</w:t>
      </w:r>
      <w:r w:rsidRPr="009537CB">
        <w:rPr>
          <w:rFonts w:ascii="Arial" w:hAnsi="Arial" w:cs="Arial"/>
          <w:vertAlign w:val="superscript"/>
        </w:rPr>
        <w:footnoteReference w:id="2"/>
      </w:r>
      <w:r w:rsidRPr="009537CB">
        <w:rPr>
          <w:rFonts w:ascii="Arial" w:hAnsi="Arial" w:cs="Arial"/>
        </w:rPr>
        <w:t xml:space="preserve"> is to establish a regulatory framework to be followed by financial institutions for the protection, detection, containment, recovery and repairing capabilities against Information and Communication Technologies (“</w:t>
      </w:r>
      <w:r w:rsidRPr="009537CB">
        <w:rPr>
          <w:rFonts w:ascii="Arial" w:hAnsi="Arial" w:cs="Arial"/>
          <w:b/>
          <w:bCs/>
        </w:rPr>
        <w:t>ICT</w:t>
      </w:r>
      <w:r w:rsidRPr="009537CB">
        <w:rPr>
          <w:rFonts w:ascii="Arial" w:hAnsi="Arial" w:cs="Arial"/>
        </w:rPr>
        <w:t>”)-related incidents.</w:t>
      </w:r>
    </w:p>
    <w:p w14:paraId="6DB94F75" w14:textId="77777777" w:rsidR="00517599" w:rsidRPr="009537CB" w:rsidRDefault="00517599" w:rsidP="009537CB">
      <w:pPr>
        <w:jc w:val="both"/>
        <w:rPr>
          <w:rFonts w:ascii="Arial" w:hAnsi="Arial" w:cs="Arial"/>
        </w:rPr>
      </w:pPr>
    </w:p>
    <w:p w14:paraId="499EB03E" w14:textId="77777777" w:rsidR="009537CB" w:rsidRPr="009537CB" w:rsidRDefault="009537CB" w:rsidP="009537CB">
      <w:pPr>
        <w:jc w:val="both"/>
        <w:rPr>
          <w:rFonts w:ascii="Arial" w:hAnsi="Arial" w:cs="Arial"/>
          <w:i/>
          <w:iCs/>
        </w:rPr>
      </w:pPr>
      <w:r w:rsidRPr="009537CB">
        <w:rPr>
          <w:rFonts w:ascii="Arial" w:hAnsi="Arial" w:cs="Arial"/>
          <w:i/>
          <w:iCs/>
        </w:rPr>
        <w:t>Rationale</w:t>
      </w:r>
    </w:p>
    <w:p w14:paraId="67DC2811" w14:textId="77777777" w:rsidR="009537CB" w:rsidRDefault="009537CB" w:rsidP="009537CB">
      <w:pPr>
        <w:jc w:val="both"/>
        <w:rPr>
          <w:rFonts w:ascii="Arial" w:hAnsi="Arial" w:cs="Arial"/>
        </w:rPr>
      </w:pPr>
      <w:r w:rsidRPr="009537CB">
        <w:rPr>
          <w:rFonts w:ascii="Arial" w:hAnsi="Arial" w:cs="Arial"/>
        </w:rPr>
        <w:t>In general, when terms or approaches are adopted from one regulatory framework to another, it is optimal if there is a reasonable analogy or similarity between the regulated areas. In this regard, it seems reasonable to integrate terms or concepts from DORA Regulation, given both their regulatory contexts, to the development of RTS.</w:t>
      </w:r>
    </w:p>
    <w:p w14:paraId="05EE6D73" w14:textId="77777777" w:rsidR="00517599" w:rsidRPr="009537CB" w:rsidRDefault="00517599" w:rsidP="009537CB">
      <w:pPr>
        <w:jc w:val="both"/>
        <w:rPr>
          <w:rFonts w:ascii="Arial" w:hAnsi="Arial" w:cs="Arial"/>
        </w:rPr>
      </w:pPr>
    </w:p>
    <w:p w14:paraId="03FA0373" w14:textId="77777777" w:rsidR="009537CB" w:rsidRDefault="009537CB" w:rsidP="009537CB">
      <w:pPr>
        <w:jc w:val="both"/>
        <w:rPr>
          <w:rFonts w:ascii="Arial" w:hAnsi="Arial" w:cs="Arial"/>
        </w:rPr>
      </w:pPr>
      <w:r w:rsidRPr="009537CB">
        <w:rPr>
          <w:rFonts w:ascii="Arial" w:hAnsi="Arial" w:cs="Arial"/>
        </w:rPr>
        <w:t>This is due to the fact that the regulation that concerns us now refers to the RTS that should be applied to crypto-asset service providers (“</w:t>
      </w:r>
      <w:r w:rsidRPr="009537CB">
        <w:rPr>
          <w:rFonts w:ascii="Arial" w:hAnsi="Arial" w:cs="Arial"/>
          <w:b/>
          <w:bCs/>
        </w:rPr>
        <w:t>CASPs</w:t>
      </w:r>
      <w:r w:rsidRPr="009537CB">
        <w:rPr>
          <w:rFonts w:ascii="Arial" w:hAnsi="Arial" w:cs="Arial"/>
        </w:rPr>
        <w:t>”) in order to ensure continuity and regularity in the performance of the crypto-asset services. Therefore, adopting the concept established in the DORA Regulation in relation to “critical or important functions”, may help to provide clarity and coherence in the regulation for crypto-assets.</w:t>
      </w:r>
    </w:p>
    <w:p w14:paraId="6AF156B1" w14:textId="77777777" w:rsidR="00517599" w:rsidRPr="009537CB" w:rsidRDefault="00517599" w:rsidP="009537CB">
      <w:pPr>
        <w:jc w:val="both"/>
        <w:rPr>
          <w:rFonts w:ascii="Arial" w:hAnsi="Arial" w:cs="Arial"/>
        </w:rPr>
      </w:pPr>
    </w:p>
    <w:p w14:paraId="2962FC24" w14:textId="77777777" w:rsidR="009537CB" w:rsidRDefault="009537CB" w:rsidP="009537CB">
      <w:pPr>
        <w:jc w:val="both"/>
        <w:rPr>
          <w:rFonts w:ascii="Arial" w:hAnsi="Arial" w:cs="Arial"/>
        </w:rPr>
      </w:pPr>
      <w:r w:rsidRPr="009537CB">
        <w:rPr>
          <w:rFonts w:ascii="Arial" w:hAnsi="Arial" w:cs="Arial"/>
        </w:rPr>
        <w:t xml:space="preserve">Moreover, it is worth mentioning that, if ESMA has adopted the term "critical or important functions" from the DORA Regulation and is applying it to systems beyond </w:t>
      </w:r>
      <w:r w:rsidRPr="009537CB">
        <w:rPr>
          <w:rFonts w:ascii="Arial" w:hAnsi="Arial" w:cs="Arial"/>
        </w:rPr>
        <w:lastRenderedPageBreak/>
        <w:t>ICT, it may be due to the perception that these critical or important functions are relevant in a broader context and not limited only to ICT systems.</w:t>
      </w:r>
    </w:p>
    <w:p w14:paraId="23E1A00B" w14:textId="77777777" w:rsidR="00517599" w:rsidRPr="009537CB" w:rsidRDefault="00517599" w:rsidP="009537CB">
      <w:pPr>
        <w:jc w:val="both"/>
        <w:rPr>
          <w:rFonts w:ascii="Arial" w:hAnsi="Arial" w:cs="Arial"/>
        </w:rPr>
      </w:pPr>
    </w:p>
    <w:p w14:paraId="556FAEBE" w14:textId="77777777" w:rsidR="009537CB" w:rsidRDefault="009537CB" w:rsidP="009537CB">
      <w:pPr>
        <w:jc w:val="both"/>
        <w:rPr>
          <w:rFonts w:ascii="Arial" w:hAnsi="Arial" w:cs="Arial"/>
          <w:i/>
          <w:iCs/>
        </w:rPr>
      </w:pPr>
      <w:r w:rsidRPr="009537CB">
        <w:rPr>
          <w:rFonts w:ascii="Arial" w:hAnsi="Arial" w:cs="Arial"/>
          <w:i/>
          <w:iCs/>
        </w:rPr>
        <w:t>Alternatives</w:t>
      </w:r>
    </w:p>
    <w:p w14:paraId="33BD1B7F" w14:textId="77777777" w:rsidR="00517599" w:rsidRPr="009537CB" w:rsidRDefault="00517599" w:rsidP="009537CB">
      <w:pPr>
        <w:jc w:val="both"/>
        <w:rPr>
          <w:rFonts w:ascii="Arial" w:hAnsi="Arial" w:cs="Arial"/>
          <w:i/>
          <w:iCs/>
        </w:rPr>
      </w:pPr>
    </w:p>
    <w:p w14:paraId="388F9BAC" w14:textId="77777777" w:rsidR="009537CB" w:rsidRDefault="009537CB" w:rsidP="009537CB">
      <w:pPr>
        <w:jc w:val="both"/>
        <w:rPr>
          <w:rFonts w:ascii="Arial" w:hAnsi="Arial" w:cs="Arial"/>
        </w:rPr>
      </w:pPr>
      <w:r w:rsidRPr="009537CB">
        <w:rPr>
          <w:rFonts w:ascii="Arial" w:hAnsi="Arial" w:cs="Arial"/>
        </w:rPr>
        <w:t>Thus, it is relevant to mention that the DORA Regulation considers that financial institutions should be free to determine the essential or important functions to be included, which provides flexibility and gives the concept significant scope for amplification</w:t>
      </w:r>
      <w:r w:rsidRPr="009537CB">
        <w:rPr>
          <w:rFonts w:ascii="Arial" w:hAnsi="Arial" w:cs="Arial"/>
          <w:vertAlign w:val="superscript"/>
        </w:rPr>
        <w:footnoteReference w:id="3"/>
      </w:r>
      <w:r w:rsidRPr="009537CB">
        <w:rPr>
          <w:rFonts w:ascii="Arial" w:hAnsi="Arial" w:cs="Arial"/>
        </w:rPr>
        <w:t>, taking as a reference the definition of "essential functions" included in paragraph 35) of Article 2(1) of Directive 2014/59/EU of the European Parliament and of the Council of 15 May 2014</w:t>
      </w:r>
      <w:r w:rsidRPr="009537CB">
        <w:rPr>
          <w:rFonts w:ascii="Arial" w:hAnsi="Arial" w:cs="Arial"/>
          <w:vertAlign w:val="superscript"/>
        </w:rPr>
        <w:footnoteReference w:id="4"/>
      </w:r>
      <w:r w:rsidRPr="009537CB">
        <w:rPr>
          <w:rFonts w:ascii="Arial" w:hAnsi="Arial" w:cs="Arial"/>
        </w:rPr>
        <w:t xml:space="preserve">. </w:t>
      </w:r>
    </w:p>
    <w:p w14:paraId="0FB379BB" w14:textId="77777777" w:rsidR="00517599" w:rsidRPr="009537CB" w:rsidRDefault="00517599" w:rsidP="009537CB">
      <w:pPr>
        <w:jc w:val="both"/>
        <w:rPr>
          <w:rFonts w:ascii="Arial" w:hAnsi="Arial" w:cs="Arial"/>
        </w:rPr>
      </w:pPr>
    </w:p>
    <w:p w14:paraId="7853D77E" w14:textId="77777777" w:rsidR="009537CB" w:rsidRPr="009537CB" w:rsidRDefault="009537CB" w:rsidP="009537CB">
      <w:pPr>
        <w:jc w:val="both"/>
        <w:rPr>
          <w:rFonts w:ascii="Arial" w:hAnsi="Arial" w:cs="Arial"/>
        </w:rPr>
      </w:pPr>
      <w:r w:rsidRPr="009537CB">
        <w:rPr>
          <w:rFonts w:ascii="Arial" w:hAnsi="Arial" w:cs="Arial"/>
        </w:rPr>
        <w:t>Consequently, considering that the DORA Regulation allows financial institutions to determine what their essential or important functions are, in the case of RTSs, CASPs should also have this margin of appreciation of what categories are included in the concept of "essential or important functions".</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326A23E9" w14:textId="77777777" w:rsidR="00517599" w:rsidRPr="00517599" w:rsidRDefault="00517599" w:rsidP="00517599">
      <w:pPr>
        <w:spacing w:before="240" w:after="120" w:line="276" w:lineRule="auto"/>
        <w:jc w:val="both"/>
        <w:rPr>
          <w:rFonts w:ascii="Arial" w:hAnsi="Arial" w:cs="Arial"/>
          <w:i/>
          <w:iCs/>
        </w:rPr>
      </w:pPr>
      <w:permStart w:id="1772099050" w:edGrp="everyone"/>
      <w:r w:rsidRPr="00517599">
        <w:rPr>
          <w:rFonts w:ascii="Arial" w:hAnsi="Arial" w:cs="Arial"/>
          <w:i/>
          <w:iCs/>
        </w:rPr>
        <w:t>Response</w:t>
      </w:r>
    </w:p>
    <w:p w14:paraId="2CF07784" w14:textId="77777777" w:rsidR="00517599" w:rsidRPr="00517599" w:rsidRDefault="00517599" w:rsidP="00517599">
      <w:pPr>
        <w:spacing w:before="240" w:after="120" w:line="276" w:lineRule="auto"/>
        <w:jc w:val="both"/>
        <w:rPr>
          <w:rFonts w:ascii="Arial" w:hAnsi="Arial" w:cs="Arial"/>
        </w:rPr>
      </w:pPr>
      <w:r w:rsidRPr="00517599">
        <w:rPr>
          <w:rFonts w:ascii="Arial" w:hAnsi="Arial" w:cs="Arial"/>
        </w:rPr>
        <w:t>Yes.</w:t>
      </w:r>
    </w:p>
    <w:p w14:paraId="2025BC93" w14:textId="77777777" w:rsidR="00517599" w:rsidRPr="00517599" w:rsidRDefault="00517599" w:rsidP="00517599">
      <w:pPr>
        <w:spacing w:before="240" w:after="120" w:line="276" w:lineRule="auto"/>
        <w:jc w:val="both"/>
        <w:rPr>
          <w:rFonts w:ascii="Arial" w:hAnsi="Arial" w:cs="Arial"/>
          <w:i/>
          <w:iCs/>
        </w:rPr>
      </w:pPr>
      <w:r w:rsidRPr="00517599">
        <w:rPr>
          <w:rFonts w:ascii="Arial" w:hAnsi="Arial" w:cs="Arial"/>
          <w:i/>
          <w:iCs/>
        </w:rPr>
        <w:t>Rationale</w:t>
      </w:r>
    </w:p>
    <w:p w14:paraId="62C02107" w14:textId="77777777" w:rsidR="00517599" w:rsidRPr="00517599" w:rsidRDefault="00517599" w:rsidP="00517599">
      <w:pPr>
        <w:spacing w:before="240" w:after="120" w:line="276" w:lineRule="auto"/>
        <w:jc w:val="both"/>
        <w:rPr>
          <w:rFonts w:ascii="Arial" w:hAnsi="Arial" w:cs="Arial"/>
        </w:rPr>
      </w:pPr>
      <w:r w:rsidRPr="00517599">
        <w:rPr>
          <w:rFonts w:ascii="Arial" w:hAnsi="Arial" w:cs="Arial"/>
        </w:rPr>
        <w:t>It should be noted that this provision of Article 4(2), subparagraph (e) constitutes a measure to be included in the minimum content of the Business Continuity Plan (hereinafter, “</w:t>
      </w:r>
      <w:r w:rsidRPr="00517599">
        <w:rPr>
          <w:rFonts w:ascii="Arial" w:hAnsi="Arial" w:cs="Arial"/>
          <w:b/>
          <w:bCs/>
        </w:rPr>
        <w:t>BCP</w:t>
      </w:r>
      <w:r w:rsidRPr="00517599">
        <w:rPr>
          <w:rFonts w:ascii="Arial" w:hAnsi="Arial" w:cs="Arial"/>
        </w:rPr>
        <w:t>”).</w:t>
      </w:r>
    </w:p>
    <w:p w14:paraId="7FBFEA46" w14:textId="77777777" w:rsidR="00517599" w:rsidRPr="00517599" w:rsidRDefault="00517599" w:rsidP="00517599">
      <w:pPr>
        <w:spacing w:after="120" w:line="276" w:lineRule="auto"/>
        <w:jc w:val="both"/>
        <w:rPr>
          <w:rFonts w:ascii="Arial" w:hAnsi="Arial" w:cs="Arial"/>
        </w:rPr>
      </w:pPr>
      <w:r w:rsidRPr="00517599">
        <w:rPr>
          <w:rFonts w:ascii="Arial" w:hAnsi="Arial" w:cs="Arial"/>
        </w:rPr>
        <w:t xml:space="preserve">Paragraph 72 of the ESMA consultation itself justifies external communication to customers in case of service disruption as an element that could ensure a return to service provision in a "more orderly" manner. While it is true that these external communications are not intrinsically related to other measures included in Article 4 (i.e. to relocate business functions, measures to recover critical functions, etc.), it is true </w:t>
      </w:r>
      <w:r w:rsidRPr="00517599">
        <w:rPr>
          <w:rFonts w:ascii="Arial" w:hAnsi="Arial" w:cs="Arial"/>
        </w:rPr>
        <w:lastRenderedPageBreak/>
        <w:t xml:space="preserve">that it is an obligation that is already provided for in similar regulations with respect to BCPs in case of service disruptions. </w:t>
      </w:r>
    </w:p>
    <w:p w14:paraId="008B6C61" w14:textId="77777777" w:rsidR="00517599" w:rsidRPr="00517599" w:rsidRDefault="00517599" w:rsidP="00517599">
      <w:pPr>
        <w:spacing w:after="120" w:line="276" w:lineRule="auto"/>
        <w:jc w:val="both"/>
        <w:rPr>
          <w:rFonts w:ascii="Arial" w:hAnsi="Arial" w:cs="Arial"/>
        </w:rPr>
      </w:pPr>
      <w:r w:rsidRPr="00517599">
        <w:rPr>
          <w:rFonts w:ascii="Arial" w:hAnsi="Arial" w:cs="Arial"/>
        </w:rPr>
        <w:t>This is the case of Article 14 (1) of the DORA Regulation, referring to the crisis communication plans of financial entities, or to guideline 1.7.5. of the EBA Guidelines EBA/GL/2019/04, dated 29 November 2019, also applied to crisis communication measures to relevant internal and external stakeholders in the event of a disruption or emergency. The latter, in addition to financial institutions, are also taken into account in applications to the competent authorities to obtain authorization to provide payment and electronic money services.</w:t>
      </w:r>
    </w:p>
    <w:p w14:paraId="7FC97CC2" w14:textId="77777777" w:rsidR="00517599" w:rsidRPr="00517599" w:rsidRDefault="00517599" w:rsidP="00517599">
      <w:pPr>
        <w:spacing w:after="120" w:line="276" w:lineRule="auto"/>
        <w:jc w:val="both"/>
        <w:rPr>
          <w:rFonts w:ascii="Arial" w:hAnsi="Arial" w:cs="Arial"/>
        </w:rPr>
      </w:pPr>
      <w:r w:rsidRPr="00517599">
        <w:rPr>
          <w:rFonts w:ascii="Arial" w:hAnsi="Arial" w:cs="Arial"/>
        </w:rPr>
        <w:t xml:space="preserve">Consequently, it is a measure already adopted in other regulations and applied by entities other than CASPs for the business continuity and is justified for reasons of order and the protection of clients' interests in the event of disruption. </w:t>
      </w:r>
    </w:p>
    <w:p w14:paraId="6FC40F2B" w14:textId="77777777" w:rsidR="00517599" w:rsidRPr="00517599" w:rsidRDefault="00517599" w:rsidP="00517599">
      <w:pPr>
        <w:spacing w:after="120" w:line="276" w:lineRule="auto"/>
        <w:jc w:val="both"/>
        <w:rPr>
          <w:rFonts w:ascii="Arial" w:hAnsi="Arial" w:cs="Arial"/>
          <w:i/>
          <w:iCs/>
        </w:rPr>
      </w:pPr>
      <w:r w:rsidRPr="00517599">
        <w:rPr>
          <w:rFonts w:ascii="Arial" w:hAnsi="Arial" w:cs="Arial"/>
          <w:i/>
          <w:iCs/>
        </w:rPr>
        <w:t>Alternatives</w:t>
      </w:r>
    </w:p>
    <w:p w14:paraId="4F86D131" w14:textId="77777777" w:rsidR="00517599" w:rsidRPr="00517599" w:rsidRDefault="00517599" w:rsidP="00517599">
      <w:pPr>
        <w:pStyle w:val="Default"/>
        <w:jc w:val="both"/>
        <w:rPr>
          <w:b/>
          <w:color w:val="0F0F0F"/>
          <w:lang w:val="en-GB"/>
        </w:rPr>
      </w:pPr>
      <w:r w:rsidRPr="00517599">
        <w:rPr>
          <w:lang w:val="en-GB"/>
        </w:rPr>
        <w:t>Otherwise, it might be appropriate to limit this mandate to cases in which such service disruptions constitute "major" incidents or vulnerabilities, as provided for in the DORA regulation. Establishing a minimum obligation with regard to external communication to clients for the most serious cases would prevent CASPs from being obliged to report possible disruptions that do not mean a risk for their funds.</w:t>
      </w:r>
    </w:p>
    <w:p w14:paraId="52A9E07D" w14:textId="77777777" w:rsidR="00517599" w:rsidRPr="00F44D92" w:rsidRDefault="00517599" w:rsidP="00517599">
      <w:pPr>
        <w:pStyle w:val="Default"/>
        <w:jc w:val="both"/>
        <w:rPr>
          <w:rFonts w:asciiTheme="minorHAnsi" w:hAnsiTheme="minorHAnsi" w:cstheme="minorHAnsi"/>
          <w:b/>
          <w:color w:val="FF0000"/>
          <w:lang w:val="en-US"/>
        </w:rPr>
      </w:pPr>
    </w:p>
    <w:p w14:paraId="191D9687" w14:textId="0535762E" w:rsidR="00517599" w:rsidRPr="00F3233E" w:rsidRDefault="00FA3C6E" w:rsidP="00517599">
      <w:pPr>
        <w:pStyle w:val="Default"/>
        <w:jc w:val="both"/>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It is</w:t>
      </w:r>
      <w:r w:rsidR="00517599" w:rsidRPr="00F3233E">
        <w:rPr>
          <w:rFonts w:asciiTheme="minorHAnsi" w:hAnsiTheme="minorHAnsi" w:cstheme="minorHAnsi"/>
          <w:bCs/>
          <w:color w:val="000000" w:themeColor="text1"/>
          <w:lang w:val="en-GB"/>
        </w:rPr>
        <w:t xml:space="preserve"> consider</w:t>
      </w:r>
      <w:r>
        <w:rPr>
          <w:rFonts w:asciiTheme="minorHAnsi" w:hAnsiTheme="minorHAnsi" w:cstheme="minorHAnsi"/>
          <w:bCs/>
          <w:color w:val="000000" w:themeColor="text1"/>
          <w:lang w:val="en-GB"/>
        </w:rPr>
        <w:t>ed</w:t>
      </w:r>
      <w:r w:rsidR="00517599" w:rsidRPr="00F3233E">
        <w:rPr>
          <w:rFonts w:asciiTheme="minorHAnsi" w:hAnsiTheme="minorHAnsi" w:cstheme="minorHAnsi"/>
          <w:bCs/>
          <w:color w:val="000000" w:themeColor="text1"/>
          <w:lang w:val="en-GB"/>
        </w:rPr>
        <w:t xml:space="preserve"> very appropriate </w:t>
      </w:r>
      <w:r w:rsidR="00494646" w:rsidRPr="00F3233E">
        <w:rPr>
          <w:rFonts w:asciiTheme="minorHAnsi" w:hAnsiTheme="minorHAnsi" w:cstheme="minorHAnsi"/>
          <w:bCs/>
          <w:color w:val="000000" w:themeColor="text1"/>
          <w:lang w:val="en-GB"/>
        </w:rPr>
        <w:t>the rule set</w:t>
      </w:r>
      <w:r w:rsidR="006C361E" w:rsidRPr="00F3233E">
        <w:rPr>
          <w:rFonts w:asciiTheme="minorHAnsi" w:hAnsiTheme="minorHAnsi" w:cstheme="minorHAnsi"/>
          <w:bCs/>
          <w:color w:val="000000" w:themeColor="text1"/>
          <w:lang w:val="en-GB"/>
        </w:rPr>
        <w:t xml:space="preserve"> </w:t>
      </w:r>
      <w:r w:rsidR="00494646" w:rsidRPr="00F3233E">
        <w:rPr>
          <w:rFonts w:asciiTheme="minorHAnsi" w:hAnsiTheme="minorHAnsi" w:cstheme="minorHAnsi"/>
          <w:bCs/>
          <w:color w:val="000000" w:themeColor="text1"/>
          <w:lang w:val="en-GB"/>
        </w:rPr>
        <w:t>in</w:t>
      </w:r>
      <w:r w:rsidR="006C361E" w:rsidRPr="00F3233E">
        <w:rPr>
          <w:rFonts w:asciiTheme="minorHAnsi" w:hAnsiTheme="minorHAnsi" w:cstheme="minorHAnsi"/>
          <w:bCs/>
          <w:color w:val="000000" w:themeColor="text1"/>
          <w:lang w:val="en-GB"/>
        </w:rPr>
        <w:t xml:space="preserve"> </w:t>
      </w:r>
      <w:r w:rsidR="00517599" w:rsidRPr="00F3233E">
        <w:rPr>
          <w:rFonts w:asciiTheme="minorHAnsi" w:hAnsiTheme="minorHAnsi" w:cstheme="minorHAnsi"/>
          <w:bCs/>
          <w:color w:val="000000" w:themeColor="text1"/>
          <w:lang w:val="en-GB"/>
        </w:rPr>
        <w:t>subparagraph (e) in Article 4(2) on external communications to customers</w:t>
      </w:r>
      <w:r w:rsidR="00494646" w:rsidRPr="00F3233E">
        <w:rPr>
          <w:rFonts w:asciiTheme="minorHAnsi" w:hAnsiTheme="minorHAnsi" w:cstheme="minorHAnsi"/>
          <w:bCs/>
          <w:color w:val="000000" w:themeColor="text1"/>
          <w:lang w:val="en-GB"/>
        </w:rPr>
        <w:t>, which</w:t>
      </w:r>
      <w:r w:rsidR="00517599" w:rsidRPr="00F3233E">
        <w:rPr>
          <w:rFonts w:asciiTheme="minorHAnsi" w:hAnsiTheme="minorHAnsi" w:cstheme="minorHAnsi"/>
          <w:bCs/>
          <w:color w:val="000000" w:themeColor="text1"/>
          <w:lang w:val="en-GB"/>
        </w:rPr>
        <w:t xml:space="preserve"> in case of interruption </w:t>
      </w:r>
      <w:r w:rsidR="00494646" w:rsidRPr="00F3233E">
        <w:rPr>
          <w:rFonts w:asciiTheme="minorHAnsi" w:hAnsiTheme="minorHAnsi" w:cstheme="minorHAnsi"/>
          <w:bCs/>
          <w:color w:val="000000" w:themeColor="text1"/>
          <w:lang w:val="en-GB"/>
        </w:rPr>
        <w:t>are</w:t>
      </w:r>
      <w:r w:rsidR="00517599" w:rsidRPr="00F3233E">
        <w:rPr>
          <w:rFonts w:asciiTheme="minorHAnsi" w:hAnsiTheme="minorHAnsi" w:cstheme="minorHAnsi"/>
          <w:bCs/>
          <w:color w:val="000000" w:themeColor="text1"/>
          <w:lang w:val="en-GB"/>
        </w:rPr>
        <w:t xml:space="preserve"> considered as a measure to ensure continuity. In this sense, from Alastria and in order to protect its members, </w:t>
      </w:r>
      <w:r w:rsidR="00494646" w:rsidRPr="00F3233E">
        <w:rPr>
          <w:rFonts w:asciiTheme="minorHAnsi" w:hAnsiTheme="minorHAnsi" w:cstheme="minorHAnsi"/>
          <w:bCs/>
          <w:color w:val="000000" w:themeColor="text1"/>
          <w:lang w:val="en-GB"/>
        </w:rPr>
        <w:t>we</w:t>
      </w:r>
      <w:r w:rsidR="00517599" w:rsidRPr="00F3233E">
        <w:rPr>
          <w:rFonts w:asciiTheme="minorHAnsi" w:hAnsiTheme="minorHAnsi" w:cstheme="minorHAnsi"/>
          <w:bCs/>
          <w:color w:val="000000" w:themeColor="text1"/>
          <w:lang w:val="en-GB"/>
        </w:rPr>
        <w:t xml:space="preserve"> considered essential that this presumption applies in the same way to public-permi</w:t>
      </w:r>
      <w:r w:rsidR="00494646" w:rsidRPr="00F3233E">
        <w:rPr>
          <w:rFonts w:asciiTheme="minorHAnsi" w:hAnsiTheme="minorHAnsi" w:cstheme="minorHAnsi"/>
          <w:bCs/>
          <w:color w:val="000000" w:themeColor="text1"/>
          <w:lang w:val="en-GB"/>
        </w:rPr>
        <w:t>ssioned</w:t>
      </w:r>
      <w:r w:rsidR="00517599" w:rsidRPr="00F3233E">
        <w:rPr>
          <w:rFonts w:asciiTheme="minorHAnsi" w:hAnsiTheme="minorHAnsi" w:cstheme="minorHAnsi"/>
          <w:bCs/>
          <w:color w:val="000000" w:themeColor="text1"/>
          <w:lang w:val="en-GB"/>
        </w:rPr>
        <w:t xml:space="preserve"> networks.</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0853615" w14:textId="77777777" w:rsidR="00417D1A" w:rsidRPr="00417D1A" w:rsidRDefault="00417D1A" w:rsidP="00417D1A">
      <w:pPr>
        <w:spacing w:before="240" w:after="120" w:line="276" w:lineRule="auto"/>
        <w:jc w:val="both"/>
        <w:rPr>
          <w:rFonts w:ascii="Arial" w:hAnsi="Arial" w:cs="Arial"/>
          <w:i/>
          <w:iCs/>
        </w:rPr>
      </w:pPr>
      <w:permStart w:id="1875469134" w:edGrp="everyone"/>
      <w:r w:rsidRPr="00417D1A">
        <w:rPr>
          <w:rFonts w:ascii="Arial" w:hAnsi="Arial" w:cs="Arial"/>
          <w:i/>
          <w:iCs/>
        </w:rPr>
        <w:t>Response</w:t>
      </w:r>
    </w:p>
    <w:p w14:paraId="7178A9D4" w14:textId="77777777" w:rsidR="00417D1A" w:rsidRPr="00417D1A" w:rsidRDefault="00417D1A" w:rsidP="00417D1A">
      <w:pPr>
        <w:spacing w:before="240" w:after="120" w:line="276" w:lineRule="auto"/>
        <w:jc w:val="both"/>
        <w:rPr>
          <w:rFonts w:ascii="Arial" w:hAnsi="Arial" w:cs="Arial"/>
          <w:lang w:val="en"/>
        </w:rPr>
      </w:pPr>
      <w:r w:rsidRPr="00417D1A">
        <w:rPr>
          <w:rFonts w:ascii="Arial" w:hAnsi="Arial" w:cs="Arial"/>
        </w:rPr>
        <w:t xml:space="preserve">Although this function could be considered a measure to ensure the continuity and regularity of the CASP's activity, since its objective would be to achieve the latter, </w:t>
      </w:r>
      <w:r w:rsidRPr="00417D1A">
        <w:rPr>
          <w:rFonts w:ascii="Arial" w:hAnsi="Arial" w:cs="Arial"/>
          <w:lang w:val="en"/>
        </w:rPr>
        <w:t>it is true that, if included in the RTS, it would be appropriate to establish certain exceptions.</w:t>
      </w:r>
    </w:p>
    <w:p w14:paraId="3D1820ED" w14:textId="77777777" w:rsidR="00417D1A" w:rsidRPr="00417D1A" w:rsidRDefault="00417D1A" w:rsidP="00417D1A">
      <w:pPr>
        <w:spacing w:after="120" w:line="276" w:lineRule="auto"/>
        <w:jc w:val="both"/>
        <w:rPr>
          <w:rFonts w:ascii="Arial" w:hAnsi="Arial" w:cs="Arial"/>
          <w:i/>
          <w:iCs/>
        </w:rPr>
      </w:pPr>
      <w:r w:rsidRPr="00417D1A">
        <w:rPr>
          <w:rFonts w:ascii="Arial" w:hAnsi="Arial" w:cs="Arial"/>
          <w:i/>
          <w:iCs/>
        </w:rPr>
        <w:t>Rationale</w:t>
      </w:r>
    </w:p>
    <w:p w14:paraId="61B40820" w14:textId="77777777" w:rsidR="00417D1A" w:rsidRPr="00417D1A" w:rsidRDefault="00417D1A" w:rsidP="00417D1A">
      <w:pPr>
        <w:spacing w:after="120" w:line="276" w:lineRule="auto"/>
        <w:jc w:val="both"/>
        <w:rPr>
          <w:rFonts w:ascii="Arial" w:hAnsi="Arial" w:cs="Arial"/>
          <w:lang w:val="en"/>
        </w:rPr>
      </w:pPr>
      <w:r w:rsidRPr="00417D1A">
        <w:rPr>
          <w:rFonts w:ascii="Arial" w:hAnsi="Arial" w:cs="Arial"/>
          <w:lang w:val="en"/>
        </w:rPr>
        <w:t xml:space="preserve">In this way, if a similar consideration was to be adopted in the RTS, the obligation to have a business continuity management function would not entail a disproportionate </w:t>
      </w:r>
      <w:r w:rsidRPr="00417D1A">
        <w:rPr>
          <w:rFonts w:ascii="Arial" w:hAnsi="Arial" w:cs="Arial"/>
          <w:lang w:val="en"/>
        </w:rPr>
        <w:lastRenderedPageBreak/>
        <w:t>burden on entities considered microenterprises (or similar), since having this function could not be efficient in terms of costs and resources.</w:t>
      </w:r>
      <w:r w:rsidRPr="00417D1A">
        <w:rPr>
          <w:rFonts w:ascii="Arial" w:hAnsi="Arial" w:cs="Arial"/>
        </w:rPr>
        <w:t xml:space="preserve"> This possible exception is also aligned with the provisions of Article 68(5) of the </w:t>
      </w:r>
      <w:proofErr w:type="spellStart"/>
      <w:r w:rsidRPr="00417D1A">
        <w:rPr>
          <w:rFonts w:ascii="Arial" w:hAnsi="Arial" w:cs="Arial"/>
        </w:rPr>
        <w:t>MiCA</w:t>
      </w:r>
      <w:proofErr w:type="spellEnd"/>
      <w:r w:rsidRPr="00417D1A">
        <w:rPr>
          <w:rFonts w:ascii="Arial" w:hAnsi="Arial" w:cs="Arial"/>
        </w:rPr>
        <w:t xml:space="preserve"> Regulation, which aims to take into consideration the nature and scale of the crypto-asset services provided by the CASP.</w:t>
      </w:r>
    </w:p>
    <w:p w14:paraId="52A8A045" w14:textId="77777777" w:rsidR="00417D1A" w:rsidRPr="00417D1A" w:rsidRDefault="00417D1A" w:rsidP="00417D1A">
      <w:pPr>
        <w:spacing w:after="120" w:line="276" w:lineRule="auto"/>
        <w:jc w:val="both"/>
        <w:rPr>
          <w:rFonts w:ascii="Arial" w:hAnsi="Arial" w:cs="Arial"/>
          <w:i/>
          <w:iCs/>
        </w:rPr>
      </w:pPr>
      <w:r w:rsidRPr="00417D1A">
        <w:rPr>
          <w:rFonts w:ascii="Arial" w:hAnsi="Arial" w:cs="Arial"/>
          <w:i/>
          <w:iCs/>
        </w:rPr>
        <w:t>Alternatives</w:t>
      </w:r>
    </w:p>
    <w:p w14:paraId="2A195F71" w14:textId="77777777" w:rsidR="00417D1A" w:rsidRPr="00417D1A" w:rsidRDefault="00417D1A" w:rsidP="00417D1A">
      <w:pPr>
        <w:spacing w:after="120" w:line="276" w:lineRule="auto"/>
        <w:jc w:val="both"/>
        <w:rPr>
          <w:rFonts w:ascii="Arial" w:hAnsi="Arial" w:cs="Arial"/>
        </w:rPr>
      </w:pPr>
      <w:r w:rsidRPr="00417D1A">
        <w:rPr>
          <w:rFonts w:ascii="Arial" w:hAnsi="Arial" w:cs="Arial"/>
        </w:rPr>
        <w:t>An example of how it might be appropriate to introduce this specification into the RTS can be found in Article 11(7) of the DORA Regulation. In this provision, although it is mandatory for financial entities to have a crisis management function, microenterprises are exempt from compliance. It is important to note that microenterprises are defined by DORA Regulation as those entities employing less than 10 persons and with an annual turnover/annual balance sheet not exceeding 2 million euros.</w:t>
      </w:r>
    </w:p>
    <w:p w14:paraId="056FE9B1" w14:textId="77777777" w:rsidR="00417D1A" w:rsidRPr="00A33CA7" w:rsidRDefault="00417D1A" w:rsidP="00417D1A">
      <w:pPr>
        <w:pStyle w:val="Default"/>
        <w:jc w:val="both"/>
        <w:rPr>
          <w:b/>
          <w:i/>
          <w:iCs/>
          <w:color w:val="FF0000"/>
          <w:lang w:val="en-US"/>
        </w:rPr>
      </w:pPr>
    </w:p>
    <w:p w14:paraId="3164EFB6" w14:textId="401F5C13" w:rsidR="00417D1A" w:rsidRPr="00A0252E" w:rsidRDefault="00494646" w:rsidP="00417D1A">
      <w:pPr>
        <w:pStyle w:val="Default"/>
        <w:jc w:val="both"/>
        <w:rPr>
          <w:bCs/>
          <w:color w:val="000000" w:themeColor="text1"/>
          <w:lang w:val="en-GB"/>
        </w:rPr>
      </w:pPr>
      <w:r w:rsidRPr="00A0252E">
        <w:rPr>
          <w:bCs/>
          <w:color w:val="000000" w:themeColor="text1"/>
          <w:lang w:val="en-GB"/>
        </w:rPr>
        <w:t>We</w:t>
      </w:r>
      <w:r w:rsidR="00417D1A" w:rsidRPr="00A0252E">
        <w:rPr>
          <w:bCs/>
          <w:color w:val="000000" w:themeColor="text1"/>
          <w:lang w:val="en-GB"/>
        </w:rPr>
        <w:t xml:space="preserve"> consider</w:t>
      </w:r>
      <w:r w:rsidRPr="00A0252E">
        <w:rPr>
          <w:bCs/>
          <w:color w:val="000000" w:themeColor="text1"/>
          <w:lang w:val="en-GB"/>
        </w:rPr>
        <w:t xml:space="preserve"> this</w:t>
      </w:r>
      <w:r w:rsidR="00417D1A" w:rsidRPr="00A0252E">
        <w:rPr>
          <w:bCs/>
          <w:color w:val="000000" w:themeColor="text1"/>
          <w:lang w:val="en-GB"/>
        </w:rPr>
        <w:t xml:space="preserve"> measure, within </w:t>
      </w:r>
      <w:r w:rsidRPr="00A0252E">
        <w:rPr>
          <w:bCs/>
          <w:color w:val="000000" w:themeColor="text1"/>
          <w:lang w:val="en-GB"/>
        </w:rPr>
        <w:t xml:space="preserve">a </w:t>
      </w:r>
      <w:r w:rsidR="00417D1A" w:rsidRPr="00A0252E">
        <w:rPr>
          <w:bCs/>
          <w:color w:val="000000" w:themeColor="text1"/>
          <w:lang w:val="en-GB"/>
        </w:rPr>
        <w:t>proportionality</w:t>
      </w:r>
      <w:r w:rsidRPr="00A0252E">
        <w:rPr>
          <w:bCs/>
          <w:color w:val="000000" w:themeColor="text1"/>
          <w:lang w:val="en-GB"/>
        </w:rPr>
        <w:t xml:space="preserve"> context</w:t>
      </w:r>
      <w:r w:rsidR="00417D1A" w:rsidRPr="00A0252E">
        <w:rPr>
          <w:bCs/>
          <w:color w:val="000000" w:themeColor="text1"/>
          <w:lang w:val="en-GB"/>
        </w:rPr>
        <w:t xml:space="preserve">, </w:t>
      </w:r>
      <w:r w:rsidRPr="00A0252E">
        <w:rPr>
          <w:bCs/>
          <w:color w:val="000000" w:themeColor="text1"/>
          <w:lang w:val="en-GB"/>
        </w:rPr>
        <w:t>as</w:t>
      </w:r>
      <w:r w:rsidR="00417D1A" w:rsidRPr="00A0252E">
        <w:rPr>
          <w:bCs/>
          <w:color w:val="000000" w:themeColor="text1"/>
          <w:lang w:val="en-GB"/>
        </w:rPr>
        <w:t xml:space="preserve"> appropriate</w:t>
      </w:r>
      <w:r w:rsidRPr="00A0252E">
        <w:rPr>
          <w:bCs/>
          <w:color w:val="000000" w:themeColor="text1"/>
          <w:lang w:val="en-GB"/>
        </w:rPr>
        <w:t xml:space="preserve"> to</w:t>
      </w:r>
      <w:r w:rsidR="00417D1A" w:rsidRPr="00A0252E">
        <w:rPr>
          <w:bCs/>
          <w:color w:val="000000" w:themeColor="text1"/>
          <w:lang w:val="en-GB"/>
        </w:rPr>
        <w:t xml:space="preserve"> </w:t>
      </w:r>
      <w:r w:rsidRPr="00A0252E">
        <w:rPr>
          <w:bCs/>
          <w:color w:val="000000" w:themeColor="text1"/>
          <w:lang w:val="en-GB"/>
        </w:rPr>
        <w:t>ensure</w:t>
      </w:r>
      <w:r w:rsidR="00417D1A" w:rsidRPr="00A0252E">
        <w:rPr>
          <w:bCs/>
          <w:color w:val="000000" w:themeColor="text1"/>
          <w:lang w:val="en-GB"/>
        </w:rPr>
        <w:t xml:space="preserve"> continuity.</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532E9038" w14:textId="357B04AE" w:rsidR="003845AC" w:rsidRPr="00A0252E" w:rsidRDefault="003845AC" w:rsidP="003845AC">
      <w:pPr>
        <w:pStyle w:val="Default"/>
        <w:jc w:val="both"/>
        <w:rPr>
          <w:rFonts w:asciiTheme="minorHAnsi" w:hAnsiTheme="minorHAnsi" w:cstheme="minorHAnsi"/>
          <w:bCs/>
          <w:color w:val="000000" w:themeColor="text1"/>
          <w:lang w:val="en-US"/>
        </w:rPr>
      </w:pPr>
      <w:permStart w:id="226246536" w:edGrp="everyone"/>
      <w:r w:rsidRPr="00A0252E">
        <w:rPr>
          <w:rFonts w:asciiTheme="minorHAnsi" w:hAnsiTheme="minorHAnsi" w:cstheme="minorHAnsi"/>
          <w:bCs/>
          <w:color w:val="000000" w:themeColor="text1"/>
          <w:lang w:val="en-US"/>
        </w:rPr>
        <w:t>It is considered that there may be other measures, such as performing due diligence</w:t>
      </w:r>
      <w:r w:rsidR="00494646" w:rsidRPr="00A0252E">
        <w:rPr>
          <w:rFonts w:asciiTheme="minorHAnsi" w:hAnsiTheme="minorHAnsi" w:cstheme="minorHAnsi"/>
          <w:bCs/>
          <w:color w:val="000000" w:themeColor="text1"/>
          <w:lang w:val="en-US"/>
        </w:rPr>
        <w:t>s</w:t>
      </w:r>
      <w:r w:rsidRPr="00A0252E">
        <w:rPr>
          <w:rFonts w:asciiTheme="minorHAnsi" w:hAnsiTheme="minorHAnsi" w:cstheme="minorHAnsi"/>
          <w:bCs/>
          <w:color w:val="000000" w:themeColor="text1"/>
          <w:lang w:val="en-US"/>
        </w:rPr>
        <w:t xml:space="preserve"> for the selection of a network, taking into account and analyzing, for example, historical failures </w:t>
      </w:r>
      <w:r w:rsidR="00494646" w:rsidRPr="00A0252E">
        <w:rPr>
          <w:rFonts w:asciiTheme="minorHAnsi" w:hAnsiTheme="minorHAnsi" w:cstheme="minorHAnsi"/>
          <w:bCs/>
          <w:color w:val="000000" w:themeColor="text1"/>
          <w:lang w:val="en-US"/>
        </w:rPr>
        <w:t>in</w:t>
      </w:r>
      <w:r w:rsidRPr="00A0252E">
        <w:rPr>
          <w:rFonts w:asciiTheme="minorHAnsi" w:hAnsiTheme="minorHAnsi" w:cstheme="minorHAnsi"/>
          <w:bCs/>
          <w:color w:val="000000" w:themeColor="text1"/>
          <w:lang w:val="en-US"/>
        </w:rPr>
        <w:t xml:space="preserve"> continuity </w:t>
      </w:r>
      <w:r w:rsidR="00494646" w:rsidRPr="00A0252E">
        <w:rPr>
          <w:rFonts w:asciiTheme="minorHAnsi" w:hAnsiTheme="minorHAnsi" w:cstheme="minorHAnsi"/>
          <w:bCs/>
          <w:color w:val="000000" w:themeColor="text1"/>
          <w:lang w:val="en-US"/>
        </w:rPr>
        <w:t xml:space="preserve">or </w:t>
      </w:r>
      <w:r w:rsidRPr="00A0252E">
        <w:rPr>
          <w:rFonts w:asciiTheme="minorHAnsi" w:hAnsiTheme="minorHAnsi" w:cstheme="minorHAnsi"/>
          <w:bCs/>
          <w:color w:val="000000" w:themeColor="text1"/>
          <w:lang w:val="en-US"/>
        </w:rPr>
        <w:t>incidents that have occurred in the network</w:t>
      </w:r>
      <w:r w:rsidR="00494646" w:rsidRPr="00A0252E">
        <w:rPr>
          <w:rFonts w:asciiTheme="minorHAnsi" w:hAnsiTheme="minorHAnsi" w:cstheme="minorHAnsi"/>
          <w:bCs/>
          <w:color w:val="000000" w:themeColor="text1"/>
          <w:lang w:val="en-US"/>
        </w:rPr>
        <w:t>. We</w:t>
      </w:r>
      <w:r w:rsidRPr="00A0252E">
        <w:rPr>
          <w:rFonts w:asciiTheme="minorHAnsi" w:hAnsiTheme="minorHAnsi" w:cstheme="minorHAnsi"/>
          <w:bCs/>
          <w:color w:val="000000" w:themeColor="text1"/>
          <w:lang w:val="en-US"/>
        </w:rPr>
        <w:t xml:space="preserve"> conside</w:t>
      </w:r>
      <w:r w:rsidR="00494646" w:rsidRPr="00A0252E">
        <w:rPr>
          <w:rFonts w:asciiTheme="minorHAnsi" w:hAnsiTheme="minorHAnsi" w:cstheme="minorHAnsi"/>
          <w:bCs/>
          <w:color w:val="000000" w:themeColor="text1"/>
          <w:lang w:val="en-US"/>
        </w:rPr>
        <w:t>r</w:t>
      </w:r>
      <w:r w:rsidRPr="00A0252E">
        <w:rPr>
          <w:rFonts w:asciiTheme="minorHAnsi" w:hAnsiTheme="minorHAnsi" w:cstheme="minorHAnsi"/>
          <w:bCs/>
          <w:color w:val="000000" w:themeColor="text1"/>
          <w:lang w:val="en-US"/>
        </w:rPr>
        <w:t xml:space="preserve"> essential that the rest of the organizational measures to be taken into account </w:t>
      </w:r>
      <w:r w:rsidR="00494646" w:rsidRPr="00A0252E">
        <w:rPr>
          <w:rFonts w:asciiTheme="minorHAnsi" w:hAnsiTheme="minorHAnsi" w:cstheme="minorHAnsi"/>
          <w:bCs/>
          <w:color w:val="000000" w:themeColor="text1"/>
          <w:lang w:val="en-US"/>
        </w:rPr>
        <w:t>are decided</w:t>
      </w:r>
      <w:r w:rsidRPr="00A0252E">
        <w:rPr>
          <w:rFonts w:asciiTheme="minorHAnsi" w:hAnsiTheme="minorHAnsi" w:cstheme="minorHAnsi"/>
          <w:bCs/>
          <w:color w:val="000000" w:themeColor="text1"/>
          <w:lang w:val="en-US"/>
        </w:rPr>
        <w:t xml:space="preserve"> </w:t>
      </w:r>
      <w:r w:rsidR="00494646" w:rsidRPr="00A0252E">
        <w:rPr>
          <w:rFonts w:asciiTheme="minorHAnsi" w:hAnsiTheme="minorHAnsi" w:cstheme="minorHAnsi"/>
          <w:bCs/>
          <w:color w:val="000000" w:themeColor="text1"/>
          <w:lang w:val="en-US"/>
        </w:rPr>
        <w:t>by</w:t>
      </w:r>
      <w:r w:rsidRPr="00A0252E">
        <w:rPr>
          <w:rFonts w:asciiTheme="minorHAnsi" w:hAnsiTheme="minorHAnsi" w:cstheme="minorHAnsi"/>
          <w:bCs/>
          <w:color w:val="000000" w:themeColor="text1"/>
          <w:lang w:val="en-US"/>
        </w:rPr>
        <w:t xml:space="preserve"> each entity according to its size, complexity</w:t>
      </w:r>
      <w:r w:rsidR="00494646" w:rsidRPr="00A0252E">
        <w:rPr>
          <w:rFonts w:asciiTheme="minorHAnsi" w:hAnsiTheme="minorHAnsi" w:cstheme="minorHAnsi"/>
          <w:bCs/>
          <w:color w:val="000000" w:themeColor="text1"/>
          <w:lang w:val="en-US"/>
        </w:rPr>
        <w:t xml:space="preserve">, </w:t>
      </w:r>
      <w:r w:rsidRPr="00A0252E">
        <w:rPr>
          <w:rFonts w:asciiTheme="minorHAnsi" w:hAnsiTheme="minorHAnsi" w:cstheme="minorHAnsi"/>
          <w:bCs/>
          <w:color w:val="000000" w:themeColor="text1"/>
          <w:lang w:val="en-US"/>
        </w:rPr>
        <w:t>risks,</w:t>
      </w:r>
      <w:r w:rsidR="00494646" w:rsidRPr="00A0252E">
        <w:rPr>
          <w:rFonts w:asciiTheme="minorHAnsi" w:hAnsiTheme="minorHAnsi" w:cstheme="minorHAnsi"/>
          <w:bCs/>
          <w:color w:val="000000" w:themeColor="text1"/>
          <w:lang w:val="en-US"/>
        </w:rPr>
        <w:t xml:space="preserve"> and</w:t>
      </w:r>
      <w:r w:rsidRPr="00A0252E">
        <w:rPr>
          <w:rFonts w:asciiTheme="minorHAnsi" w:hAnsiTheme="minorHAnsi" w:cstheme="minorHAnsi"/>
          <w:bCs/>
          <w:color w:val="000000" w:themeColor="text1"/>
          <w:lang w:val="en-US"/>
        </w:rPr>
        <w:t xml:space="preserve"> corporate governan</w:t>
      </w:r>
      <w:r w:rsidR="00494646" w:rsidRPr="00A0252E">
        <w:rPr>
          <w:rFonts w:asciiTheme="minorHAnsi" w:hAnsiTheme="minorHAnsi" w:cstheme="minorHAnsi"/>
          <w:bCs/>
          <w:color w:val="000000" w:themeColor="text1"/>
          <w:lang w:val="en-US"/>
        </w:rPr>
        <w:t>ce</w:t>
      </w:r>
      <w:r w:rsidRPr="00A0252E">
        <w:rPr>
          <w:rFonts w:asciiTheme="minorHAnsi" w:hAnsiTheme="minorHAnsi" w:cstheme="minorHAnsi"/>
          <w:bCs/>
          <w:color w:val="000000" w:themeColor="text1"/>
          <w:lang w:val="en-US"/>
        </w:rPr>
        <w:t xml:space="preserve">. Incorporating more organizational measures at this stage of regulation and markets, </w:t>
      </w:r>
      <w:r w:rsidR="00494646" w:rsidRPr="00A0252E">
        <w:rPr>
          <w:rFonts w:asciiTheme="minorHAnsi" w:hAnsiTheme="minorHAnsi" w:cstheme="minorHAnsi"/>
          <w:bCs/>
          <w:color w:val="000000" w:themeColor="text1"/>
          <w:lang w:val="en-US"/>
        </w:rPr>
        <w:t>considering</w:t>
      </w:r>
      <w:r w:rsidRPr="00A0252E">
        <w:rPr>
          <w:rFonts w:asciiTheme="minorHAnsi" w:hAnsiTheme="minorHAnsi" w:cstheme="minorHAnsi"/>
          <w:bCs/>
          <w:color w:val="000000" w:themeColor="text1"/>
          <w:lang w:val="en-US"/>
        </w:rPr>
        <w:t xml:space="preserve"> </w:t>
      </w:r>
      <w:r w:rsidR="00494646" w:rsidRPr="00A0252E">
        <w:rPr>
          <w:rFonts w:asciiTheme="minorHAnsi" w:hAnsiTheme="minorHAnsi" w:cstheme="minorHAnsi"/>
          <w:bCs/>
          <w:color w:val="000000" w:themeColor="text1"/>
          <w:lang w:val="en-US"/>
        </w:rPr>
        <w:t>current</w:t>
      </w:r>
      <w:r w:rsidRPr="00A0252E">
        <w:rPr>
          <w:rFonts w:asciiTheme="minorHAnsi" w:hAnsiTheme="minorHAnsi" w:cstheme="minorHAnsi"/>
          <w:bCs/>
          <w:color w:val="000000" w:themeColor="text1"/>
          <w:lang w:val="en-US"/>
        </w:rPr>
        <w:t xml:space="preserve"> </w:t>
      </w:r>
      <w:r w:rsidR="00494646" w:rsidRPr="00A0252E">
        <w:rPr>
          <w:rFonts w:asciiTheme="minorHAnsi" w:hAnsiTheme="minorHAnsi" w:cstheme="minorHAnsi"/>
          <w:bCs/>
          <w:color w:val="000000" w:themeColor="text1"/>
          <w:lang w:val="en-US"/>
        </w:rPr>
        <w:t xml:space="preserve">DLT </w:t>
      </w:r>
      <w:r w:rsidRPr="00A0252E">
        <w:rPr>
          <w:rFonts w:asciiTheme="minorHAnsi" w:hAnsiTheme="minorHAnsi" w:cstheme="minorHAnsi"/>
          <w:bCs/>
          <w:color w:val="000000" w:themeColor="text1"/>
          <w:lang w:val="en-US"/>
        </w:rPr>
        <w:t>maturity, may be counterproductive.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2138E322" w14:textId="77777777" w:rsidR="00B52A28" w:rsidRPr="00B52A28" w:rsidRDefault="00B52A28" w:rsidP="00B52A28">
      <w:pPr>
        <w:spacing w:before="240" w:after="120" w:line="276" w:lineRule="auto"/>
        <w:jc w:val="both"/>
        <w:rPr>
          <w:rFonts w:ascii="Arial" w:hAnsi="Arial" w:cs="Arial"/>
          <w:i/>
          <w:iCs/>
        </w:rPr>
      </w:pPr>
      <w:permStart w:id="943128947" w:edGrp="everyone"/>
      <w:r w:rsidRPr="00B52A28">
        <w:rPr>
          <w:rFonts w:ascii="Arial" w:hAnsi="Arial" w:cs="Arial"/>
          <w:i/>
          <w:iCs/>
        </w:rPr>
        <w:t>Response</w:t>
      </w:r>
    </w:p>
    <w:p w14:paraId="1E6E4AC6" w14:textId="77777777" w:rsidR="00B52A28" w:rsidRPr="00B52A28" w:rsidRDefault="00B52A28" w:rsidP="00B52A28">
      <w:pPr>
        <w:spacing w:before="240" w:after="120" w:line="276" w:lineRule="auto"/>
        <w:jc w:val="both"/>
        <w:rPr>
          <w:rFonts w:ascii="Arial" w:hAnsi="Arial" w:cs="Arial"/>
        </w:rPr>
      </w:pPr>
      <w:r w:rsidRPr="00B52A28">
        <w:rPr>
          <w:rFonts w:ascii="Arial" w:hAnsi="Arial" w:cs="Arial"/>
        </w:rPr>
        <w:t>Yes.</w:t>
      </w:r>
    </w:p>
    <w:p w14:paraId="083742FC" w14:textId="77777777" w:rsidR="00B52A28" w:rsidRPr="00B52A28" w:rsidRDefault="00B52A28" w:rsidP="00B52A28">
      <w:pPr>
        <w:spacing w:before="240" w:after="120" w:line="276" w:lineRule="auto"/>
        <w:jc w:val="both"/>
        <w:rPr>
          <w:rFonts w:ascii="Arial" w:hAnsi="Arial" w:cs="Arial"/>
          <w:i/>
          <w:iCs/>
        </w:rPr>
      </w:pPr>
      <w:r w:rsidRPr="00B52A28">
        <w:rPr>
          <w:rFonts w:ascii="Arial" w:hAnsi="Arial" w:cs="Arial"/>
          <w:i/>
          <w:iCs/>
        </w:rPr>
        <w:t>Rationale</w:t>
      </w:r>
    </w:p>
    <w:p w14:paraId="4B1161BD" w14:textId="77777777" w:rsidR="00B52A28" w:rsidRPr="00B52A28" w:rsidRDefault="00B52A28" w:rsidP="00B52A28">
      <w:pPr>
        <w:spacing w:after="120" w:line="276" w:lineRule="auto"/>
        <w:jc w:val="both"/>
        <w:rPr>
          <w:rFonts w:ascii="Arial" w:hAnsi="Arial" w:cs="Arial"/>
        </w:rPr>
      </w:pPr>
      <w:r w:rsidRPr="00B52A28">
        <w:rPr>
          <w:rFonts w:ascii="Arial" w:hAnsi="Arial" w:cs="Arial"/>
        </w:rPr>
        <w:lastRenderedPageBreak/>
        <w:t>It is important to note that Article 4(4) of the RTS establishes the need for testing to be carried out via an internal audit function. This wording is appropriate, as it establishes that the testing obligation will be carried out by an internal department, without establishing the need for an external third party to carry out the testing. The latter would undoubtedly constitute a disproportionate burden for certain types of CASPs due to their inherent characteristics (i.e., smaller size, significant rise in costs, etc.), which could compromise their profitability.</w:t>
      </w:r>
    </w:p>
    <w:p w14:paraId="74DF5F3B" w14:textId="77777777" w:rsidR="00B52A28" w:rsidRPr="00B52A28" w:rsidRDefault="00B52A28" w:rsidP="00B52A28">
      <w:pPr>
        <w:spacing w:before="240" w:after="120" w:line="276" w:lineRule="auto"/>
        <w:jc w:val="both"/>
        <w:rPr>
          <w:rFonts w:ascii="Arial" w:hAnsi="Arial" w:cs="Arial"/>
          <w:i/>
          <w:iCs/>
        </w:rPr>
      </w:pPr>
      <w:r w:rsidRPr="00B52A28">
        <w:rPr>
          <w:rFonts w:ascii="Arial" w:hAnsi="Arial" w:cs="Arial"/>
          <w:i/>
          <w:iCs/>
        </w:rPr>
        <w:t>Alternatives</w:t>
      </w:r>
    </w:p>
    <w:p w14:paraId="385556E4" w14:textId="77777777" w:rsidR="00B52A28" w:rsidRPr="00B52A28" w:rsidRDefault="00B52A28" w:rsidP="00B52A28">
      <w:pPr>
        <w:spacing w:before="240" w:after="120" w:line="276" w:lineRule="auto"/>
        <w:jc w:val="both"/>
        <w:rPr>
          <w:rFonts w:ascii="Arial" w:hAnsi="Arial" w:cs="Arial"/>
        </w:rPr>
      </w:pPr>
      <w:r w:rsidRPr="00B52A28">
        <w:rPr>
          <w:rFonts w:ascii="Arial" w:hAnsi="Arial" w:cs="Arial"/>
        </w:rPr>
        <w:t>Although it should be noted that the obligation to carry out testing of the business continuity plans is a common practice for other types of entities, as there are other regulations that already establish it (i.e. PSD2</w:t>
      </w:r>
      <w:r w:rsidRPr="00B52A28">
        <w:rPr>
          <w:rStyle w:val="Refdenotaalpie"/>
          <w:rFonts w:ascii="Arial" w:eastAsiaTheme="majorEastAsia" w:hAnsi="Arial" w:cs="Arial"/>
        </w:rPr>
        <w:footnoteReference w:id="5"/>
      </w:r>
      <w:r w:rsidRPr="00B52A28">
        <w:rPr>
          <w:rFonts w:ascii="Arial" w:hAnsi="Arial" w:cs="Arial"/>
        </w:rPr>
        <w:t>, DORA Regulation, etc.). However, the way in which it is determined that this testing should be carried out may be an important nuance to be included in the RTS.</w:t>
      </w:r>
    </w:p>
    <w:p w14:paraId="405F1889" w14:textId="77777777" w:rsidR="00B52A28" w:rsidRPr="00A33CA7" w:rsidRDefault="00B52A28" w:rsidP="00B52A28">
      <w:pPr>
        <w:pStyle w:val="Default"/>
        <w:jc w:val="both"/>
        <w:rPr>
          <w:color w:val="FF0000"/>
          <w:sz w:val="22"/>
          <w:szCs w:val="22"/>
          <w:shd w:val="clear" w:color="auto" w:fill="FFFFFF"/>
          <w:lang w:val="en-US"/>
        </w:rPr>
      </w:pPr>
    </w:p>
    <w:p w14:paraId="1B3D2287" w14:textId="464D9A09" w:rsidR="00B52A28" w:rsidRPr="00E74642" w:rsidRDefault="00401655" w:rsidP="00B52A28">
      <w:pPr>
        <w:pStyle w:val="Default"/>
        <w:jc w:val="both"/>
        <w:rPr>
          <w:rFonts w:asciiTheme="minorHAnsi" w:hAnsiTheme="minorHAnsi" w:cstheme="minorHAnsi"/>
          <w:bCs/>
          <w:color w:val="000000" w:themeColor="text1"/>
          <w:lang w:val="en-US"/>
        </w:rPr>
      </w:pPr>
      <w:r w:rsidRPr="00401655">
        <w:rPr>
          <w:rFonts w:asciiTheme="minorHAnsi" w:hAnsiTheme="minorHAnsi" w:cstheme="minorHAnsi"/>
          <w:bCs/>
          <w:color w:val="000000" w:themeColor="text1"/>
          <w:lang w:val="en-US"/>
        </w:rPr>
        <w:t>However, there is an alternative view that points to the fact that</w:t>
      </w:r>
      <w:r>
        <w:rPr>
          <w:rFonts w:asciiTheme="minorHAnsi" w:hAnsiTheme="minorHAnsi" w:cstheme="minorHAnsi"/>
          <w:bCs/>
          <w:color w:val="000000" w:themeColor="text1"/>
          <w:lang w:val="en-US"/>
        </w:rPr>
        <w:t>, a</w:t>
      </w:r>
      <w:r w:rsidR="00B52A28" w:rsidRPr="00E74642">
        <w:rPr>
          <w:rFonts w:asciiTheme="minorHAnsi" w:hAnsiTheme="minorHAnsi" w:cstheme="minorHAnsi"/>
          <w:bCs/>
          <w:color w:val="000000" w:themeColor="text1"/>
          <w:lang w:val="en-US"/>
        </w:rPr>
        <w:t xml:space="preserve">s in the previous case, it is not considered appropriate to </w:t>
      </w:r>
      <w:r w:rsidR="00494646" w:rsidRPr="00E74642">
        <w:rPr>
          <w:rFonts w:asciiTheme="minorHAnsi" w:hAnsiTheme="minorHAnsi" w:cstheme="minorHAnsi"/>
          <w:bCs/>
          <w:color w:val="000000" w:themeColor="text1"/>
          <w:lang w:val="en-US"/>
        </w:rPr>
        <w:t>set a</w:t>
      </w:r>
      <w:r w:rsidR="00B52A28" w:rsidRPr="00E74642">
        <w:rPr>
          <w:rFonts w:asciiTheme="minorHAnsi" w:hAnsiTheme="minorHAnsi" w:cstheme="minorHAnsi"/>
          <w:bCs/>
          <w:color w:val="000000" w:themeColor="text1"/>
          <w:lang w:val="en-US"/>
        </w:rPr>
        <w:t xml:space="preserve"> general </w:t>
      </w:r>
      <w:r w:rsidR="00494646" w:rsidRPr="00E74642">
        <w:rPr>
          <w:rFonts w:asciiTheme="minorHAnsi" w:hAnsiTheme="minorHAnsi" w:cstheme="minorHAnsi"/>
          <w:bCs/>
          <w:color w:val="000000" w:themeColor="text1"/>
          <w:lang w:val="en-US"/>
        </w:rPr>
        <w:t>burden on internal audit</w:t>
      </w:r>
      <w:r w:rsidR="00B52A28" w:rsidRPr="00E74642">
        <w:rPr>
          <w:rFonts w:asciiTheme="minorHAnsi" w:hAnsiTheme="minorHAnsi" w:cstheme="minorHAnsi"/>
          <w:bCs/>
          <w:color w:val="000000" w:themeColor="text1"/>
          <w:lang w:val="en-US"/>
        </w:rPr>
        <w:t xml:space="preserve"> </w:t>
      </w:r>
      <w:r w:rsidR="00494646" w:rsidRPr="00E74642">
        <w:rPr>
          <w:rFonts w:asciiTheme="minorHAnsi" w:hAnsiTheme="minorHAnsi" w:cstheme="minorHAnsi"/>
          <w:bCs/>
          <w:color w:val="000000" w:themeColor="text1"/>
          <w:lang w:val="en-US"/>
        </w:rPr>
        <w:t>to</w:t>
      </w:r>
      <w:r w:rsidR="00B52A28" w:rsidRPr="00E74642">
        <w:rPr>
          <w:rFonts w:asciiTheme="minorHAnsi" w:hAnsiTheme="minorHAnsi" w:cstheme="minorHAnsi"/>
          <w:bCs/>
          <w:color w:val="000000" w:themeColor="text1"/>
          <w:lang w:val="en-US"/>
        </w:rPr>
        <w:t xml:space="preserve"> </w:t>
      </w:r>
      <w:r w:rsidR="00494646" w:rsidRPr="00E74642">
        <w:rPr>
          <w:rFonts w:asciiTheme="minorHAnsi" w:hAnsiTheme="minorHAnsi" w:cstheme="minorHAnsi"/>
          <w:bCs/>
          <w:color w:val="000000" w:themeColor="text1"/>
          <w:lang w:val="en-US"/>
        </w:rPr>
        <w:t xml:space="preserve">testing </w:t>
      </w:r>
      <w:r w:rsidR="00B52A28" w:rsidRPr="00E74642">
        <w:rPr>
          <w:rFonts w:asciiTheme="minorHAnsi" w:hAnsiTheme="minorHAnsi" w:cstheme="minorHAnsi"/>
          <w:bCs/>
          <w:color w:val="000000" w:themeColor="text1"/>
          <w:lang w:val="en-US"/>
        </w:rPr>
        <w:t xml:space="preserve">continuity plans. Entities subject to </w:t>
      </w:r>
      <w:proofErr w:type="spellStart"/>
      <w:r w:rsidR="00B52A28" w:rsidRPr="00E74642">
        <w:rPr>
          <w:rFonts w:asciiTheme="minorHAnsi" w:hAnsiTheme="minorHAnsi" w:cstheme="minorHAnsi"/>
          <w:bCs/>
          <w:color w:val="000000" w:themeColor="text1"/>
          <w:lang w:val="en-US"/>
        </w:rPr>
        <w:t>MiCA</w:t>
      </w:r>
      <w:proofErr w:type="spellEnd"/>
      <w:r w:rsidR="00B52A28" w:rsidRPr="00E74642">
        <w:rPr>
          <w:rFonts w:asciiTheme="minorHAnsi" w:hAnsiTheme="minorHAnsi" w:cstheme="minorHAnsi"/>
          <w:bCs/>
          <w:color w:val="000000" w:themeColor="text1"/>
          <w:lang w:val="en-US"/>
        </w:rPr>
        <w:t xml:space="preserve"> should adopt governance models with three lines of defense proportional to their size, complexity and risks. It is necessary to require that the continuity plan </w:t>
      </w:r>
      <w:r w:rsidR="00494646" w:rsidRPr="00E74642">
        <w:rPr>
          <w:rFonts w:asciiTheme="minorHAnsi" w:hAnsiTheme="minorHAnsi" w:cstheme="minorHAnsi"/>
          <w:bCs/>
          <w:color w:val="000000" w:themeColor="text1"/>
          <w:lang w:val="en-US"/>
        </w:rPr>
        <w:t>is</w:t>
      </w:r>
      <w:r w:rsidR="00B52A28" w:rsidRPr="00E74642">
        <w:rPr>
          <w:rFonts w:asciiTheme="minorHAnsi" w:hAnsiTheme="minorHAnsi" w:cstheme="minorHAnsi"/>
          <w:bCs/>
          <w:color w:val="000000" w:themeColor="text1"/>
          <w:lang w:val="en-US"/>
        </w:rPr>
        <w:t xml:space="preserve"> tested periodically, but the </w:t>
      </w:r>
      <w:r w:rsidR="00494646" w:rsidRPr="00E74642">
        <w:rPr>
          <w:rFonts w:asciiTheme="minorHAnsi" w:hAnsiTheme="minorHAnsi" w:cstheme="minorHAnsi"/>
          <w:bCs/>
          <w:color w:val="000000" w:themeColor="text1"/>
          <w:lang w:val="en-US"/>
        </w:rPr>
        <w:t xml:space="preserve">determination of the area to perform the test </w:t>
      </w:r>
      <w:r w:rsidR="00B52A28" w:rsidRPr="00E74642">
        <w:rPr>
          <w:rFonts w:asciiTheme="minorHAnsi" w:hAnsiTheme="minorHAnsi" w:cstheme="minorHAnsi"/>
          <w:bCs/>
          <w:color w:val="000000" w:themeColor="text1"/>
          <w:lang w:val="en-US"/>
        </w:rPr>
        <w:t>should</w:t>
      </w:r>
      <w:r w:rsidR="00494646" w:rsidRPr="00E74642">
        <w:rPr>
          <w:rFonts w:asciiTheme="minorHAnsi" w:hAnsiTheme="minorHAnsi" w:cstheme="minorHAnsi"/>
          <w:bCs/>
          <w:color w:val="000000" w:themeColor="text1"/>
          <w:lang w:val="en-US"/>
        </w:rPr>
        <w:t xml:space="preserve"> correspond</w:t>
      </w:r>
      <w:r w:rsidR="00B52A28" w:rsidRPr="00E74642">
        <w:rPr>
          <w:rFonts w:asciiTheme="minorHAnsi" w:hAnsiTheme="minorHAnsi" w:cstheme="minorHAnsi"/>
          <w:bCs/>
          <w:color w:val="000000" w:themeColor="text1"/>
          <w:lang w:val="en-US"/>
        </w:rPr>
        <w:t xml:space="preserve"> </w:t>
      </w:r>
      <w:r w:rsidR="00494646" w:rsidRPr="00E74642">
        <w:rPr>
          <w:rFonts w:asciiTheme="minorHAnsi" w:hAnsiTheme="minorHAnsi" w:cstheme="minorHAnsi"/>
          <w:bCs/>
          <w:color w:val="000000" w:themeColor="text1"/>
          <w:lang w:val="en-US"/>
        </w:rPr>
        <w:t>to</w:t>
      </w:r>
      <w:r w:rsidR="00B52A28" w:rsidRPr="00E74642">
        <w:rPr>
          <w:rFonts w:asciiTheme="minorHAnsi" w:hAnsiTheme="minorHAnsi" w:cstheme="minorHAnsi"/>
          <w:bCs/>
          <w:color w:val="000000" w:themeColor="text1"/>
          <w:lang w:val="en-US"/>
        </w:rPr>
        <w:t xml:space="preserve"> each </w:t>
      </w:r>
      <w:r w:rsidR="00494646" w:rsidRPr="00E74642">
        <w:rPr>
          <w:rFonts w:asciiTheme="minorHAnsi" w:hAnsiTheme="minorHAnsi" w:cstheme="minorHAnsi"/>
          <w:bCs/>
          <w:color w:val="000000" w:themeColor="text1"/>
          <w:lang w:val="en-US"/>
        </w:rPr>
        <w:t xml:space="preserve">responsible </w:t>
      </w:r>
      <w:r w:rsidR="00B52A28" w:rsidRPr="00E74642">
        <w:rPr>
          <w:rFonts w:asciiTheme="minorHAnsi" w:hAnsiTheme="minorHAnsi" w:cstheme="minorHAnsi"/>
          <w:bCs/>
          <w:color w:val="000000" w:themeColor="text1"/>
          <w:lang w:val="en-US"/>
        </w:rPr>
        <w:t>entity. A different matter would be to require that internal audit plans review whether this obligation is being carried out and supervised by the corresponding areas.</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7DDE9AC1" w14:textId="77777777" w:rsidR="006634A0" w:rsidRPr="006634A0" w:rsidRDefault="006634A0" w:rsidP="006634A0">
      <w:pPr>
        <w:spacing w:before="240" w:after="120" w:line="276" w:lineRule="auto"/>
        <w:jc w:val="both"/>
        <w:rPr>
          <w:rFonts w:ascii="Arial" w:hAnsi="Arial" w:cs="Arial"/>
          <w:i/>
          <w:iCs/>
        </w:rPr>
      </w:pPr>
      <w:permStart w:id="1670274690" w:edGrp="everyone"/>
      <w:r w:rsidRPr="006634A0">
        <w:rPr>
          <w:rFonts w:ascii="Arial" w:hAnsi="Arial" w:cs="Arial"/>
          <w:i/>
          <w:iCs/>
        </w:rPr>
        <w:t>Response</w:t>
      </w:r>
    </w:p>
    <w:p w14:paraId="5FE3DA1E" w14:textId="77777777" w:rsidR="006634A0" w:rsidRPr="006634A0" w:rsidRDefault="006634A0" w:rsidP="006634A0">
      <w:pPr>
        <w:spacing w:before="240" w:after="120" w:line="276" w:lineRule="auto"/>
        <w:jc w:val="both"/>
        <w:rPr>
          <w:rFonts w:ascii="Arial" w:hAnsi="Arial" w:cs="Arial"/>
        </w:rPr>
      </w:pPr>
      <w:r w:rsidRPr="006634A0">
        <w:rPr>
          <w:rFonts w:ascii="Arial" w:hAnsi="Arial" w:cs="Arial"/>
        </w:rPr>
        <w:t xml:space="preserve">There is support for this general principle on proportionality in Article 6. Nevertheless, the terms defined in Article 6 do not correctly define when a CASP has to establish different business continuity policies. </w:t>
      </w:r>
    </w:p>
    <w:p w14:paraId="4333A26A" w14:textId="77777777" w:rsidR="006634A0" w:rsidRPr="006634A0" w:rsidRDefault="006634A0" w:rsidP="006634A0">
      <w:pPr>
        <w:spacing w:before="240" w:after="120" w:line="276" w:lineRule="auto"/>
        <w:jc w:val="both"/>
        <w:rPr>
          <w:rFonts w:ascii="Arial" w:hAnsi="Arial" w:cs="Arial"/>
        </w:rPr>
      </w:pPr>
      <w:r w:rsidRPr="006634A0">
        <w:rPr>
          <w:rFonts w:ascii="Arial" w:hAnsi="Arial" w:cs="Arial"/>
        </w:rPr>
        <w:lastRenderedPageBreak/>
        <w:t>On the other hand, the proposed self-assessment under Article 6(2), shall be supported if certain nuances are to be considered and included in its wording, as mentioned below.</w:t>
      </w:r>
    </w:p>
    <w:p w14:paraId="2EEA9D77" w14:textId="77777777" w:rsidR="006634A0" w:rsidRPr="006634A0" w:rsidRDefault="006634A0" w:rsidP="006634A0">
      <w:pPr>
        <w:spacing w:before="240" w:after="120" w:line="276" w:lineRule="auto"/>
        <w:jc w:val="both"/>
        <w:rPr>
          <w:rFonts w:ascii="Arial" w:hAnsi="Arial" w:cs="Arial"/>
          <w:i/>
          <w:iCs/>
        </w:rPr>
      </w:pPr>
      <w:r w:rsidRPr="006634A0">
        <w:rPr>
          <w:rFonts w:ascii="Arial" w:hAnsi="Arial" w:cs="Arial"/>
          <w:i/>
          <w:iCs/>
        </w:rPr>
        <w:t>Rationale</w:t>
      </w:r>
    </w:p>
    <w:p w14:paraId="79A7B9B7" w14:textId="77777777" w:rsidR="006634A0" w:rsidRPr="006634A0" w:rsidRDefault="006634A0" w:rsidP="006634A0">
      <w:pPr>
        <w:spacing w:after="120" w:line="276" w:lineRule="auto"/>
        <w:jc w:val="both"/>
        <w:rPr>
          <w:rFonts w:ascii="Arial" w:hAnsi="Arial" w:cs="Arial"/>
        </w:rPr>
      </w:pPr>
      <w:r w:rsidRPr="006634A0">
        <w:rPr>
          <w:rFonts w:ascii="Arial" w:hAnsi="Arial" w:cs="Arial"/>
        </w:rPr>
        <w:t>Regarding the principle on proportionality in Article 6, CASPs should be categorized by the information set out in Annex I of the RTS to separate business continuity policy obligations depending on the importance of the supplier in the EU market. In this regard, the provisions included in the RTS should consider certain specificities depending on the scale and size of the CASP.</w:t>
      </w:r>
    </w:p>
    <w:p w14:paraId="328C995E" w14:textId="77777777" w:rsidR="006634A0" w:rsidRPr="006634A0" w:rsidRDefault="006634A0" w:rsidP="006634A0">
      <w:pPr>
        <w:spacing w:after="120" w:line="276" w:lineRule="auto"/>
        <w:jc w:val="both"/>
        <w:rPr>
          <w:rFonts w:ascii="Arial" w:hAnsi="Arial" w:cs="Arial"/>
        </w:rPr>
      </w:pPr>
      <w:r w:rsidRPr="006634A0">
        <w:rPr>
          <w:rFonts w:ascii="Arial" w:hAnsi="Arial" w:cs="Arial"/>
        </w:rPr>
        <w:t>On the other hand, in what refers to the proposed self-assessment under Article 6(2), although it is deemed appropriate and shall be supported, it shall include other specific considerations in order to make it more complete. This is the case of environmental and personal data considerations.</w:t>
      </w:r>
    </w:p>
    <w:p w14:paraId="56E4769A" w14:textId="77777777" w:rsidR="006634A0" w:rsidRPr="006634A0" w:rsidRDefault="006634A0" w:rsidP="006634A0">
      <w:pPr>
        <w:spacing w:after="120" w:line="276" w:lineRule="auto"/>
        <w:jc w:val="both"/>
        <w:rPr>
          <w:rFonts w:ascii="Arial" w:hAnsi="Arial" w:cs="Arial"/>
          <w:i/>
          <w:iCs/>
        </w:rPr>
      </w:pPr>
      <w:r w:rsidRPr="006634A0">
        <w:rPr>
          <w:rFonts w:ascii="Arial" w:hAnsi="Arial" w:cs="Arial"/>
          <w:i/>
          <w:iCs/>
        </w:rPr>
        <w:t>Alternatives</w:t>
      </w:r>
    </w:p>
    <w:p w14:paraId="15A6C86A" w14:textId="77777777" w:rsidR="006634A0" w:rsidRPr="006634A0" w:rsidRDefault="006634A0" w:rsidP="006634A0">
      <w:pPr>
        <w:spacing w:after="120" w:line="276" w:lineRule="auto"/>
        <w:jc w:val="both"/>
        <w:rPr>
          <w:rFonts w:ascii="Arial" w:hAnsi="Arial" w:cs="Arial"/>
        </w:rPr>
      </w:pPr>
      <w:r w:rsidRPr="006634A0">
        <w:rPr>
          <w:rFonts w:ascii="Arial" w:hAnsi="Arial" w:cs="Arial"/>
        </w:rPr>
        <w:t>Regarding the principle on proportionality in Article 6, it would be necessary to numerically categorize when a CASP is considered a small, medium and large intermediary within the EU market in order for Member States to modify the business continuity obligations, guarantees or safeguards that each CASP must perform in order to act properly under its authorization.</w:t>
      </w:r>
    </w:p>
    <w:p w14:paraId="3A635583" w14:textId="77777777" w:rsidR="006634A0" w:rsidRPr="006634A0" w:rsidRDefault="006634A0" w:rsidP="006634A0">
      <w:pPr>
        <w:spacing w:after="120" w:line="276" w:lineRule="auto"/>
        <w:jc w:val="both"/>
        <w:rPr>
          <w:rFonts w:ascii="Arial" w:hAnsi="Arial" w:cs="Arial"/>
        </w:rPr>
      </w:pPr>
      <w:r w:rsidRPr="006634A0">
        <w:rPr>
          <w:rFonts w:ascii="Arial" w:hAnsi="Arial" w:cs="Arial"/>
        </w:rPr>
        <w:t>Regarding the proposed self-assessment under Article 6(2) and in the Annex of the draft RTS apart from the information included, Environmental, Social and Governance framework (ESG framework) shall be included. In this sense, it is recommended to include information on the ESG footprint of the services provided by each CASP or the number of personal data collected for the services provided.</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lastRenderedPageBreak/>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112EDB10" w14:textId="77777777" w:rsidR="003D642F" w:rsidRPr="003D642F" w:rsidRDefault="003D642F" w:rsidP="003D642F">
      <w:pPr>
        <w:jc w:val="both"/>
        <w:rPr>
          <w:rFonts w:ascii="Arial" w:hAnsi="Arial" w:cs="Arial"/>
          <w:i/>
          <w:iCs/>
        </w:rPr>
      </w:pPr>
      <w:permStart w:id="1719166885" w:edGrp="everyone"/>
      <w:r w:rsidRPr="003D642F">
        <w:rPr>
          <w:rFonts w:ascii="Arial" w:hAnsi="Arial" w:cs="Arial"/>
          <w:i/>
          <w:iCs/>
        </w:rPr>
        <w:t>Response</w:t>
      </w:r>
    </w:p>
    <w:p w14:paraId="72806BE2" w14:textId="37FD9456" w:rsidR="003D642F" w:rsidRDefault="003D642F" w:rsidP="003D642F">
      <w:pPr>
        <w:spacing w:before="240" w:line="276" w:lineRule="auto"/>
        <w:jc w:val="both"/>
        <w:rPr>
          <w:rFonts w:ascii="Arial" w:hAnsi="Arial" w:cs="Arial"/>
        </w:rPr>
      </w:pPr>
      <w:r w:rsidRPr="003D642F">
        <w:rPr>
          <w:rFonts w:ascii="Arial" w:hAnsi="Arial" w:cs="Arial"/>
        </w:rPr>
        <w:t>Yes, in general terms, the proposals made by ESMA in relation to the pre-trade information to be provided by the CASPs included in Table 2 of Annex I, which is closely related to Table 3 of Annex I as well of the draft (and which will, therefore, be analysed altogether), seem to be convenient and sufficient to comply with the pre-trade transparency requirements. However, there are some nuances that could be made to further clarify and specify some of the information requirements included, which will be explained below.</w:t>
      </w:r>
    </w:p>
    <w:p w14:paraId="5CA701E1" w14:textId="77777777" w:rsidR="003D642F" w:rsidRPr="003D642F" w:rsidRDefault="003D642F" w:rsidP="003D642F">
      <w:pPr>
        <w:spacing w:before="240" w:line="276" w:lineRule="auto"/>
        <w:jc w:val="both"/>
        <w:rPr>
          <w:rFonts w:ascii="Arial" w:hAnsi="Arial" w:cs="Arial"/>
        </w:rPr>
      </w:pPr>
    </w:p>
    <w:p w14:paraId="28108D11" w14:textId="77777777" w:rsidR="003D642F" w:rsidRPr="003D642F" w:rsidRDefault="003D642F" w:rsidP="003D642F">
      <w:pPr>
        <w:jc w:val="both"/>
        <w:rPr>
          <w:rFonts w:ascii="Arial" w:hAnsi="Arial" w:cs="Arial"/>
          <w:i/>
          <w:iCs/>
        </w:rPr>
      </w:pPr>
      <w:r w:rsidRPr="003D642F">
        <w:rPr>
          <w:rFonts w:ascii="Arial" w:hAnsi="Arial" w:cs="Arial"/>
          <w:i/>
          <w:iCs/>
        </w:rPr>
        <w:t>Rationale</w:t>
      </w:r>
    </w:p>
    <w:p w14:paraId="2FFA43B9" w14:textId="77777777" w:rsidR="003D642F" w:rsidRDefault="003D642F" w:rsidP="003D642F">
      <w:pPr>
        <w:spacing w:line="276" w:lineRule="auto"/>
        <w:jc w:val="both"/>
        <w:rPr>
          <w:rFonts w:ascii="Arial" w:hAnsi="Arial" w:cs="Arial"/>
        </w:rPr>
      </w:pPr>
    </w:p>
    <w:p w14:paraId="1E007C07" w14:textId="0DFFF8D9" w:rsidR="003D642F" w:rsidRPr="003D642F" w:rsidRDefault="003D642F" w:rsidP="003D642F">
      <w:pPr>
        <w:spacing w:line="276" w:lineRule="auto"/>
        <w:jc w:val="both"/>
        <w:rPr>
          <w:rFonts w:ascii="Arial" w:hAnsi="Arial" w:cs="Arial"/>
        </w:rPr>
      </w:pPr>
      <w:r w:rsidRPr="003D642F">
        <w:rPr>
          <w:rFonts w:ascii="Arial" w:hAnsi="Arial" w:cs="Arial"/>
        </w:rPr>
        <w:t xml:space="preserve">As stated, the information provided in Tables 2 and 3 seem sufficient because both include, in a graphic and orderly manner, the different pre-trade information </w:t>
      </w:r>
      <w:r w:rsidRPr="003D642F">
        <w:rPr>
          <w:rFonts w:ascii="Arial" w:hAnsi="Arial" w:cs="Arial"/>
        </w:rPr>
        <w:lastRenderedPageBreak/>
        <w:t>requirements that will be requested to the parties involved in a crypto-asset trade, so that the potential consumer can participate in the operation in a safe and informed way.</w:t>
      </w:r>
    </w:p>
    <w:p w14:paraId="13A2CA86" w14:textId="77777777" w:rsidR="003D642F" w:rsidRPr="003D642F" w:rsidRDefault="003D642F" w:rsidP="003D642F">
      <w:pPr>
        <w:spacing w:line="276" w:lineRule="auto"/>
        <w:jc w:val="both"/>
        <w:rPr>
          <w:rFonts w:ascii="Arial" w:hAnsi="Arial" w:cs="Arial"/>
        </w:rPr>
      </w:pPr>
      <w:r w:rsidRPr="003D642F">
        <w:rPr>
          <w:rFonts w:ascii="Arial" w:hAnsi="Arial" w:cs="Arial"/>
        </w:rPr>
        <w:t>Likewise, it seems very convenient the division in sections of such information in concepts such as: the identification of the parties involved in the trading, the price and price currency, date and time when the order is introduced for execution, and when the information is published, quantity, type of trading system where the order is advertised, etc.</w:t>
      </w:r>
    </w:p>
    <w:p w14:paraId="66637045" w14:textId="77777777" w:rsidR="003D642F" w:rsidRDefault="003D642F" w:rsidP="003D642F">
      <w:pPr>
        <w:spacing w:line="276" w:lineRule="auto"/>
        <w:jc w:val="both"/>
        <w:rPr>
          <w:rFonts w:ascii="Arial" w:hAnsi="Arial" w:cs="Arial"/>
        </w:rPr>
      </w:pPr>
    </w:p>
    <w:p w14:paraId="67403013" w14:textId="2F04CE19" w:rsidR="003D642F" w:rsidRPr="003D642F" w:rsidRDefault="003D642F" w:rsidP="003D642F">
      <w:pPr>
        <w:spacing w:line="276" w:lineRule="auto"/>
        <w:jc w:val="both"/>
        <w:rPr>
          <w:rFonts w:ascii="Arial" w:hAnsi="Arial" w:cs="Arial"/>
        </w:rPr>
      </w:pPr>
      <w:r w:rsidRPr="003D642F">
        <w:rPr>
          <w:rFonts w:ascii="Arial" w:hAnsi="Arial" w:cs="Arial"/>
        </w:rPr>
        <w:t>Thus, this information provided by the parties will ensure that consumers interested in accessing these services will have updated information in real-time regarding orders, bid and offer prices, volume of offers, firm quotes, etc. This will allow them to make an informed and safe decision before trading. Furthermore, the way of communicating and making public all the information required and developed in the aforementioned Tables seems convenient as it will provide harmonization, clarity and precision in the trade of the crypto-assets.</w:t>
      </w:r>
    </w:p>
    <w:p w14:paraId="41D25234" w14:textId="77777777" w:rsidR="003D642F" w:rsidRDefault="003D642F" w:rsidP="003D642F">
      <w:pPr>
        <w:jc w:val="both"/>
        <w:rPr>
          <w:rFonts w:ascii="Arial" w:hAnsi="Arial" w:cs="Arial"/>
          <w:i/>
          <w:iCs/>
        </w:rPr>
      </w:pPr>
    </w:p>
    <w:p w14:paraId="248127FD" w14:textId="0FD6E315" w:rsidR="003D642F" w:rsidRPr="003D642F" w:rsidRDefault="003D642F" w:rsidP="003D642F">
      <w:pPr>
        <w:jc w:val="both"/>
        <w:rPr>
          <w:rFonts w:ascii="Arial" w:hAnsi="Arial" w:cs="Arial"/>
          <w:i/>
          <w:iCs/>
        </w:rPr>
      </w:pPr>
      <w:r w:rsidRPr="003D642F">
        <w:rPr>
          <w:rFonts w:ascii="Arial" w:hAnsi="Arial" w:cs="Arial"/>
          <w:i/>
          <w:iCs/>
        </w:rPr>
        <w:t>Alternatives</w:t>
      </w:r>
    </w:p>
    <w:p w14:paraId="23F1F603" w14:textId="77777777" w:rsidR="003D642F" w:rsidRDefault="003D642F" w:rsidP="003D642F">
      <w:pPr>
        <w:spacing w:line="276" w:lineRule="auto"/>
        <w:jc w:val="both"/>
        <w:rPr>
          <w:rFonts w:ascii="Arial" w:hAnsi="Arial" w:cs="Arial"/>
        </w:rPr>
      </w:pPr>
    </w:p>
    <w:p w14:paraId="09E7DBA5" w14:textId="3CA869DC" w:rsidR="003D642F" w:rsidRPr="003D642F" w:rsidRDefault="003D642F" w:rsidP="003D642F">
      <w:pPr>
        <w:spacing w:line="276" w:lineRule="auto"/>
        <w:jc w:val="both"/>
        <w:rPr>
          <w:rFonts w:ascii="Arial" w:hAnsi="Arial" w:cs="Arial"/>
        </w:rPr>
      </w:pPr>
      <w:r w:rsidRPr="003D642F">
        <w:rPr>
          <w:rFonts w:ascii="Arial" w:hAnsi="Arial" w:cs="Arial"/>
        </w:rPr>
        <w:t>However, some clarifications that could be made in the text are included as follows:</w:t>
      </w:r>
    </w:p>
    <w:p w14:paraId="1EE20E67" w14:textId="77777777" w:rsidR="003D642F" w:rsidRPr="003D642F" w:rsidRDefault="003D642F" w:rsidP="003D642F">
      <w:pPr>
        <w:pStyle w:val="Prrafodelista"/>
        <w:numPr>
          <w:ilvl w:val="0"/>
          <w:numId w:val="32"/>
        </w:numPr>
        <w:tabs>
          <w:tab w:val="clear" w:pos="0"/>
          <w:tab w:val="clear" w:pos="142"/>
          <w:tab w:val="clear" w:pos="284"/>
          <w:tab w:val="clear" w:pos="567"/>
        </w:tabs>
        <w:autoSpaceDE/>
        <w:autoSpaceDN/>
        <w:adjustRightInd/>
        <w:spacing w:line="276" w:lineRule="auto"/>
        <w:contextualSpacing/>
        <w:rPr>
          <w:rFonts w:ascii="Arial" w:hAnsi="Arial" w:cs="Arial"/>
          <w:sz w:val="24"/>
          <w:szCs w:val="24"/>
        </w:rPr>
      </w:pPr>
      <w:r w:rsidRPr="003D642F">
        <w:rPr>
          <w:rFonts w:ascii="Arial" w:hAnsi="Arial" w:cs="Arial"/>
          <w:sz w:val="24"/>
          <w:szCs w:val="24"/>
        </w:rPr>
        <w:t>Regarding the parties involved in trading, Fields 2 and 5 in Table 3 refer to: “</w:t>
      </w:r>
      <w:r w:rsidRPr="003D642F">
        <w:rPr>
          <w:rFonts w:ascii="Arial" w:hAnsi="Arial" w:cs="Arial"/>
          <w:i/>
          <w:sz w:val="24"/>
          <w:szCs w:val="24"/>
        </w:rPr>
        <w:t>Crypto-asset identification code”</w:t>
      </w:r>
      <w:r w:rsidRPr="003D642F">
        <w:rPr>
          <w:rFonts w:ascii="Arial" w:hAnsi="Arial" w:cs="Arial"/>
          <w:sz w:val="24"/>
          <w:szCs w:val="24"/>
        </w:rPr>
        <w:t xml:space="preserve"> and </w:t>
      </w:r>
      <w:r w:rsidRPr="003D642F">
        <w:rPr>
          <w:rFonts w:ascii="Arial" w:hAnsi="Arial" w:cs="Arial"/>
          <w:i/>
          <w:sz w:val="24"/>
          <w:szCs w:val="24"/>
        </w:rPr>
        <w:t>“Buy-sell indicator”</w:t>
      </w:r>
      <w:r w:rsidRPr="003D642F">
        <w:rPr>
          <w:rFonts w:ascii="Arial" w:hAnsi="Arial" w:cs="Arial"/>
          <w:sz w:val="24"/>
          <w:szCs w:val="24"/>
        </w:rPr>
        <w:t>. In this sense if a third party is acting as an intermediary it needs to be properly identified (Name of the company, registered office, authorisation number…);</w:t>
      </w:r>
    </w:p>
    <w:p w14:paraId="614F4781" w14:textId="77777777" w:rsidR="003D642F" w:rsidRPr="003D642F" w:rsidRDefault="003D642F" w:rsidP="003D642F">
      <w:pPr>
        <w:pStyle w:val="Prrafodelista"/>
        <w:numPr>
          <w:ilvl w:val="0"/>
          <w:numId w:val="32"/>
        </w:numPr>
        <w:tabs>
          <w:tab w:val="clear" w:pos="0"/>
          <w:tab w:val="clear" w:pos="142"/>
          <w:tab w:val="clear" w:pos="284"/>
          <w:tab w:val="clear" w:pos="567"/>
        </w:tabs>
        <w:autoSpaceDE/>
        <w:autoSpaceDN/>
        <w:adjustRightInd/>
        <w:spacing w:line="276" w:lineRule="auto"/>
        <w:contextualSpacing/>
        <w:rPr>
          <w:rFonts w:ascii="Arial" w:hAnsi="Arial" w:cs="Arial"/>
          <w:sz w:val="24"/>
          <w:szCs w:val="24"/>
        </w:rPr>
      </w:pPr>
      <w:r w:rsidRPr="003D642F">
        <w:rPr>
          <w:rFonts w:ascii="Arial" w:hAnsi="Arial" w:cs="Arial"/>
          <w:sz w:val="24"/>
          <w:szCs w:val="24"/>
        </w:rPr>
        <w:t xml:space="preserve">Regarding the date and time included in: Fields 1 and 14 in Table 3 that refer to </w:t>
      </w:r>
      <w:r w:rsidRPr="003D642F">
        <w:rPr>
          <w:rFonts w:ascii="Arial" w:hAnsi="Arial" w:cs="Arial"/>
          <w:i/>
          <w:sz w:val="24"/>
          <w:szCs w:val="24"/>
        </w:rPr>
        <w:t>“Submission date and time”</w:t>
      </w:r>
      <w:r w:rsidRPr="003D642F">
        <w:rPr>
          <w:rFonts w:ascii="Arial" w:hAnsi="Arial" w:cs="Arial"/>
          <w:sz w:val="24"/>
          <w:szCs w:val="24"/>
        </w:rPr>
        <w:t xml:space="preserve"> and </w:t>
      </w:r>
      <w:r w:rsidRPr="003D642F">
        <w:rPr>
          <w:rFonts w:ascii="Arial" w:hAnsi="Arial" w:cs="Arial"/>
          <w:i/>
          <w:sz w:val="24"/>
          <w:szCs w:val="24"/>
        </w:rPr>
        <w:t xml:space="preserve">“Publication date and time”, </w:t>
      </w:r>
      <w:r w:rsidRPr="003D642F">
        <w:rPr>
          <w:rFonts w:ascii="Arial" w:hAnsi="Arial" w:cs="Arial"/>
          <w:sz w:val="24"/>
          <w:szCs w:val="24"/>
        </w:rPr>
        <w:t>it</w:t>
      </w:r>
      <w:r w:rsidRPr="003D642F">
        <w:rPr>
          <w:rFonts w:ascii="Arial" w:hAnsi="Arial" w:cs="Arial"/>
          <w:color w:val="385623" w:themeColor="accent6" w:themeShade="80"/>
          <w:sz w:val="24"/>
          <w:szCs w:val="24"/>
        </w:rPr>
        <w:t xml:space="preserve"> </w:t>
      </w:r>
      <w:r w:rsidRPr="003D642F">
        <w:rPr>
          <w:rFonts w:ascii="Arial" w:hAnsi="Arial" w:cs="Arial"/>
          <w:sz w:val="24"/>
          <w:szCs w:val="24"/>
        </w:rPr>
        <w:t>seems convenient to establish which date and time will have to be published (i.e., local time, UTC, EST, etc.).</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27E1D34A" w14:textId="77777777" w:rsidR="003D642F" w:rsidRPr="003D642F" w:rsidRDefault="003D642F" w:rsidP="003D642F">
      <w:pPr>
        <w:jc w:val="both"/>
        <w:rPr>
          <w:rFonts w:ascii="Arial" w:hAnsi="Arial" w:cs="Arial"/>
          <w:i/>
          <w:iCs/>
        </w:rPr>
      </w:pPr>
      <w:permStart w:id="1428117711" w:edGrp="everyone"/>
      <w:r w:rsidRPr="003D642F">
        <w:rPr>
          <w:rFonts w:ascii="Arial" w:hAnsi="Arial" w:cs="Arial"/>
          <w:i/>
          <w:iCs/>
        </w:rPr>
        <w:t>Response</w:t>
      </w:r>
    </w:p>
    <w:p w14:paraId="1D737482" w14:textId="77777777" w:rsidR="003D642F" w:rsidRPr="003D642F" w:rsidRDefault="003D642F" w:rsidP="003D642F">
      <w:pPr>
        <w:jc w:val="both"/>
        <w:rPr>
          <w:rFonts w:ascii="Arial" w:hAnsi="Arial" w:cs="Arial"/>
          <w:i/>
          <w:iCs/>
        </w:rPr>
      </w:pPr>
      <w:r w:rsidRPr="003D642F">
        <w:rPr>
          <w:rFonts w:ascii="Arial" w:hAnsi="Arial" w:cs="Arial"/>
        </w:rPr>
        <w:t>Yes, ESMA's proposal regarding the obligation to establish a specific format to standardize pre-trade information is deemed appropriate.</w:t>
      </w:r>
    </w:p>
    <w:p w14:paraId="714962A9" w14:textId="77777777" w:rsidR="003D642F" w:rsidRPr="003D642F" w:rsidRDefault="003D642F" w:rsidP="003D642F">
      <w:pPr>
        <w:jc w:val="both"/>
        <w:rPr>
          <w:rFonts w:ascii="Arial" w:hAnsi="Arial" w:cs="Arial"/>
          <w:i/>
          <w:iCs/>
        </w:rPr>
      </w:pPr>
      <w:r w:rsidRPr="003D642F">
        <w:rPr>
          <w:rFonts w:ascii="Arial" w:hAnsi="Arial" w:cs="Arial"/>
          <w:i/>
          <w:iCs/>
        </w:rPr>
        <w:t>Rationale</w:t>
      </w:r>
    </w:p>
    <w:p w14:paraId="275AD985" w14:textId="77777777" w:rsidR="003D642F" w:rsidRDefault="003D642F" w:rsidP="003D642F">
      <w:pPr>
        <w:spacing w:before="240" w:line="276" w:lineRule="auto"/>
        <w:jc w:val="both"/>
        <w:rPr>
          <w:rFonts w:ascii="Arial" w:hAnsi="Arial" w:cs="Arial"/>
        </w:rPr>
      </w:pPr>
      <w:r w:rsidRPr="003D642F">
        <w:rPr>
          <w:rFonts w:ascii="Arial" w:hAnsi="Arial" w:cs="Arial"/>
        </w:rPr>
        <w:t xml:space="preserve">Such standardization is likely to enhance consistency and clarity in the disclosure of financial information. Moreover, it will make it easier for users to compare and analyse </w:t>
      </w:r>
      <w:r w:rsidRPr="003D642F">
        <w:rPr>
          <w:rFonts w:ascii="Arial" w:hAnsi="Arial" w:cs="Arial"/>
        </w:rPr>
        <w:lastRenderedPageBreak/>
        <w:t xml:space="preserve">different financial instruments, increase transparency, and improve efficiency in the financial markets. </w:t>
      </w:r>
    </w:p>
    <w:p w14:paraId="016C462A" w14:textId="77777777" w:rsidR="00FA3C6E" w:rsidRPr="003D642F" w:rsidRDefault="00FA3C6E" w:rsidP="003D642F">
      <w:pPr>
        <w:spacing w:before="240" w:line="276" w:lineRule="auto"/>
        <w:jc w:val="both"/>
        <w:rPr>
          <w:rFonts w:ascii="Arial" w:hAnsi="Arial" w:cs="Arial"/>
        </w:rPr>
      </w:pPr>
    </w:p>
    <w:p w14:paraId="63577AFC" w14:textId="77777777" w:rsidR="003D642F" w:rsidRPr="003D642F" w:rsidRDefault="003D642F" w:rsidP="003D642F">
      <w:pPr>
        <w:jc w:val="both"/>
        <w:rPr>
          <w:rFonts w:ascii="Arial" w:hAnsi="Arial" w:cs="Arial"/>
          <w:i/>
          <w:iCs/>
        </w:rPr>
      </w:pPr>
      <w:r w:rsidRPr="003D642F">
        <w:rPr>
          <w:rFonts w:ascii="Arial" w:hAnsi="Arial" w:cs="Arial"/>
          <w:i/>
          <w:iCs/>
        </w:rPr>
        <w:t>Alternatives</w:t>
      </w:r>
    </w:p>
    <w:p w14:paraId="09D62116" w14:textId="77777777" w:rsidR="00FA3C6E" w:rsidRDefault="00FA3C6E" w:rsidP="003D642F">
      <w:pPr>
        <w:spacing w:line="276" w:lineRule="auto"/>
        <w:jc w:val="both"/>
        <w:rPr>
          <w:rFonts w:ascii="Arial" w:hAnsi="Arial" w:cs="Arial"/>
        </w:rPr>
      </w:pPr>
    </w:p>
    <w:p w14:paraId="2E16142D" w14:textId="31CC689D" w:rsidR="003D642F" w:rsidRDefault="003D642F" w:rsidP="003D642F">
      <w:pPr>
        <w:spacing w:line="276" w:lineRule="auto"/>
        <w:jc w:val="both"/>
        <w:rPr>
          <w:rFonts w:ascii="Arial" w:hAnsi="Arial" w:cs="Arial"/>
        </w:rPr>
      </w:pPr>
      <w:r w:rsidRPr="003D642F">
        <w:rPr>
          <w:rFonts w:ascii="Arial" w:hAnsi="Arial" w:cs="Arial"/>
        </w:rPr>
        <w:t xml:space="preserve">However, the acceptance and success of these proposals will depend on several factors including: the cooperation of market participants, existing market dynamics, the adaptability of the industry to the new standards (consider that financial markets are dynamic, and a rigid format may become outdated quickly), compliance costs, etc. Regarding this last element, indeed, the potential costs associated with implementing the proposed format should be evaluated. Excessive compliance costs may also be a concern for market participants and could impact the willingness to adopt them. </w:t>
      </w:r>
    </w:p>
    <w:p w14:paraId="3F663C45" w14:textId="77777777" w:rsidR="00FA3C6E" w:rsidRPr="003D642F" w:rsidRDefault="00FA3C6E" w:rsidP="003D642F">
      <w:pPr>
        <w:spacing w:line="276" w:lineRule="auto"/>
        <w:jc w:val="both"/>
        <w:rPr>
          <w:rFonts w:ascii="Arial" w:hAnsi="Arial" w:cs="Arial"/>
        </w:rPr>
      </w:pPr>
    </w:p>
    <w:p w14:paraId="2010DB24" w14:textId="77777777" w:rsidR="003D642F" w:rsidRPr="003D642F" w:rsidRDefault="003D642F" w:rsidP="003D642F">
      <w:pPr>
        <w:spacing w:line="276" w:lineRule="auto"/>
        <w:jc w:val="both"/>
        <w:rPr>
          <w:rFonts w:ascii="Arial" w:hAnsi="Arial" w:cs="Arial"/>
        </w:rPr>
      </w:pPr>
      <w:r w:rsidRPr="003D642F">
        <w:rPr>
          <w:rFonts w:ascii="Arial" w:hAnsi="Arial" w:cs="Arial"/>
        </w:rPr>
        <w:t>In turn, stakeholder feedback should be considered, including market participants, industry associations and regulatory authorities. Involving stakeholders in the consultation process can help identify potential issues and improve the proposed standards.</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5B192149" w14:textId="77777777" w:rsidR="00FE7D40" w:rsidRPr="00CB7817" w:rsidRDefault="00FE7D40" w:rsidP="00FE7D40">
      <w:pPr>
        <w:pStyle w:val="Default"/>
        <w:jc w:val="both"/>
        <w:rPr>
          <w:rFonts w:asciiTheme="minorHAnsi" w:hAnsiTheme="minorHAnsi" w:cstheme="minorHAnsi"/>
          <w:i/>
          <w:color w:val="0F0F0F"/>
          <w:lang w:val="en-GB"/>
        </w:rPr>
      </w:pPr>
      <w:permStart w:id="478694635" w:edGrp="everyone"/>
      <w:r w:rsidRPr="00CB7817">
        <w:rPr>
          <w:rFonts w:asciiTheme="minorHAnsi" w:hAnsiTheme="minorHAnsi" w:cstheme="minorHAnsi"/>
          <w:i/>
          <w:color w:val="0F0F0F"/>
          <w:lang w:val="en-GB"/>
        </w:rPr>
        <w:t xml:space="preserve">Response </w:t>
      </w:r>
    </w:p>
    <w:p w14:paraId="6E1ECC60" w14:textId="77777777" w:rsidR="00FE7D40" w:rsidRPr="00FB7191" w:rsidRDefault="00FE7D40" w:rsidP="00FE7D40">
      <w:pPr>
        <w:pStyle w:val="Default"/>
        <w:jc w:val="both"/>
        <w:rPr>
          <w:rFonts w:asciiTheme="minorHAnsi" w:hAnsiTheme="minorHAnsi" w:cstheme="minorHAnsi"/>
          <w:i/>
          <w:iCs/>
          <w:color w:val="0F0F0F"/>
          <w:lang w:val="en-GB"/>
        </w:rPr>
      </w:pPr>
    </w:p>
    <w:p w14:paraId="2E937D6E" w14:textId="77777777" w:rsidR="00FE7D40" w:rsidRPr="00FE7D40" w:rsidRDefault="00FE7D40" w:rsidP="00FE7D40">
      <w:pPr>
        <w:pStyle w:val="Default"/>
        <w:jc w:val="both"/>
        <w:rPr>
          <w:rFonts w:asciiTheme="minorHAnsi" w:hAnsiTheme="minorHAnsi" w:cstheme="minorHAnsi"/>
          <w:color w:val="0F0F0F"/>
          <w:lang w:val="en-GB"/>
        </w:rPr>
      </w:pPr>
      <w:r w:rsidRPr="00FE7D40">
        <w:rPr>
          <w:rFonts w:asciiTheme="minorHAnsi" w:hAnsiTheme="minorHAnsi" w:cstheme="minorHAnsi"/>
          <w:color w:val="0F0F0F"/>
          <w:lang w:val="en-GB"/>
        </w:rPr>
        <w:t>Yes, with the vast majority of them.</w:t>
      </w:r>
    </w:p>
    <w:p w14:paraId="6B3FB6DB" w14:textId="77777777" w:rsidR="00FE7D40" w:rsidRPr="00CB7817" w:rsidRDefault="00FE7D40" w:rsidP="00FE7D40">
      <w:pPr>
        <w:pStyle w:val="Default"/>
        <w:jc w:val="both"/>
        <w:rPr>
          <w:rFonts w:asciiTheme="minorHAnsi" w:hAnsiTheme="minorHAnsi" w:cstheme="minorHAnsi"/>
          <w:color w:val="0F0F0F"/>
          <w:lang w:val="en-GB"/>
        </w:rPr>
      </w:pPr>
    </w:p>
    <w:p w14:paraId="0656DDDB" w14:textId="77777777" w:rsidR="00FE7D40" w:rsidRDefault="00FE7D40" w:rsidP="00FE7D40">
      <w:pPr>
        <w:pStyle w:val="Default"/>
        <w:jc w:val="both"/>
        <w:rPr>
          <w:rFonts w:asciiTheme="minorHAnsi" w:hAnsiTheme="minorHAnsi" w:cstheme="minorHAnsi"/>
          <w:i/>
          <w:color w:val="0F0F0F"/>
          <w:lang w:val="en-GB"/>
        </w:rPr>
      </w:pPr>
      <w:r w:rsidRPr="00CB7817">
        <w:rPr>
          <w:rFonts w:asciiTheme="minorHAnsi" w:hAnsiTheme="minorHAnsi" w:cstheme="minorHAnsi"/>
          <w:i/>
          <w:color w:val="0F0F0F"/>
          <w:lang w:val="en-GB"/>
        </w:rPr>
        <w:t>Rationale</w:t>
      </w:r>
      <w:r>
        <w:rPr>
          <w:rFonts w:asciiTheme="minorHAnsi" w:hAnsiTheme="minorHAnsi" w:cstheme="minorHAnsi"/>
          <w:i/>
          <w:color w:val="0F0F0F"/>
          <w:lang w:val="en-GB"/>
        </w:rPr>
        <w:t xml:space="preserve"> and suggestion</w:t>
      </w:r>
    </w:p>
    <w:p w14:paraId="4D89DC6C" w14:textId="77777777" w:rsidR="00FE7D40" w:rsidRDefault="00FE7D40" w:rsidP="00FE7D40">
      <w:pPr>
        <w:pStyle w:val="Default"/>
        <w:jc w:val="both"/>
        <w:rPr>
          <w:rFonts w:asciiTheme="minorHAnsi" w:hAnsiTheme="minorHAnsi" w:cstheme="minorHAnsi"/>
          <w:i/>
          <w:color w:val="0F0F0F"/>
          <w:lang w:val="en-GB"/>
        </w:rPr>
      </w:pPr>
    </w:p>
    <w:p w14:paraId="3CD9E81C" w14:textId="77777777" w:rsidR="00FE7D40" w:rsidRPr="00FE7D40" w:rsidRDefault="00FE7D40" w:rsidP="00FE7D40">
      <w:pPr>
        <w:pStyle w:val="Default"/>
        <w:jc w:val="both"/>
        <w:rPr>
          <w:rFonts w:asciiTheme="minorHAnsi" w:hAnsiTheme="minorHAnsi" w:cstheme="minorHAnsi"/>
          <w:bCs/>
          <w:color w:val="0F0F0F"/>
          <w:lang w:val="en-GB"/>
        </w:rPr>
      </w:pPr>
      <w:r w:rsidRPr="00FE7D40">
        <w:rPr>
          <w:rFonts w:asciiTheme="minorHAnsi" w:hAnsiTheme="minorHAnsi" w:cstheme="minorHAnsi"/>
          <w:bCs/>
          <w:color w:val="0F0F0F"/>
          <w:lang w:val="en-GB"/>
        </w:rPr>
        <w:t xml:space="preserve">The vast majority of indicators and data of post-trade information are the same as those provided for the financial instruments in MiFID2 (we can use them by analogical application). In this sense, it is praiseworthy that the indicators and information that has to be published for traded financial instruments have been taken into account as a </w:t>
      </w:r>
      <w:r w:rsidRPr="00FE7D40">
        <w:rPr>
          <w:rFonts w:asciiTheme="minorHAnsi" w:hAnsiTheme="minorHAnsi" w:cstheme="minorHAnsi"/>
          <w:b/>
          <w:color w:val="0F0F0F"/>
          <w:u w:val="single"/>
          <w:lang w:val="en-GB"/>
        </w:rPr>
        <w:t>reference</w:t>
      </w:r>
      <w:r w:rsidRPr="00FE7D40">
        <w:rPr>
          <w:rFonts w:asciiTheme="minorHAnsi" w:hAnsiTheme="minorHAnsi" w:cstheme="minorHAnsi"/>
          <w:bCs/>
          <w:color w:val="0F0F0F"/>
          <w:lang w:val="en-GB"/>
        </w:rPr>
        <w:t xml:space="preserve">, since, in the end, if we talk about traded crypto-assets, there are many similarities. </w:t>
      </w:r>
    </w:p>
    <w:p w14:paraId="0EAA61F3" w14:textId="77777777" w:rsidR="00FE7D40" w:rsidRPr="00FE7D40" w:rsidRDefault="00FE7D40" w:rsidP="00FE7D40">
      <w:pPr>
        <w:pStyle w:val="Default"/>
        <w:jc w:val="both"/>
        <w:rPr>
          <w:rFonts w:asciiTheme="minorHAnsi" w:hAnsiTheme="minorHAnsi" w:cstheme="minorHAnsi"/>
          <w:color w:val="0F0F0F"/>
          <w:lang w:val="en-GB"/>
        </w:rPr>
      </w:pPr>
    </w:p>
    <w:p w14:paraId="397C70B5" w14:textId="77777777" w:rsidR="00FE7D40" w:rsidRPr="00FE7D40" w:rsidRDefault="00FE7D40" w:rsidP="00FE7D40">
      <w:pPr>
        <w:pStyle w:val="Default"/>
        <w:jc w:val="both"/>
        <w:rPr>
          <w:rFonts w:asciiTheme="minorHAnsi" w:hAnsiTheme="minorHAnsi" w:cstheme="minorHAnsi"/>
          <w:b/>
          <w:color w:val="0F0F0F"/>
          <w:lang w:val="en-GB"/>
        </w:rPr>
      </w:pPr>
      <w:r w:rsidRPr="00FE7D40">
        <w:rPr>
          <w:rFonts w:asciiTheme="minorHAnsi" w:hAnsiTheme="minorHAnsi" w:cstheme="minorHAnsi"/>
          <w:color w:val="0F0F0F"/>
          <w:lang w:val="en-GB"/>
        </w:rPr>
        <w:lastRenderedPageBreak/>
        <w:t>Having said that, the "crypto-asset full name" field It seems not necessary since the information of the crypto asset admitted to trading would be complete with the “Crypto-asset identification code” field (field 3).</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6BAAF21C" w14:textId="77777777" w:rsidR="00FE7D40" w:rsidRPr="00CB7817" w:rsidRDefault="00FE7D40" w:rsidP="00FE7D40">
      <w:pPr>
        <w:pStyle w:val="Default"/>
        <w:jc w:val="both"/>
        <w:rPr>
          <w:rFonts w:asciiTheme="minorHAnsi" w:hAnsiTheme="minorHAnsi" w:cstheme="minorHAnsi"/>
          <w:i/>
          <w:color w:val="0F0F0F"/>
          <w:lang w:val="en-GB"/>
        </w:rPr>
      </w:pPr>
      <w:permStart w:id="564936908" w:edGrp="everyone"/>
      <w:r w:rsidRPr="00CB7817">
        <w:rPr>
          <w:rFonts w:asciiTheme="minorHAnsi" w:hAnsiTheme="minorHAnsi" w:cstheme="minorHAnsi"/>
          <w:i/>
          <w:color w:val="0F0F0F"/>
          <w:lang w:val="en-GB"/>
        </w:rPr>
        <w:t xml:space="preserve">Response </w:t>
      </w:r>
    </w:p>
    <w:p w14:paraId="18170620" w14:textId="77777777" w:rsidR="00FE7D40" w:rsidRPr="00CB7817" w:rsidRDefault="00FE7D40" w:rsidP="00FE7D40">
      <w:pPr>
        <w:pStyle w:val="Default"/>
        <w:jc w:val="both"/>
        <w:rPr>
          <w:rFonts w:asciiTheme="minorHAnsi" w:hAnsiTheme="minorHAnsi" w:cstheme="minorHAnsi"/>
          <w:color w:val="0F0F0F"/>
          <w:lang w:val="en-GB"/>
        </w:rPr>
      </w:pPr>
    </w:p>
    <w:p w14:paraId="4652A6F5" w14:textId="77777777" w:rsidR="00FE7D40" w:rsidRPr="00FE7D40" w:rsidRDefault="00FE7D40" w:rsidP="00FE7D40">
      <w:pPr>
        <w:pStyle w:val="Default"/>
        <w:jc w:val="both"/>
        <w:rPr>
          <w:rFonts w:asciiTheme="minorHAnsi" w:hAnsiTheme="minorHAnsi" w:cstheme="minorHAnsi"/>
          <w:color w:val="0F0F0F"/>
          <w:lang w:val="en-GB"/>
        </w:rPr>
      </w:pPr>
      <w:r w:rsidRPr="00FE7D40">
        <w:rPr>
          <w:rFonts w:asciiTheme="minorHAnsi" w:hAnsiTheme="minorHAnsi" w:cstheme="minorHAnsi"/>
          <w:color w:val="0F0F0F"/>
          <w:lang w:val="en-GB"/>
        </w:rPr>
        <w:t>Yes</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6FDAB47D" w14:textId="77777777" w:rsidR="00DE068E" w:rsidRPr="00CB7817" w:rsidRDefault="00DE068E" w:rsidP="00DE068E">
      <w:pPr>
        <w:pStyle w:val="Default"/>
        <w:jc w:val="both"/>
        <w:rPr>
          <w:rFonts w:asciiTheme="minorHAnsi" w:hAnsiTheme="minorHAnsi" w:cstheme="minorHAnsi"/>
          <w:i/>
          <w:color w:val="0F0F0F"/>
          <w:lang w:val="en-GB"/>
        </w:rPr>
      </w:pPr>
      <w:permStart w:id="712931667" w:edGrp="everyone"/>
      <w:r w:rsidRPr="00CB7817">
        <w:rPr>
          <w:rFonts w:asciiTheme="minorHAnsi" w:hAnsiTheme="minorHAnsi" w:cstheme="minorHAnsi"/>
          <w:i/>
          <w:color w:val="0F0F0F"/>
          <w:lang w:val="en-GB"/>
        </w:rPr>
        <w:t xml:space="preserve">Response </w:t>
      </w:r>
    </w:p>
    <w:p w14:paraId="344B0C6F" w14:textId="77777777" w:rsidR="00DE068E" w:rsidRPr="00CB7817" w:rsidRDefault="00DE068E" w:rsidP="00DE068E">
      <w:pPr>
        <w:pStyle w:val="Default"/>
        <w:jc w:val="both"/>
        <w:rPr>
          <w:rFonts w:asciiTheme="minorHAnsi" w:hAnsiTheme="minorHAnsi" w:cstheme="minorHAnsi"/>
          <w:color w:val="0F0F0F"/>
          <w:lang w:val="en-GB"/>
        </w:rPr>
      </w:pPr>
    </w:p>
    <w:p w14:paraId="3E28BCE4" w14:textId="77777777" w:rsidR="00DE068E" w:rsidRPr="00DE068E" w:rsidRDefault="00DE068E" w:rsidP="00DE068E">
      <w:pPr>
        <w:pStyle w:val="Default"/>
        <w:jc w:val="both"/>
        <w:rPr>
          <w:rFonts w:asciiTheme="minorHAnsi" w:hAnsiTheme="minorHAnsi" w:cstheme="minorHAnsi"/>
          <w:color w:val="0F0F0F"/>
          <w:lang w:val="en-GB"/>
        </w:rPr>
      </w:pPr>
      <w:r w:rsidRPr="00DE068E">
        <w:rPr>
          <w:rFonts w:asciiTheme="minorHAnsi" w:hAnsiTheme="minorHAnsi" w:cstheme="minorHAnsi"/>
          <w:color w:val="0F0F0F"/>
          <w:lang w:val="en-GB"/>
        </w:rPr>
        <w:t>Yes</w:t>
      </w:r>
    </w:p>
    <w:p w14:paraId="3BE34401" w14:textId="77777777" w:rsidR="00DE068E" w:rsidRDefault="00DE068E" w:rsidP="00DE068E">
      <w:pPr>
        <w:pStyle w:val="Default"/>
        <w:jc w:val="both"/>
        <w:rPr>
          <w:rFonts w:asciiTheme="minorHAnsi" w:hAnsiTheme="minorHAnsi" w:cstheme="minorHAnsi"/>
          <w:i/>
          <w:color w:val="0F0F0F"/>
          <w:lang w:val="en-GB"/>
        </w:rPr>
      </w:pPr>
    </w:p>
    <w:p w14:paraId="18B4B7A7" w14:textId="77777777" w:rsidR="00DE068E" w:rsidRDefault="00DE068E" w:rsidP="00DE068E">
      <w:pPr>
        <w:pStyle w:val="Default"/>
        <w:jc w:val="both"/>
        <w:rPr>
          <w:rFonts w:asciiTheme="minorHAnsi" w:hAnsiTheme="minorHAnsi" w:cstheme="minorHAnsi"/>
          <w:i/>
          <w:color w:val="0F0F0F"/>
          <w:lang w:val="en-GB"/>
        </w:rPr>
      </w:pPr>
      <w:r w:rsidRPr="00CB7817">
        <w:rPr>
          <w:rFonts w:asciiTheme="minorHAnsi" w:hAnsiTheme="minorHAnsi" w:cstheme="minorHAnsi"/>
          <w:i/>
          <w:color w:val="0F0F0F"/>
          <w:lang w:val="en-GB"/>
        </w:rPr>
        <w:t>Rationale</w:t>
      </w:r>
      <w:r>
        <w:rPr>
          <w:rFonts w:asciiTheme="minorHAnsi" w:hAnsiTheme="minorHAnsi" w:cstheme="minorHAnsi"/>
          <w:i/>
          <w:color w:val="0F0F0F"/>
          <w:lang w:val="en-GB"/>
        </w:rPr>
        <w:t xml:space="preserve"> and suggestion</w:t>
      </w:r>
    </w:p>
    <w:p w14:paraId="67F63A9D" w14:textId="77777777" w:rsidR="00DE068E" w:rsidRDefault="00DE068E" w:rsidP="00DE068E">
      <w:pPr>
        <w:pStyle w:val="Default"/>
        <w:jc w:val="both"/>
        <w:rPr>
          <w:rFonts w:asciiTheme="minorHAnsi" w:hAnsiTheme="minorHAnsi" w:cstheme="minorHAnsi"/>
          <w:b/>
          <w:color w:val="0F0F0F"/>
          <w:lang w:val="en-GB"/>
        </w:rPr>
      </w:pPr>
    </w:p>
    <w:p w14:paraId="6C3374AC" w14:textId="77777777" w:rsidR="00DE068E" w:rsidRPr="00DE068E" w:rsidRDefault="00DE068E" w:rsidP="00DE068E">
      <w:pPr>
        <w:pStyle w:val="Default"/>
        <w:jc w:val="both"/>
        <w:rPr>
          <w:rFonts w:asciiTheme="minorHAnsi" w:hAnsiTheme="minorHAnsi" w:cstheme="minorHAnsi"/>
          <w:b/>
          <w:color w:val="0F0F0F"/>
          <w:lang w:val="en-GB"/>
        </w:rPr>
      </w:pPr>
      <w:r w:rsidRPr="00DE068E">
        <w:rPr>
          <w:rFonts w:asciiTheme="minorHAnsi" w:hAnsiTheme="minorHAnsi" w:cstheme="minorHAnsi"/>
          <w:bCs/>
          <w:color w:val="0F0F0F"/>
          <w:lang w:val="en-GB"/>
        </w:rPr>
        <w:t xml:space="preserve">It would be advisable to include any information with regard to the type / nature of crypto-asset traded. </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76793F9C" w14:textId="77777777" w:rsidR="00DE068E" w:rsidRPr="00CB7817" w:rsidRDefault="00DE068E" w:rsidP="00DE068E">
      <w:pPr>
        <w:pStyle w:val="Default"/>
        <w:jc w:val="both"/>
        <w:rPr>
          <w:rFonts w:asciiTheme="minorHAnsi" w:hAnsiTheme="minorHAnsi" w:cstheme="minorHAnsi"/>
          <w:i/>
          <w:color w:val="0F0F0F"/>
          <w:lang w:val="en-GB"/>
        </w:rPr>
      </w:pPr>
      <w:permStart w:id="490822152" w:edGrp="everyone"/>
      <w:r w:rsidRPr="00CB7817">
        <w:rPr>
          <w:rFonts w:asciiTheme="minorHAnsi" w:hAnsiTheme="minorHAnsi" w:cstheme="minorHAnsi"/>
          <w:i/>
          <w:color w:val="0F0F0F"/>
          <w:lang w:val="en-GB"/>
        </w:rPr>
        <w:t xml:space="preserve">Response </w:t>
      </w:r>
    </w:p>
    <w:p w14:paraId="248A429A" w14:textId="77777777" w:rsidR="00DE068E" w:rsidRPr="00DE068E" w:rsidRDefault="00DE068E" w:rsidP="00DE068E">
      <w:pPr>
        <w:pStyle w:val="Default"/>
        <w:jc w:val="both"/>
        <w:rPr>
          <w:rFonts w:asciiTheme="minorHAnsi" w:hAnsiTheme="minorHAnsi" w:cstheme="minorHAnsi"/>
          <w:color w:val="0F0F0F"/>
          <w:lang w:val="en-GB"/>
        </w:rPr>
      </w:pPr>
    </w:p>
    <w:p w14:paraId="6729DC3E" w14:textId="77777777" w:rsidR="00DE068E" w:rsidRPr="00DE068E" w:rsidRDefault="00DE068E" w:rsidP="00DE068E">
      <w:pPr>
        <w:pStyle w:val="Default"/>
        <w:jc w:val="both"/>
        <w:rPr>
          <w:rFonts w:asciiTheme="minorHAnsi" w:hAnsiTheme="minorHAnsi" w:cstheme="minorHAnsi"/>
          <w:color w:val="0F0F0F"/>
          <w:lang w:val="en-GB"/>
        </w:rPr>
      </w:pPr>
      <w:r w:rsidRPr="00DE068E">
        <w:rPr>
          <w:rFonts w:asciiTheme="minorHAnsi" w:hAnsiTheme="minorHAnsi" w:cstheme="minorHAnsi"/>
          <w:color w:val="0F0F0F"/>
          <w:lang w:val="en-GB"/>
        </w:rPr>
        <w:t xml:space="preserve">No. As we mentioned, the information is very similar to the information that must be published in case of financial instruments according to the current regulation applicable to them. </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lastRenderedPageBreak/>
        <w:t>&lt;ESMA_QUESTION_MIC2_31&gt;</w:t>
      </w:r>
    </w:p>
    <w:p w14:paraId="4FFBDEA3" w14:textId="77777777" w:rsidR="00DE068E" w:rsidRPr="0001077A" w:rsidRDefault="00DE068E" w:rsidP="00DE068E">
      <w:pPr>
        <w:pStyle w:val="Default"/>
        <w:jc w:val="both"/>
        <w:rPr>
          <w:rFonts w:asciiTheme="minorHAnsi" w:hAnsiTheme="minorHAnsi" w:cstheme="minorHAnsi"/>
          <w:i/>
          <w:color w:val="0F0F0F"/>
          <w:lang w:val="en-GB"/>
        </w:rPr>
      </w:pPr>
      <w:permStart w:id="814574276" w:edGrp="everyone"/>
      <w:r w:rsidRPr="0001077A">
        <w:rPr>
          <w:rFonts w:asciiTheme="minorHAnsi" w:hAnsiTheme="minorHAnsi" w:cstheme="minorHAnsi"/>
          <w:i/>
          <w:color w:val="0F0F0F"/>
          <w:lang w:val="en-GB"/>
        </w:rPr>
        <w:t>Response</w:t>
      </w:r>
    </w:p>
    <w:p w14:paraId="0C990509" w14:textId="77777777" w:rsidR="00DE068E" w:rsidRPr="0001077A" w:rsidRDefault="00DE068E" w:rsidP="00DE068E">
      <w:pPr>
        <w:pStyle w:val="Default"/>
        <w:jc w:val="both"/>
        <w:rPr>
          <w:rFonts w:asciiTheme="minorHAnsi" w:hAnsiTheme="minorHAnsi" w:cstheme="minorHAnsi"/>
          <w:i/>
          <w:color w:val="0F0F0F"/>
          <w:lang w:val="en-GB"/>
        </w:rPr>
      </w:pPr>
    </w:p>
    <w:p w14:paraId="6562DA5F" w14:textId="77777777" w:rsidR="00DE068E" w:rsidRPr="00DE068E" w:rsidRDefault="00DE068E" w:rsidP="00DE068E">
      <w:pPr>
        <w:pStyle w:val="Default"/>
        <w:jc w:val="both"/>
        <w:rPr>
          <w:rFonts w:asciiTheme="minorHAnsi" w:hAnsiTheme="minorHAnsi" w:cstheme="minorHAnsi"/>
          <w:iCs/>
          <w:color w:val="0F0F0F"/>
          <w:lang w:val="en-GB"/>
        </w:rPr>
      </w:pPr>
      <w:r w:rsidRPr="00DE068E">
        <w:rPr>
          <w:rFonts w:asciiTheme="minorHAnsi" w:hAnsiTheme="minorHAnsi" w:cstheme="minorHAnsi"/>
          <w:iCs/>
          <w:color w:val="0F0F0F"/>
          <w:lang w:val="en-GB"/>
        </w:rPr>
        <w:t xml:space="preserve">By analogical application, we should consider the provisions of Article 14 of the Commission Delegated Regulation (EU) 2017/587 of 14 July 2016 supplementing Regulation (EU) No 600/2014 which regulates this topic of real time publication of transactions. </w:t>
      </w:r>
    </w:p>
    <w:p w14:paraId="1C605FE1" w14:textId="77777777" w:rsidR="00DE068E" w:rsidRPr="00DE068E" w:rsidRDefault="00DE068E" w:rsidP="00DE068E">
      <w:pPr>
        <w:pStyle w:val="Default"/>
        <w:jc w:val="both"/>
        <w:rPr>
          <w:rFonts w:asciiTheme="minorHAnsi" w:hAnsiTheme="minorHAnsi" w:cstheme="minorHAnsi"/>
          <w:iCs/>
          <w:color w:val="0F0F0F"/>
          <w:lang w:val="en-GB"/>
        </w:rPr>
      </w:pPr>
    </w:p>
    <w:p w14:paraId="46680072" w14:textId="77777777" w:rsidR="00DE068E" w:rsidRDefault="00DE068E" w:rsidP="00DE068E">
      <w:pPr>
        <w:pStyle w:val="Default"/>
        <w:jc w:val="both"/>
        <w:rPr>
          <w:rFonts w:asciiTheme="minorHAnsi" w:hAnsiTheme="minorHAnsi" w:cstheme="minorHAnsi"/>
          <w:iCs/>
          <w:color w:val="0F0F0F"/>
          <w:lang w:val="en-GB"/>
        </w:rPr>
      </w:pPr>
      <w:r w:rsidRPr="00DE068E">
        <w:rPr>
          <w:rFonts w:asciiTheme="minorHAnsi" w:hAnsiTheme="minorHAnsi" w:cstheme="minorHAnsi"/>
          <w:iCs/>
          <w:color w:val="0F0F0F"/>
          <w:lang w:val="en-GB"/>
        </w:rPr>
        <w:t>Taking into account that regulation, we should distinguish between: (a) where the transaction takes place during the daily trading hours of the trading platform, the maximum limit would be the first minute counting from the transaction took place; (b) where the transaction takes place outside the daily trading hours of the trading platform, before the opening of the next trading day for that trading platform.</w:t>
      </w:r>
    </w:p>
    <w:p w14:paraId="6786F662" w14:textId="77777777" w:rsidR="00FA3C6E" w:rsidRPr="00DE068E" w:rsidRDefault="00FA3C6E" w:rsidP="00DE068E">
      <w:pPr>
        <w:pStyle w:val="Default"/>
        <w:jc w:val="both"/>
        <w:rPr>
          <w:rFonts w:asciiTheme="minorHAnsi" w:hAnsiTheme="minorHAnsi" w:cstheme="minorHAnsi"/>
          <w:iCs/>
          <w:color w:val="0F0F0F"/>
          <w:lang w:val="en-GB"/>
        </w:rPr>
      </w:pPr>
    </w:p>
    <w:p w14:paraId="0FD674F1" w14:textId="4449B8A6" w:rsidR="00DE068E" w:rsidRPr="00F00152" w:rsidRDefault="00330221" w:rsidP="00DE068E">
      <w:pPr>
        <w:pStyle w:val="Default"/>
        <w:jc w:val="both"/>
        <w:rPr>
          <w:rFonts w:asciiTheme="minorHAnsi" w:hAnsiTheme="minorHAnsi" w:cstheme="minorHAnsi"/>
          <w:iCs/>
          <w:color w:val="000000" w:themeColor="text1"/>
          <w:lang w:val="en-US"/>
        </w:rPr>
      </w:pPr>
      <w:r w:rsidRPr="00DA4482">
        <w:rPr>
          <w:rFonts w:eastAsiaTheme="minorEastAsia"/>
          <w:lang w:val="en-US"/>
        </w:rPr>
        <w:t>Some nuances have been expressed in the sense that,</w:t>
      </w:r>
      <w:r w:rsidRPr="00330221">
        <w:rPr>
          <w:rFonts w:eastAsiaTheme="minorEastAsia"/>
          <w:sz w:val="26"/>
          <w:szCs w:val="26"/>
          <w:lang w:val="en-US"/>
        </w:rPr>
        <w:t xml:space="preserve"> </w:t>
      </w:r>
      <w:r w:rsidRPr="00330221">
        <w:rPr>
          <w:iCs/>
          <w:color w:val="000000" w:themeColor="text1"/>
          <w:lang w:val="en-US"/>
        </w:rPr>
        <w:t>f</w:t>
      </w:r>
      <w:r w:rsidR="00DE068E" w:rsidRPr="00330221">
        <w:rPr>
          <w:iCs/>
          <w:color w:val="000000" w:themeColor="text1"/>
          <w:lang w:val="en-US"/>
        </w:rPr>
        <w:t>rom</w:t>
      </w:r>
      <w:r w:rsidR="00DE068E" w:rsidRPr="00F00152">
        <w:rPr>
          <w:rFonts w:asciiTheme="minorHAnsi" w:hAnsiTheme="minorHAnsi" w:cstheme="minorHAnsi"/>
          <w:iCs/>
          <w:color w:val="000000" w:themeColor="text1"/>
          <w:lang w:val="en-US"/>
        </w:rPr>
        <w:t xml:space="preserve"> </w:t>
      </w:r>
      <w:proofErr w:type="spellStart"/>
      <w:r w:rsidR="00DE068E" w:rsidRPr="00F00152">
        <w:rPr>
          <w:rFonts w:asciiTheme="minorHAnsi" w:hAnsiTheme="minorHAnsi" w:cstheme="minorHAnsi"/>
          <w:iCs/>
          <w:color w:val="000000" w:themeColor="text1"/>
          <w:lang w:val="en-US"/>
        </w:rPr>
        <w:t>Alastria's</w:t>
      </w:r>
      <w:proofErr w:type="spellEnd"/>
      <w:r w:rsidR="00DE068E" w:rsidRPr="00F00152">
        <w:rPr>
          <w:rFonts w:asciiTheme="minorHAnsi" w:hAnsiTheme="minorHAnsi" w:cstheme="minorHAnsi"/>
          <w:iCs/>
          <w:color w:val="000000" w:themeColor="text1"/>
          <w:lang w:val="en-US"/>
        </w:rPr>
        <w:t xml:space="preserve"> perspective, the proposed regulation in the Markets in </w:t>
      </w:r>
      <w:proofErr w:type="spellStart"/>
      <w:r w:rsidR="00DE068E" w:rsidRPr="00F00152">
        <w:rPr>
          <w:rFonts w:asciiTheme="minorHAnsi" w:hAnsiTheme="minorHAnsi" w:cstheme="minorHAnsi"/>
          <w:iCs/>
          <w:color w:val="000000" w:themeColor="text1"/>
          <w:lang w:val="en-US"/>
        </w:rPr>
        <w:t>Cryptoassets</w:t>
      </w:r>
      <w:proofErr w:type="spellEnd"/>
      <w:r w:rsidR="00DE068E" w:rsidRPr="00F00152">
        <w:rPr>
          <w:rFonts w:asciiTheme="minorHAnsi" w:hAnsiTheme="minorHAnsi" w:cstheme="minorHAnsi"/>
          <w:iCs/>
          <w:color w:val="000000" w:themeColor="text1"/>
          <w:lang w:val="en-US"/>
        </w:rPr>
        <w:t xml:space="preserve"> Regulation (</w:t>
      </w:r>
      <w:proofErr w:type="spellStart"/>
      <w:r w:rsidR="00DE068E" w:rsidRPr="00F00152">
        <w:rPr>
          <w:rFonts w:asciiTheme="minorHAnsi" w:hAnsiTheme="minorHAnsi" w:cstheme="minorHAnsi"/>
          <w:iCs/>
          <w:color w:val="000000" w:themeColor="text1"/>
          <w:lang w:val="en-US"/>
        </w:rPr>
        <w:t>MiCA</w:t>
      </w:r>
      <w:proofErr w:type="spellEnd"/>
      <w:r w:rsidR="00DE068E" w:rsidRPr="00F00152">
        <w:rPr>
          <w:rFonts w:asciiTheme="minorHAnsi" w:hAnsiTheme="minorHAnsi" w:cstheme="minorHAnsi"/>
          <w:iCs/>
          <w:color w:val="000000" w:themeColor="text1"/>
          <w:lang w:val="en-US"/>
        </w:rPr>
        <w:t xml:space="preserve">) should not impose a shorter deadline than that established in the securities market regulations for the disclosure of post-trade information in the field of </w:t>
      </w:r>
      <w:proofErr w:type="spellStart"/>
      <w:r w:rsidR="00DE068E" w:rsidRPr="00F00152">
        <w:rPr>
          <w:rFonts w:asciiTheme="minorHAnsi" w:hAnsiTheme="minorHAnsi" w:cstheme="minorHAnsi"/>
          <w:iCs/>
          <w:color w:val="000000" w:themeColor="text1"/>
          <w:lang w:val="en-US"/>
        </w:rPr>
        <w:t>cryptoassets</w:t>
      </w:r>
      <w:proofErr w:type="spellEnd"/>
      <w:r w:rsidR="00DE068E" w:rsidRPr="00F00152">
        <w:rPr>
          <w:rFonts w:asciiTheme="minorHAnsi" w:hAnsiTheme="minorHAnsi" w:cstheme="minorHAnsi"/>
          <w:iCs/>
          <w:color w:val="000000" w:themeColor="text1"/>
          <w:lang w:val="en-US"/>
        </w:rPr>
        <w:t xml:space="preserve">. This argument is based on the absence of technical or proportionality reasons to support such a requirement. Furthermore, it is highlighted that, due to the nature of the underlying technology, it is essential to consider several factors inherent to the crossing of </w:t>
      </w:r>
      <w:proofErr w:type="spellStart"/>
      <w:r w:rsidR="000773A5" w:rsidRPr="00F00152">
        <w:rPr>
          <w:rFonts w:asciiTheme="minorHAnsi" w:hAnsiTheme="minorHAnsi" w:cstheme="minorHAnsi"/>
          <w:iCs/>
          <w:color w:val="000000" w:themeColor="text1"/>
          <w:lang w:val="en-US"/>
        </w:rPr>
        <w:t>cryptoasset</w:t>
      </w:r>
      <w:proofErr w:type="spellEnd"/>
      <w:r w:rsidR="000773A5" w:rsidRPr="00F00152">
        <w:rPr>
          <w:rFonts w:asciiTheme="minorHAnsi" w:hAnsiTheme="minorHAnsi" w:cstheme="minorHAnsi"/>
          <w:iCs/>
          <w:color w:val="000000" w:themeColor="text1"/>
          <w:lang w:val="en-US"/>
        </w:rPr>
        <w:t xml:space="preserve"> </w:t>
      </w:r>
      <w:r w:rsidR="00DE068E" w:rsidRPr="00F00152">
        <w:rPr>
          <w:rFonts w:asciiTheme="minorHAnsi" w:hAnsiTheme="minorHAnsi" w:cstheme="minorHAnsi"/>
          <w:iCs/>
          <w:color w:val="000000" w:themeColor="text1"/>
          <w:lang w:val="en-US"/>
        </w:rPr>
        <w:t>orders that must be taken into account to</w:t>
      </w:r>
      <w:r w:rsidR="000773A5" w:rsidRPr="00F00152">
        <w:rPr>
          <w:rFonts w:asciiTheme="minorHAnsi" w:hAnsiTheme="minorHAnsi" w:cstheme="minorHAnsi"/>
          <w:iCs/>
          <w:color w:val="000000" w:themeColor="text1"/>
          <w:lang w:val="en-US"/>
        </w:rPr>
        <w:t xml:space="preserve"> </w:t>
      </w:r>
      <w:r w:rsidR="00DE068E" w:rsidRPr="00F00152">
        <w:rPr>
          <w:rFonts w:asciiTheme="minorHAnsi" w:hAnsiTheme="minorHAnsi" w:cstheme="minorHAnsi"/>
          <w:iCs/>
          <w:color w:val="000000" w:themeColor="text1"/>
          <w:lang w:val="en-US"/>
        </w:rPr>
        <w:t xml:space="preserve">adequately ensure that a </w:t>
      </w:r>
      <w:r w:rsidR="000773A5" w:rsidRPr="00F00152">
        <w:rPr>
          <w:rFonts w:asciiTheme="minorHAnsi" w:hAnsiTheme="minorHAnsi" w:cstheme="minorHAnsi"/>
          <w:iCs/>
          <w:color w:val="000000" w:themeColor="text1"/>
          <w:lang w:val="en-US"/>
        </w:rPr>
        <w:t xml:space="preserve">DLT </w:t>
      </w:r>
      <w:r w:rsidR="00DE068E" w:rsidRPr="00F00152">
        <w:rPr>
          <w:rFonts w:asciiTheme="minorHAnsi" w:hAnsiTheme="minorHAnsi" w:cstheme="minorHAnsi"/>
          <w:iCs/>
          <w:color w:val="000000" w:themeColor="text1"/>
          <w:lang w:val="en-US"/>
        </w:rPr>
        <w:t>transaction is confirmed.</w:t>
      </w:r>
    </w:p>
    <w:p w14:paraId="70854F9B" w14:textId="77777777" w:rsidR="00DE068E" w:rsidRPr="00F00152" w:rsidRDefault="00DE068E" w:rsidP="00DE068E">
      <w:pPr>
        <w:pStyle w:val="Default"/>
        <w:jc w:val="both"/>
        <w:rPr>
          <w:rFonts w:asciiTheme="minorHAnsi" w:hAnsiTheme="minorHAnsi" w:cstheme="minorHAnsi"/>
          <w:iCs/>
          <w:color w:val="000000" w:themeColor="text1"/>
          <w:lang w:val="en-US"/>
        </w:rPr>
      </w:pPr>
    </w:p>
    <w:p w14:paraId="31510E0E" w14:textId="1A6CDDFE" w:rsidR="00DE068E" w:rsidRPr="00F00152" w:rsidRDefault="00DE068E" w:rsidP="00DE068E">
      <w:pPr>
        <w:pStyle w:val="Default"/>
        <w:jc w:val="both"/>
        <w:rPr>
          <w:rFonts w:asciiTheme="minorHAnsi" w:hAnsiTheme="minorHAnsi" w:cstheme="minorHAnsi"/>
          <w:iCs/>
          <w:color w:val="000000" w:themeColor="text1"/>
          <w:lang w:val="en-US"/>
        </w:rPr>
      </w:pPr>
      <w:r w:rsidRPr="00F00152">
        <w:rPr>
          <w:rFonts w:asciiTheme="minorHAnsi" w:hAnsiTheme="minorHAnsi" w:cstheme="minorHAnsi"/>
          <w:iCs/>
          <w:color w:val="000000" w:themeColor="text1"/>
          <w:lang w:val="en-US"/>
        </w:rPr>
        <w:t xml:space="preserve">In this regard, our position is to recognize that in </w:t>
      </w:r>
      <w:proofErr w:type="spellStart"/>
      <w:r w:rsidRPr="00F00152">
        <w:rPr>
          <w:rFonts w:asciiTheme="minorHAnsi" w:hAnsiTheme="minorHAnsi" w:cstheme="minorHAnsi"/>
          <w:iCs/>
          <w:color w:val="000000" w:themeColor="text1"/>
          <w:lang w:val="en-US"/>
        </w:rPr>
        <w:t>cryptoasset</w:t>
      </w:r>
      <w:proofErr w:type="spellEnd"/>
      <w:r w:rsidRPr="00F00152">
        <w:rPr>
          <w:rFonts w:asciiTheme="minorHAnsi" w:hAnsiTheme="minorHAnsi" w:cstheme="minorHAnsi"/>
          <w:iCs/>
          <w:color w:val="000000" w:themeColor="text1"/>
          <w:lang w:val="en-US"/>
        </w:rPr>
        <w:t xml:space="preserve"> transactions, there is a dynamic that goes beyond mere timeframes and requires a thorough understanding of the intrinsic elements of distributed</w:t>
      </w:r>
      <w:r w:rsidR="000773A5" w:rsidRPr="00F00152">
        <w:rPr>
          <w:rFonts w:asciiTheme="minorHAnsi" w:hAnsiTheme="minorHAnsi" w:cstheme="minorHAnsi"/>
          <w:iCs/>
          <w:color w:val="000000" w:themeColor="text1"/>
          <w:lang w:val="en-US"/>
        </w:rPr>
        <w:t>-</w:t>
      </w:r>
      <w:r w:rsidRPr="00F00152">
        <w:rPr>
          <w:rFonts w:asciiTheme="minorHAnsi" w:hAnsiTheme="minorHAnsi" w:cstheme="minorHAnsi"/>
          <w:iCs/>
          <w:color w:val="000000" w:themeColor="text1"/>
          <w:lang w:val="en-US"/>
        </w:rPr>
        <w:t>l</w:t>
      </w:r>
      <w:r w:rsidR="000773A5" w:rsidRPr="00F00152">
        <w:rPr>
          <w:rFonts w:asciiTheme="minorHAnsi" w:hAnsiTheme="minorHAnsi" w:cstheme="minorHAnsi"/>
          <w:iCs/>
          <w:color w:val="000000" w:themeColor="text1"/>
          <w:lang w:val="en-US"/>
        </w:rPr>
        <w:t>edger</w:t>
      </w:r>
      <w:r w:rsidRPr="00F00152">
        <w:rPr>
          <w:rFonts w:asciiTheme="minorHAnsi" w:hAnsiTheme="minorHAnsi" w:cstheme="minorHAnsi"/>
          <w:iCs/>
          <w:color w:val="000000" w:themeColor="text1"/>
          <w:lang w:val="en-US"/>
        </w:rPr>
        <w:t xml:space="preserve"> technology. </w:t>
      </w:r>
      <w:r w:rsidR="000773A5" w:rsidRPr="00F00152">
        <w:rPr>
          <w:rFonts w:asciiTheme="minorHAnsi" w:hAnsiTheme="minorHAnsi" w:cstheme="minorHAnsi"/>
          <w:iCs/>
          <w:color w:val="000000" w:themeColor="text1"/>
          <w:lang w:val="en-US"/>
        </w:rPr>
        <w:t xml:space="preserve">The proper </w:t>
      </w:r>
      <w:r w:rsidR="00F00152">
        <w:rPr>
          <w:rFonts w:asciiTheme="minorHAnsi" w:hAnsiTheme="minorHAnsi" w:cstheme="minorHAnsi"/>
          <w:iCs/>
          <w:color w:val="000000" w:themeColor="text1"/>
          <w:lang w:val="en-US"/>
        </w:rPr>
        <w:t>c</w:t>
      </w:r>
      <w:r w:rsidRPr="00F00152">
        <w:rPr>
          <w:rFonts w:asciiTheme="minorHAnsi" w:hAnsiTheme="minorHAnsi" w:cstheme="minorHAnsi"/>
          <w:iCs/>
          <w:color w:val="000000" w:themeColor="text1"/>
          <w:lang w:val="en-US"/>
        </w:rPr>
        <w:t>onsideration of these additional factors is essential to ensure the validity and efficiency of transactions in this environment, and suggests that imposing shorter timeframes without sound justification may not be proportionate.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5939A7E0" w14:textId="77777777" w:rsidR="0016686F" w:rsidRPr="0001077A" w:rsidRDefault="0016686F" w:rsidP="0016686F">
      <w:pPr>
        <w:pStyle w:val="Default"/>
        <w:jc w:val="both"/>
        <w:rPr>
          <w:rFonts w:asciiTheme="minorHAnsi" w:hAnsiTheme="minorHAnsi" w:cstheme="minorHAnsi"/>
          <w:i/>
          <w:color w:val="0F0F0F"/>
          <w:lang w:val="en-GB"/>
        </w:rPr>
      </w:pPr>
      <w:permStart w:id="603934812" w:edGrp="everyone"/>
      <w:r w:rsidRPr="0001077A">
        <w:rPr>
          <w:rFonts w:asciiTheme="minorHAnsi" w:hAnsiTheme="minorHAnsi" w:cstheme="minorHAnsi"/>
          <w:i/>
          <w:color w:val="0F0F0F"/>
          <w:lang w:val="en-GB"/>
        </w:rPr>
        <w:t>Response</w:t>
      </w:r>
    </w:p>
    <w:p w14:paraId="13EA244E" w14:textId="77777777" w:rsidR="0016686F" w:rsidRDefault="0016686F" w:rsidP="0016686F">
      <w:pPr>
        <w:pStyle w:val="Default"/>
        <w:jc w:val="both"/>
        <w:rPr>
          <w:rFonts w:asciiTheme="minorHAnsi" w:hAnsiTheme="minorHAnsi" w:cstheme="minorHAnsi"/>
          <w:b/>
          <w:color w:val="0F0F0F"/>
          <w:lang w:val="en-GB"/>
        </w:rPr>
      </w:pPr>
    </w:p>
    <w:p w14:paraId="187F7557" w14:textId="77777777" w:rsidR="0016686F" w:rsidRPr="0016686F" w:rsidRDefault="0016686F" w:rsidP="0016686F">
      <w:pPr>
        <w:pStyle w:val="Default"/>
        <w:jc w:val="both"/>
        <w:rPr>
          <w:rFonts w:asciiTheme="minorHAnsi" w:hAnsiTheme="minorHAnsi" w:cstheme="minorHAnsi"/>
          <w:iCs/>
          <w:color w:val="0F0F0F"/>
          <w:lang w:val="en-GB"/>
        </w:rPr>
      </w:pPr>
      <w:r w:rsidRPr="0016686F">
        <w:rPr>
          <w:rFonts w:asciiTheme="minorHAnsi" w:hAnsiTheme="minorHAnsi" w:cstheme="minorHAnsi"/>
          <w:iCs/>
          <w:color w:val="0F0F0F"/>
          <w:lang w:val="en-GB"/>
        </w:rPr>
        <w:t xml:space="preserve">Yes. It is enough with the information specified and there is no need to specify further elements. The information is similar to that requested for the trading venues of trading of financial instruments. </w:t>
      </w:r>
    </w:p>
    <w:p w14:paraId="79DEBBF8" w14:textId="77777777" w:rsidR="0016686F" w:rsidRPr="00A33CA7" w:rsidRDefault="0016686F" w:rsidP="0016686F">
      <w:pPr>
        <w:pStyle w:val="Default"/>
        <w:jc w:val="both"/>
        <w:rPr>
          <w:rFonts w:asciiTheme="minorHAnsi" w:hAnsiTheme="minorHAnsi" w:cstheme="minorHAnsi"/>
          <w:i/>
          <w:color w:val="FF0000"/>
          <w:lang w:val="en-US"/>
        </w:rPr>
      </w:pPr>
    </w:p>
    <w:p w14:paraId="70DE0C55" w14:textId="68A9E76A" w:rsidR="0016686F" w:rsidRPr="00A936A3" w:rsidRDefault="00A936A3" w:rsidP="0016686F">
      <w:pPr>
        <w:pStyle w:val="Default"/>
        <w:jc w:val="both"/>
        <w:rPr>
          <w:color w:val="000000" w:themeColor="text1"/>
          <w:lang w:val="en-US"/>
        </w:rPr>
      </w:pPr>
      <w:r w:rsidRPr="00A936A3">
        <w:rPr>
          <w:rFonts w:eastAsiaTheme="minorEastAsia"/>
          <w:color w:val="000000" w:themeColor="text1"/>
          <w:lang w:val="en-US"/>
        </w:rPr>
        <w:t>Some nuances have been expressed in the sense that</w:t>
      </w:r>
      <w:r w:rsidR="0016686F" w:rsidRPr="00A936A3">
        <w:rPr>
          <w:color w:val="000000" w:themeColor="text1"/>
          <w:lang w:val="en-US"/>
        </w:rPr>
        <w:t xml:space="preserve">, as in the previous case, </w:t>
      </w:r>
      <w:proofErr w:type="spellStart"/>
      <w:r w:rsidR="0016686F" w:rsidRPr="00A936A3">
        <w:rPr>
          <w:color w:val="000000" w:themeColor="text1"/>
          <w:lang w:val="en-US"/>
        </w:rPr>
        <w:t>MiCA</w:t>
      </w:r>
      <w:proofErr w:type="spellEnd"/>
      <w:r w:rsidR="0016686F" w:rsidRPr="00A936A3">
        <w:rPr>
          <w:color w:val="000000" w:themeColor="text1"/>
          <w:lang w:val="en-US"/>
        </w:rPr>
        <w:t xml:space="preserve"> should not require issues that are not required by the securities market regulations</w:t>
      </w:r>
      <w:r w:rsidR="000773A5" w:rsidRPr="00A936A3">
        <w:rPr>
          <w:color w:val="000000" w:themeColor="text1"/>
          <w:lang w:val="en-US"/>
        </w:rPr>
        <w:t>;</w:t>
      </w:r>
      <w:r w:rsidR="0016686F" w:rsidRPr="00A936A3">
        <w:rPr>
          <w:color w:val="000000" w:themeColor="text1"/>
          <w:lang w:val="en-US"/>
        </w:rPr>
        <w:t xml:space="preserve"> for example, trading platforms should not be obliged to publish all the trading venues they </w:t>
      </w:r>
      <w:r w:rsidR="0016686F" w:rsidRPr="00A936A3">
        <w:rPr>
          <w:color w:val="000000" w:themeColor="text1"/>
          <w:lang w:val="en-US"/>
        </w:rPr>
        <w:lastRenderedPageBreak/>
        <w:t>use</w:t>
      </w:r>
      <w:r w:rsidR="000773A5" w:rsidRPr="00A936A3">
        <w:rPr>
          <w:color w:val="000000" w:themeColor="text1"/>
          <w:lang w:val="en-US"/>
        </w:rPr>
        <w:t>. Instead,</w:t>
      </w:r>
      <w:r w:rsidR="0016686F" w:rsidRPr="00A936A3">
        <w:rPr>
          <w:color w:val="000000" w:themeColor="text1"/>
          <w:lang w:val="en-US"/>
        </w:rPr>
        <w:t xml:space="preserve"> they should at most be obliged to publish the top 5 as is the case in </w:t>
      </w:r>
      <w:r w:rsidR="000773A5" w:rsidRPr="00A936A3">
        <w:rPr>
          <w:color w:val="000000" w:themeColor="text1"/>
          <w:lang w:val="en-US"/>
        </w:rPr>
        <w:t xml:space="preserve">accordance with </w:t>
      </w:r>
      <w:r w:rsidR="0016686F" w:rsidRPr="00A936A3">
        <w:rPr>
          <w:color w:val="000000" w:themeColor="text1"/>
          <w:lang w:val="en-US"/>
        </w:rPr>
        <w:t>MiFID II.</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17EC010D" w14:textId="77777777" w:rsidR="00381CCF" w:rsidRPr="0001077A" w:rsidRDefault="00381CCF" w:rsidP="00381CCF">
      <w:pPr>
        <w:pStyle w:val="Default"/>
        <w:jc w:val="both"/>
        <w:rPr>
          <w:rFonts w:asciiTheme="minorHAnsi" w:hAnsiTheme="minorHAnsi" w:cstheme="minorHAnsi"/>
          <w:i/>
          <w:color w:val="0F0F0F"/>
          <w:lang w:val="en-GB"/>
        </w:rPr>
      </w:pPr>
      <w:permStart w:id="585508016" w:edGrp="everyone"/>
      <w:r w:rsidRPr="0001077A">
        <w:rPr>
          <w:rFonts w:asciiTheme="minorHAnsi" w:hAnsiTheme="minorHAnsi" w:cstheme="minorHAnsi"/>
          <w:i/>
          <w:color w:val="0F0F0F"/>
          <w:lang w:val="en-GB"/>
        </w:rPr>
        <w:t>Response</w:t>
      </w:r>
    </w:p>
    <w:p w14:paraId="53F1182D" w14:textId="77777777" w:rsidR="00381CCF" w:rsidRDefault="00381CCF" w:rsidP="00381CCF">
      <w:pPr>
        <w:pStyle w:val="Default"/>
        <w:jc w:val="both"/>
        <w:rPr>
          <w:rFonts w:asciiTheme="minorHAnsi" w:hAnsiTheme="minorHAnsi" w:cstheme="minorHAnsi"/>
          <w:b/>
          <w:color w:val="0F0F0F"/>
          <w:lang w:val="en-GB"/>
        </w:rPr>
      </w:pPr>
    </w:p>
    <w:p w14:paraId="633968FC" w14:textId="77777777" w:rsidR="00381CCF" w:rsidRPr="00CC363F" w:rsidRDefault="00381CCF" w:rsidP="00381CCF">
      <w:pPr>
        <w:pStyle w:val="Default"/>
        <w:jc w:val="both"/>
        <w:rPr>
          <w:iCs/>
          <w:color w:val="0F0F0F"/>
          <w:lang w:val="en-GB"/>
        </w:rPr>
      </w:pPr>
      <w:r w:rsidRPr="00CC363F">
        <w:rPr>
          <w:iCs/>
          <w:color w:val="0F0F0F"/>
          <w:lang w:val="en-GB"/>
        </w:rPr>
        <w:t xml:space="preserve">No. There must be space for flexibility and the conditions applicable to co-location and access arrangements should be included in the crypto-trading platform operating rules. Maybe, it should be included a mention that the crypto-trading platform operating rules must include a provision on those topics if those would be applicable. </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3D09531A" w14:textId="5D2DEF6B" w:rsidR="00381CCF" w:rsidRPr="003E0E59" w:rsidRDefault="00381CCF" w:rsidP="00381CCF">
      <w:pPr>
        <w:pStyle w:val="Default"/>
        <w:jc w:val="both"/>
        <w:rPr>
          <w:rFonts w:asciiTheme="minorHAnsi" w:hAnsiTheme="minorHAnsi" w:cstheme="minorHAnsi"/>
          <w:bCs/>
          <w:color w:val="000000" w:themeColor="text1"/>
          <w:lang w:val="en-US"/>
        </w:rPr>
      </w:pPr>
      <w:permStart w:id="1164135930" w:edGrp="everyone"/>
      <w:r w:rsidRPr="003E0E59">
        <w:rPr>
          <w:rFonts w:asciiTheme="minorHAnsi" w:hAnsiTheme="minorHAnsi" w:cstheme="minorHAnsi"/>
          <w:bCs/>
          <w:color w:val="000000" w:themeColor="text1"/>
          <w:lang w:val="en-US"/>
        </w:rPr>
        <w:t xml:space="preserve">Alastria wishes to highlight the importance of the </w:t>
      </w:r>
      <w:r w:rsidR="000773A5" w:rsidRPr="003E0E59">
        <w:rPr>
          <w:rFonts w:asciiTheme="minorHAnsi" w:hAnsiTheme="minorHAnsi" w:cstheme="minorHAnsi"/>
          <w:bCs/>
          <w:color w:val="000000" w:themeColor="text1"/>
          <w:lang w:val="en-US"/>
        </w:rPr>
        <w:t>inherent</w:t>
      </w:r>
      <w:r w:rsidRPr="003E0E59">
        <w:rPr>
          <w:rFonts w:asciiTheme="minorHAnsi" w:hAnsiTheme="minorHAnsi" w:cstheme="minorHAnsi"/>
          <w:bCs/>
          <w:color w:val="000000" w:themeColor="text1"/>
          <w:lang w:val="en-US"/>
        </w:rPr>
        <w:t xml:space="preserve"> capacity of DLT to </w:t>
      </w:r>
      <w:r w:rsidR="000773A5" w:rsidRPr="003E0E59">
        <w:rPr>
          <w:rFonts w:asciiTheme="minorHAnsi" w:hAnsiTheme="minorHAnsi" w:cstheme="minorHAnsi"/>
          <w:bCs/>
          <w:color w:val="000000" w:themeColor="text1"/>
          <w:lang w:val="en-US"/>
        </w:rPr>
        <w:t>render</w:t>
      </w:r>
      <w:r w:rsidRPr="003E0E59">
        <w:rPr>
          <w:rFonts w:asciiTheme="minorHAnsi" w:hAnsiTheme="minorHAnsi" w:cstheme="minorHAnsi"/>
          <w:bCs/>
          <w:color w:val="000000" w:themeColor="text1"/>
          <w:lang w:val="en-US"/>
        </w:rPr>
        <w:t xml:space="preserve"> information transparent, so it </w:t>
      </w:r>
      <w:r w:rsidR="000773A5" w:rsidRPr="003E0E59">
        <w:rPr>
          <w:rFonts w:asciiTheme="minorHAnsi" w:hAnsiTheme="minorHAnsi" w:cstheme="minorHAnsi"/>
          <w:bCs/>
          <w:color w:val="000000" w:themeColor="text1"/>
          <w:lang w:val="en-US"/>
        </w:rPr>
        <w:t>must be</w:t>
      </w:r>
      <w:r w:rsidRPr="003E0E59">
        <w:rPr>
          <w:rFonts w:asciiTheme="minorHAnsi" w:hAnsiTheme="minorHAnsi" w:cstheme="minorHAnsi"/>
          <w:bCs/>
          <w:color w:val="000000" w:themeColor="text1"/>
          <w:lang w:val="en-US"/>
        </w:rPr>
        <w:t xml:space="preserve"> considered that the technology itself allows access to very efficient data </w:t>
      </w:r>
      <w:r w:rsidR="000773A5" w:rsidRPr="003E0E59">
        <w:rPr>
          <w:rFonts w:asciiTheme="minorHAnsi" w:hAnsiTheme="minorHAnsi" w:cstheme="minorHAnsi"/>
          <w:bCs/>
          <w:color w:val="000000" w:themeColor="text1"/>
          <w:lang w:val="en-US"/>
        </w:rPr>
        <w:t xml:space="preserve">keeping and exchange, </w:t>
      </w:r>
      <w:r w:rsidRPr="003E0E59">
        <w:rPr>
          <w:rFonts w:asciiTheme="minorHAnsi" w:hAnsiTheme="minorHAnsi" w:cstheme="minorHAnsi"/>
          <w:bCs/>
          <w:color w:val="000000" w:themeColor="text1"/>
          <w:lang w:val="en-US"/>
        </w:rPr>
        <w:t xml:space="preserve">and it would not make sense at this regulatory stage to require common APIs, since it may duplicate </w:t>
      </w:r>
      <w:r w:rsidR="000773A5" w:rsidRPr="003E0E59">
        <w:rPr>
          <w:rFonts w:asciiTheme="minorHAnsi" w:hAnsiTheme="minorHAnsi" w:cstheme="minorHAnsi"/>
          <w:bCs/>
          <w:color w:val="000000" w:themeColor="text1"/>
          <w:lang w:val="en-US"/>
        </w:rPr>
        <w:t xml:space="preserve">efforts </w:t>
      </w:r>
      <w:r w:rsidRPr="003E0E59">
        <w:rPr>
          <w:rFonts w:asciiTheme="minorHAnsi" w:hAnsiTheme="minorHAnsi" w:cstheme="minorHAnsi"/>
          <w:bCs/>
          <w:color w:val="000000" w:themeColor="text1"/>
          <w:lang w:val="en-US"/>
        </w:rPr>
        <w:t>unnecessar</w:t>
      </w:r>
      <w:r w:rsidR="000773A5" w:rsidRPr="003E0E59">
        <w:rPr>
          <w:rFonts w:asciiTheme="minorHAnsi" w:hAnsiTheme="minorHAnsi" w:cstheme="minorHAnsi"/>
          <w:bCs/>
          <w:color w:val="000000" w:themeColor="text1"/>
          <w:lang w:val="en-US"/>
        </w:rPr>
        <w:t>ily</w:t>
      </w:r>
      <w:r w:rsidRPr="003E0E59">
        <w:rPr>
          <w:rFonts w:asciiTheme="minorHAnsi" w:hAnsiTheme="minorHAnsi" w:cstheme="minorHAnsi"/>
          <w:bCs/>
          <w:color w:val="000000" w:themeColor="text1"/>
          <w:lang w:val="en-US"/>
        </w:rPr>
        <w:t>.</w:t>
      </w:r>
    </w:p>
    <w:p w14:paraId="29C5ED1B" w14:textId="77777777" w:rsidR="00381CCF" w:rsidRPr="003E0E59" w:rsidRDefault="00381CCF" w:rsidP="00381CCF">
      <w:pPr>
        <w:pStyle w:val="Default"/>
        <w:jc w:val="both"/>
        <w:rPr>
          <w:rFonts w:asciiTheme="minorHAnsi" w:hAnsiTheme="minorHAnsi" w:cstheme="minorHAnsi"/>
          <w:bCs/>
          <w:color w:val="000000" w:themeColor="text1"/>
          <w:lang w:val="en-US"/>
        </w:rPr>
      </w:pPr>
    </w:p>
    <w:p w14:paraId="2925E46D" w14:textId="0DEDF6E9" w:rsidR="00381CCF" w:rsidRPr="003E0E59" w:rsidRDefault="00381CCF" w:rsidP="00381CCF">
      <w:pPr>
        <w:pStyle w:val="Default"/>
        <w:jc w:val="both"/>
        <w:rPr>
          <w:rFonts w:asciiTheme="minorHAnsi" w:hAnsiTheme="minorHAnsi" w:cstheme="minorHAnsi"/>
          <w:bCs/>
          <w:color w:val="000000" w:themeColor="text1"/>
          <w:lang w:val="en-US"/>
        </w:rPr>
      </w:pPr>
      <w:r w:rsidRPr="003E0E59">
        <w:rPr>
          <w:rFonts w:asciiTheme="minorHAnsi" w:hAnsiTheme="minorHAnsi" w:cstheme="minorHAnsi"/>
          <w:bCs/>
          <w:color w:val="000000" w:themeColor="text1"/>
          <w:lang w:val="en-US"/>
        </w:rPr>
        <w:lastRenderedPageBreak/>
        <w:t xml:space="preserve">The use of DLT or Blockchain technology complies with transparency standards that facilitate supervision for several </w:t>
      </w:r>
      <w:r w:rsidR="000773A5" w:rsidRPr="003E0E59">
        <w:rPr>
          <w:rFonts w:asciiTheme="minorHAnsi" w:hAnsiTheme="minorHAnsi" w:cstheme="minorHAnsi"/>
          <w:bCs/>
          <w:color w:val="000000" w:themeColor="text1"/>
          <w:lang w:val="en-US"/>
        </w:rPr>
        <w:t>key</w:t>
      </w:r>
      <w:r w:rsidRPr="003E0E59">
        <w:rPr>
          <w:rFonts w:asciiTheme="minorHAnsi" w:hAnsiTheme="minorHAnsi" w:cstheme="minorHAnsi"/>
          <w:bCs/>
          <w:color w:val="000000" w:themeColor="text1"/>
          <w:lang w:val="en-US"/>
        </w:rPr>
        <w:t xml:space="preserve"> reasons that make it reasonable not to require additional obligations in the area of records and reporting, such as:</w:t>
      </w:r>
    </w:p>
    <w:p w14:paraId="2DB8E53E" w14:textId="77777777" w:rsidR="00381CCF" w:rsidRPr="003E0E59" w:rsidRDefault="00381CCF" w:rsidP="00381CCF">
      <w:pPr>
        <w:pStyle w:val="Default"/>
        <w:jc w:val="both"/>
        <w:rPr>
          <w:rFonts w:asciiTheme="minorHAnsi" w:hAnsiTheme="minorHAnsi" w:cstheme="minorHAnsi"/>
          <w:bCs/>
          <w:color w:val="000000" w:themeColor="text1"/>
          <w:lang w:val="en-US"/>
        </w:rPr>
      </w:pPr>
    </w:p>
    <w:p w14:paraId="293F457B" w14:textId="0C1938B0" w:rsidR="00381CCF" w:rsidRPr="003E0E59" w:rsidRDefault="00381CCF" w:rsidP="00381CCF">
      <w:pPr>
        <w:pStyle w:val="Default"/>
        <w:numPr>
          <w:ilvl w:val="0"/>
          <w:numId w:val="34"/>
        </w:numPr>
        <w:jc w:val="both"/>
        <w:rPr>
          <w:rFonts w:asciiTheme="minorHAnsi" w:hAnsiTheme="minorHAnsi" w:cstheme="minorHAnsi"/>
          <w:bCs/>
          <w:color w:val="000000" w:themeColor="text1"/>
          <w:lang w:val="en-US"/>
        </w:rPr>
      </w:pPr>
      <w:r w:rsidRPr="003E0E59">
        <w:rPr>
          <w:rFonts w:asciiTheme="minorHAnsi" w:hAnsiTheme="minorHAnsi" w:cstheme="minorHAnsi"/>
          <w:bCs/>
          <w:color w:val="000000" w:themeColor="text1"/>
          <w:lang w:val="en-US"/>
        </w:rPr>
        <w:t xml:space="preserve">Transparency </w:t>
      </w:r>
      <w:r w:rsidR="000773A5" w:rsidRPr="003E0E59">
        <w:rPr>
          <w:rFonts w:asciiTheme="minorHAnsi" w:hAnsiTheme="minorHAnsi" w:cstheme="minorHAnsi"/>
          <w:bCs/>
          <w:color w:val="000000" w:themeColor="text1"/>
          <w:lang w:val="en-US"/>
        </w:rPr>
        <w:t xml:space="preserve">of the transactions </w:t>
      </w:r>
      <w:r w:rsidRPr="003E0E59">
        <w:rPr>
          <w:rFonts w:asciiTheme="minorHAnsi" w:hAnsiTheme="minorHAnsi" w:cstheme="minorHAnsi"/>
          <w:bCs/>
          <w:color w:val="000000" w:themeColor="text1"/>
          <w:lang w:val="en-US"/>
        </w:rPr>
        <w:t xml:space="preserve">and </w:t>
      </w:r>
      <w:r w:rsidR="000773A5" w:rsidRPr="003E0E59">
        <w:rPr>
          <w:rFonts w:asciiTheme="minorHAnsi" w:hAnsiTheme="minorHAnsi" w:cstheme="minorHAnsi"/>
          <w:bCs/>
          <w:color w:val="000000" w:themeColor="text1"/>
          <w:lang w:val="en-US"/>
        </w:rPr>
        <w:t xml:space="preserve">node </w:t>
      </w:r>
      <w:r w:rsidRPr="003E0E59">
        <w:rPr>
          <w:rFonts w:asciiTheme="minorHAnsi" w:hAnsiTheme="minorHAnsi" w:cstheme="minorHAnsi"/>
          <w:bCs/>
          <w:color w:val="000000" w:themeColor="text1"/>
          <w:lang w:val="en-US"/>
        </w:rPr>
        <w:t>access to records</w:t>
      </w:r>
    </w:p>
    <w:p w14:paraId="7B593DDF" w14:textId="387ADBE6" w:rsidR="00381CCF" w:rsidRPr="003E0E59" w:rsidRDefault="00381CCF" w:rsidP="00381CCF">
      <w:pPr>
        <w:pStyle w:val="Default"/>
        <w:numPr>
          <w:ilvl w:val="0"/>
          <w:numId w:val="34"/>
        </w:numPr>
        <w:jc w:val="both"/>
        <w:rPr>
          <w:rFonts w:asciiTheme="minorHAnsi" w:hAnsiTheme="minorHAnsi" w:cstheme="minorHAnsi"/>
          <w:bCs/>
          <w:color w:val="000000" w:themeColor="text1"/>
          <w:lang w:val="en-US"/>
        </w:rPr>
      </w:pPr>
      <w:r w:rsidRPr="003E0E59">
        <w:rPr>
          <w:rFonts w:asciiTheme="minorHAnsi" w:hAnsiTheme="minorHAnsi" w:cstheme="minorHAnsi"/>
          <w:bCs/>
          <w:color w:val="000000" w:themeColor="text1"/>
          <w:lang w:val="en-US"/>
        </w:rPr>
        <w:t>Immutability of the registered information</w:t>
      </w:r>
      <w:r w:rsidR="000773A5" w:rsidRPr="003E0E59">
        <w:rPr>
          <w:rFonts w:asciiTheme="minorHAnsi" w:hAnsiTheme="minorHAnsi" w:cstheme="minorHAnsi"/>
          <w:bCs/>
          <w:color w:val="000000" w:themeColor="text1"/>
          <w:lang w:val="en-US"/>
        </w:rPr>
        <w:t xml:space="preserve"> (without prejudice to Q-bit tech future developments).</w:t>
      </w:r>
    </w:p>
    <w:p w14:paraId="7F36522D" w14:textId="77777777" w:rsidR="000773A5" w:rsidRPr="003E0E59" w:rsidRDefault="00381CCF" w:rsidP="00381CCF">
      <w:pPr>
        <w:pStyle w:val="Default"/>
        <w:numPr>
          <w:ilvl w:val="0"/>
          <w:numId w:val="34"/>
        </w:numPr>
        <w:jc w:val="both"/>
        <w:rPr>
          <w:rFonts w:asciiTheme="minorHAnsi" w:hAnsiTheme="minorHAnsi" w:cstheme="minorHAnsi"/>
          <w:bCs/>
          <w:color w:val="000000" w:themeColor="text1"/>
          <w:lang w:val="en-US"/>
        </w:rPr>
      </w:pPr>
      <w:r w:rsidRPr="003E0E59">
        <w:rPr>
          <w:rFonts w:asciiTheme="minorHAnsi" w:hAnsiTheme="minorHAnsi" w:cstheme="minorHAnsi"/>
          <w:bCs/>
          <w:color w:val="000000" w:themeColor="text1"/>
          <w:lang w:val="en-US"/>
        </w:rPr>
        <w:t xml:space="preserve">Publicity for the </w:t>
      </w:r>
      <w:r w:rsidR="000773A5" w:rsidRPr="003E0E59">
        <w:rPr>
          <w:rFonts w:asciiTheme="minorHAnsi" w:hAnsiTheme="minorHAnsi" w:cstheme="minorHAnsi"/>
          <w:bCs/>
          <w:color w:val="000000" w:themeColor="text1"/>
          <w:lang w:val="en-US"/>
        </w:rPr>
        <w:t xml:space="preserve">public </w:t>
      </w:r>
      <w:r w:rsidRPr="003E0E59">
        <w:rPr>
          <w:rFonts w:asciiTheme="minorHAnsi" w:hAnsiTheme="minorHAnsi" w:cstheme="minorHAnsi"/>
          <w:bCs/>
          <w:color w:val="000000" w:themeColor="text1"/>
          <w:lang w:val="en-US"/>
        </w:rPr>
        <w:t xml:space="preserve">knowledge of </w:t>
      </w:r>
      <w:r w:rsidR="000773A5" w:rsidRPr="003E0E59">
        <w:rPr>
          <w:rFonts w:asciiTheme="minorHAnsi" w:hAnsiTheme="minorHAnsi" w:cstheme="minorHAnsi"/>
          <w:bCs/>
          <w:color w:val="000000" w:themeColor="text1"/>
          <w:lang w:val="en-US"/>
        </w:rPr>
        <w:t xml:space="preserve">the </w:t>
      </w:r>
      <w:r w:rsidRPr="003E0E59">
        <w:rPr>
          <w:rFonts w:asciiTheme="minorHAnsi" w:hAnsiTheme="minorHAnsi" w:cstheme="minorHAnsi"/>
          <w:bCs/>
          <w:color w:val="000000" w:themeColor="text1"/>
          <w:lang w:val="en-US"/>
        </w:rPr>
        <w:t>distributed consensus mechanisms.</w:t>
      </w:r>
    </w:p>
    <w:p w14:paraId="1526341F" w14:textId="3F656D17" w:rsidR="00381CCF" w:rsidRPr="003E0E59" w:rsidRDefault="00381CCF" w:rsidP="00381CCF">
      <w:pPr>
        <w:pStyle w:val="Default"/>
        <w:numPr>
          <w:ilvl w:val="0"/>
          <w:numId w:val="34"/>
        </w:numPr>
        <w:jc w:val="both"/>
        <w:rPr>
          <w:rFonts w:asciiTheme="minorHAnsi" w:hAnsiTheme="minorHAnsi" w:cstheme="minorHAnsi"/>
          <w:bCs/>
          <w:color w:val="000000" w:themeColor="text1"/>
          <w:lang w:val="en-US"/>
        </w:rPr>
      </w:pPr>
      <w:r w:rsidRPr="003E0E59">
        <w:rPr>
          <w:rFonts w:asciiTheme="minorHAnsi" w:hAnsiTheme="minorHAnsi" w:cstheme="minorHAnsi"/>
          <w:bCs/>
          <w:color w:val="000000" w:themeColor="text1"/>
          <w:lang w:val="en-US"/>
        </w:rPr>
        <w:t xml:space="preserve">Transparent and equal access to information, </w:t>
      </w:r>
      <w:r w:rsidR="000773A5" w:rsidRPr="003E0E59">
        <w:rPr>
          <w:rFonts w:asciiTheme="minorHAnsi" w:hAnsiTheme="minorHAnsi" w:cstheme="minorHAnsi"/>
          <w:bCs/>
          <w:color w:val="000000" w:themeColor="text1"/>
          <w:lang w:val="en-US"/>
        </w:rPr>
        <w:t>since</w:t>
      </w:r>
      <w:r w:rsidRPr="003E0E59">
        <w:rPr>
          <w:rFonts w:asciiTheme="minorHAnsi" w:hAnsiTheme="minorHAnsi" w:cstheme="minorHAnsi"/>
          <w:bCs/>
          <w:color w:val="000000" w:themeColor="text1"/>
          <w:lang w:val="en-US"/>
        </w:rPr>
        <w:t xml:space="preserve"> </w:t>
      </w:r>
      <w:r w:rsidR="000773A5" w:rsidRPr="003E0E59">
        <w:rPr>
          <w:rFonts w:asciiTheme="minorHAnsi" w:hAnsiTheme="minorHAnsi" w:cstheme="minorHAnsi"/>
          <w:bCs/>
          <w:color w:val="000000" w:themeColor="text1"/>
          <w:lang w:val="en-US"/>
        </w:rPr>
        <w:t xml:space="preserve">DLT </w:t>
      </w:r>
      <w:r w:rsidRPr="003E0E59">
        <w:rPr>
          <w:rFonts w:asciiTheme="minorHAnsi" w:hAnsiTheme="minorHAnsi" w:cstheme="minorHAnsi"/>
          <w:bCs/>
          <w:color w:val="000000" w:themeColor="text1"/>
          <w:lang w:val="en-US"/>
        </w:rPr>
        <w:t>participants have access to the same information in real time. This ensures that all parties, including supervisors, have a clear and consistent view of the data, which facilitates supervision and reduces the risk of asymmetric information.</w:t>
      </w:r>
    </w:p>
    <w:permEnd w:id="1164135930"/>
    <w:p w14:paraId="3600E970" w14:textId="476F553F"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5E3E1348" w14:textId="77777777" w:rsidR="00DA4482" w:rsidRDefault="00C95743" w:rsidP="00C95743">
      <w:pPr>
        <w:pStyle w:val="Default"/>
        <w:jc w:val="both"/>
        <w:rPr>
          <w:rFonts w:asciiTheme="minorHAnsi" w:hAnsiTheme="minorHAnsi" w:cstheme="minorHAnsi"/>
          <w:bCs/>
          <w:color w:val="000000" w:themeColor="text1"/>
          <w:lang w:val="en-US"/>
        </w:rPr>
      </w:pPr>
      <w:permStart w:id="1621834718" w:edGrp="everyone"/>
      <w:r w:rsidRPr="00114E79">
        <w:rPr>
          <w:rFonts w:asciiTheme="minorHAnsi" w:hAnsiTheme="minorHAnsi" w:cstheme="minorHAnsi"/>
          <w:bCs/>
          <w:color w:val="000000" w:themeColor="text1"/>
          <w:lang w:val="en-US"/>
        </w:rPr>
        <w:lastRenderedPageBreak/>
        <w:t xml:space="preserve">In relation to the gas fees to be registered, it is important to bring up a problem for the industry relevant to this issue. It is necessary that the principle of segregation </w:t>
      </w:r>
      <w:r w:rsidR="000773A5" w:rsidRPr="00114E79">
        <w:rPr>
          <w:rFonts w:asciiTheme="minorHAnsi" w:hAnsiTheme="minorHAnsi" w:cstheme="minorHAnsi"/>
          <w:bCs/>
          <w:color w:val="000000" w:themeColor="text1"/>
          <w:lang w:val="en-US"/>
        </w:rPr>
        <w:t>between</w:t>
      </w:r>
      <w:r w:rsidRPr="00114E79">
        <w:rPr>
          <w:rFonts w:asciiTheme="minorHAnsi" w:hAnsiTheme="minorHAnsi" w:cstheme="minorHAnsi"/>
          <w:bCs/>
          <w:color w:val="000000" w:themeColor="text1"/>
          <w:lang w:val="en-US"/>
        </w:rPr>
        <w:t xml:space="preserve"> </w:t>
      </w:r>
      <w:r w:rsidR="000773A5" w:rsidRPr="00114E79">
        <w:rPr>
          <w:rFonts w:asciiTheme="minorHAnsi" w:hAnsiTheme="minorHAnsi" w:cstheme="minorHAnsi"/>
          <w:bCs/>
          <w:color w:val="000000" w:themeColor="text1"/>
          <w:lang w:val="en-US"/>
        </w:rPr>
        <w:t>CASP</w:t>
      </w:r>
      <w:r w:rsidRPr="00114E79">
        <w:rPr>
          <w:rFonts w:asciiTheme="minorHAnsi" w:hAnsiTheme="minorHAnsi" w:cstheme="minorHAnsi"/>
          <w:bCs/>
          <w:color w:val="000000" w:themeColor="text1"/>
          <w:lang w:val="en-US"/>
        </w:rPr>
        <w:t xml:space="preserve"> and client funds in the custody of </w:t>
      </w:r>
      <w:proofErr w:type="spellStart"/>
      <w:r w:rsidRPr="00114E79">
        <w:rPr>
          <w:rFonts w:asciiTheme="minorHAnsi" w:hAnsiTheme="minorHAnsi" w:cstheme="minorHAnsi"/>
          <w:bCs/>
          <w:color w:val="000000" w:themeColor="text1"/>
          <w:lang w:val="en-US"/>
        </w:rPr>
        <w:t>cryptoassets</w:t>
      </w:r>
      <w:proofErr w:type="spellEnd"/>
      <w:r w:rsidRPr="00114E79">
        <w:rPr>
          <w:rFonts w:asciiTheme="minorHAnsi" w:hAnsiTheme="minorHAnsi" w:cstheme="minorHAnsi"/>
          <w:bCs/>
          <w:color w:val="000000" w:themeColor="text1"/>
          <w:lang w:val="en-US"/>
        </w:rPr>
        <w:t xml:space="preserve"> is allowed to be </w:t>
      </w:r>
      <w:proofErr w:type="spellStart"/>
      <w:r w:rsidR="000773A5" w:rsidRPr="00114E79">
        <w:rPr>
          <w:rFonts w:asciiTheme="minorHAnsi" w:hAnsiTheme="minorHAnsi" w:cstheme="minorHAnsi"/>
          <w:bCs/>
          <w:color w:val="000000" w:themeColor="text1"/>
          <w:lang w:val="en-US"/>
        </w:rPr>
        <w:t>exceptioned</w:t>
      </w:r>
      <w:proofErr w:type="spellEnd"/>
      <w:r w:rsidRPr="00114E79">
        <w:rPr>
          <w:rFonts w:asciiTheme="minorHAnsi" w:hAnsiTheme="minorHAnsi" w:cstheme="minorHAnsi"/>
          <w:bCs/>
          <w:color w:val="000000" w:themeColor="text1"/>
          <w:lang w:val="en-US"/>
        </w:rPr>
        <w:t xml:space="preserve"> in order to pay the gas in movements that are operationally necessary to ensure greater security to customers (for example, movements</w:t>
      </w:r>
      <w:r w:rsidR="000773A5" w:rsidRPr="00114E79">
        <w:rPr>
          <w:rFonts w:asciiTheme="minorHAnsi" w:hAnsiTheme="minorHAnsi" w:cstheme="minorHAnsi"/>
          <w:bCs/>
          <w:color w:val="000000" w:themeColor="text1"/>
          <w:lang w:val="en-US"/>
        </w:rPr>
        <w:t xml:space="preserve"> among </w:t>
      </w:r>
      <w:r w:rsidRPr="00114E79">
        <w:rPr>
          <w:rFonts w:asciiTheme="minorHAnsi" w:hAnsiTheme="minorHAnsi" w:cstheme="minorHAnsi"/>
          <w:bCs/>
          <w:color w:val="000000" w:themeColor="text1"/>
          <w:lang w:val="en-US"/>
        </w:rPr>
        <w:t xml:space="preserve">cold and hot </w:t>
      </w:r>
      <w:r w:rsidR="000773A5" w:rsidRPr="00114E79">
        <w:rPr>
          <w:rFonts w:asciiTheme="minorHAnsi" w:hAnsiTheme="minorHAnsi" w:cstheme="minorHAnsi"/>
          <w:bCs/>
          <w:color w:val="000000" w:themeColor="text1"/>
          <w:lang w:val="en-US"/>
        </w:rPr>
        <w:t xml:space="preserve">wallets kept by authorized </w:t>
      </w:r>
      <w:r w:rsidRPr="00114E79">
        <w:rPr>
          <w:rFonts w:asciiTheme="minorHAnsi" w:hAnsiTheme="minorHAnsi" w:cstheme="minorHAnsi"/>
          <w:bCs/>
          <w:color w:val="000000" w:themeColor="text1"/>
          <w:lang w:val="en-US"/>
        </w:rPr>
        <w:t>custod</w:t>
      </w:r>
      <w:r w:rsidR="000773A5" w:rsidRPr="00114E79">
        <w:rPr>
          <w:rFonts w:asciiTheme="minorHAnsi" w:hAnsiTheme="minorHAnsi" w:cstheme="minorHAnsi"/>
          <w:bCs/>
          <w:color w:val="000000" w:themeColor="text1"/>
          <w:lang w:val="en-US"/>
        </w:rPr>
        <w:t xml:space="preserve">ians </w:t>
      </w:r>
      <w:r w:rsidRPr="00114E79">
        <w:rPr>
          <w:rFonts w:asciiTheme="minorHAnsi" w:hAnsiTheme="minorHAnsi" w:cstheme="minorHAnsi"/>
          <w:bCs/>
          <w:color w:val="000000" w:themeColor="text1"/>
          <w:lang w:val="en-US"/>
        </w:rPr>
        <w:t xml:space="preserve">in omnibus accounts). </w:t>
      </w:r>
    </w:p>
    <w:p w14:paraId="76EFB116" w14:textId="77777777" w:rsidR="00DA4482" w:rsidRDefault="00DA4482" w:rsidP="00C95743">
      <w:pPr>
        <w:pStyle w:val="Default"/>
        <w:jc w:val="both"/>
        <w:rPr>
          <w:rFonts w:asciiTheme="minorHAnsi" w:hAnsiTheme="minorHAnsi" w:cstheme="minorHAnsi"/>
          <w:bCs/>
          <w:color w:val="000000" w:themeColor="text1"/>
          <w:lang w:val="en-US"/>
        </w:rPr>
      </w:pPr>
    </w:p>
    <w:p w14:paraId="067DBE15" w14:textId="0E76999C" w:rsidR="00C95743" w:rsidRPr="00114E79" w:rsidRDefault="00C95743" w:rsidP="00C95743">
      <w:pPr>
        <w:pStyle w:val="Default"/>
        <w:jc w:val="both"/>
        <w:rPr>
          <w:rFonts w:asciiTheme="minorHAnsi" w:hAnsiTheme="minorHAnsi" w:cstheme="minorHAnsi"/>
          <w:bCs/>
          <w:color w:val="000000" w:themeColor="text1"/>
          <w:lang w:val="en-US"/>
        </w:rPr>
      </w:pPr>
      <w:r w:rsidRPr="00114E79">
        <w:rPr>
          <w:rFonts w:asciiTheme="minorHAnsi" w:hAnsiTheme="minorHAnsi" w:cstheme="minorHAnsi"/>
          <w:bCs/>
          <w:color w:val="000000" w:themeColor="text1"/>
          <w:lang w:val="en-US"/>
        </w:rPr>
        <w:t xml:space="preserve">Technologically, the gas is back-loaded from the client's </w:t>
      </w:r>
      <w:proofErr w:type="spellStart"/>
      <w:r w:rsidRPr="00114E79">
        <w:rPr>
          <w:rFonts w:asciiTheme="minorHAnsi" w:hAnsiTheme="minorHAnsi" w:cstheme="minorHAnsi"/>
          <w:bCs/>
          <w:color w:val="000000" w:themeColor="text1"/>
          <w:lang w:val="en-US"/>
        </w:rPr>
        <w:t>adress</w:t>
      </w:r>
      <w:proofErr w:type="spellEnd"/>
      <w:r w:rsidRPr="00114E79">
        <w:rPr>
          <w:rFonts w:asciiTheme="minorHAnsi" w:hAnsiTheme="minorHAnsi" w:cstheme="minorHAnsi"/>
          <w:bCs/>
          <w:color w:val="000000" w:themeColor="text1"/>
          <w:lang w:val="en-US"/>
        </w:rPr>
        <w:t>, and although it may</w:t>
      </w:r>
      <w:r w:rsidR="005A7BFA" w:rsidRPr="00114E79">
        <w:rPr>
          <w:rFonts w:asciiTheme="minorHAnsi" w:hAnsiTheme="minorHAnsi" w:cstheme="minorHAnsi"/>
          <w:bCs/>
          <w:color w:val="000000" w:themeColor="text1"/>
          <w:lang w:val="en-US"/>
        </w:rPr>
        <w:t xml:space="preserve"> be treated as</w:t>
      </w:r>
      <w:r w:rsidRPr="00114E79">
        <w:rPr>
          <w:rFonts w:asciiTheme="minorHAnsi" w:hAnsiTheme="minorHAnsi" w:cstheme="minorHAnsi"/>
          <w:bCs/>
          <w:color w:val="000000" w:themeColor="text1"/>
          <w:lang w:val="en-US"/>
        </w:rPr>
        <w:t xml:space="preserve"> part of the fees charged to the client by the custodian, </w:t>
      </w:r>
      <w:r w:rsidR="005A7BFA" w:rsidRPr="00114E79">
        <w:rPr>
          <w:rFonts w:asciiTheme="minorHAnsi" w:hAnsiTheme="minorHAnsi" w:cstheme="minorHAnsi"/>
          <w:bCs/>
          <w:color w:val="000000" w:themeColor="text1"/>
          <w:lang w:val="en-US"/>
        </w:rPr>
        <w:t>in the case of</w:t>
      </w:r>
      <w:r w:rsidRPr="00114E79">
        <w:rPr>
          <w:rFonts w:asciiTheme="minorHAnsi" w:hAnsiTheme="minorHAnsi" w:cstheme="minorHAnsi"/>
          <w:bCs/>
          <w:color w:val="000000" w:themeColor="text1"/>
          <w:lang w:val="en-US"/>
        </w:rPr>
        <w:t xml:space="preserve"> omnibus accounts this must be done proportionally, </w:t>
      </w:r>
      <w:r w:rsidR="005A7BFA" w:rsidRPr="00114E79">
        <w:rPr>
          <w:rFonts w:asciiTheme="minorHAnsi" w:hAnsiTheme="minorHAnsi" w:cstheme="minorHAnsi"/>
          <w:bCs/>
          <w:color w:val="000000" w:themeColor="text1"/>
          <w:lang w:val="en-US"/>
        </w:rPr>
        <w:t>thus rendering</w:t>
      </w:r>
      <w:r w:rsidRPr="00114E79">
        <w:rPr>
          <w:rFonts w:asciiTheme="minorHAnsi" w:hAnsiTheme="minorHAnsi" w:cstheme="minorHAnsi"/>
          <w:bCs/>
          <w:color w:val="000000" w:themeColor="text1"/>
          <w:lang w:val="en-US"/>
        </w:rPr>
        <w:t xml:space="preserve"> necessary for the entities to keep their own </w:t>
      </w:r>
      <w:proofErr w:type="spellStart"/>
      <w:r w:rsidRPr="00114E79">
        <w:rPr>
          <w:rFonts w:asciiTheme="minorHAnsi" w:hAnsiTheme="minorHAnsi" w:cstheme="minorHAnsi"/>
          <w:bCs/>
          <w:color w:val="000000" w:themeColor="text1"/>
          <w:lang w:val="en-US"/>
        </w:rPr>
        <w:t>cryptoassets</w:t>
      </w:r>
      <w:proofErr w:type="spellEnd"/>
      <w:r w:rsidRPr="00114E79">
        <w:rPr>
          <w:rFonts w:asciiTheme="minorHAnsi" w:hAnsiTheme="minorHAnsi" w:cstheme="minorHAnsi"/>
          <w:bCs/>
          <w:color w:val="000000" w:themeColor="text1"/>
          <w:lang w:val="en-US"/>
        </w:rPr>
        <w:t xml:space="preserve"> in these </w:t>
      </w:r>
      <w:r w:rsidR="005A7BFA" w:rsidRPr="00114E79">
        <w:rPr>
          <w:rFonts w:asciiTheme="minorHAnsi" w:hAnsiTheme="minorHAnsi" w:cstheme="minorHAnsi"/>
          <w:bCs/>
          <w:color w:val="000000" w:themeColor="text1"/>
          <w:lang w:val="en-US"/>
        </w:rPr>
        <w:t xml:space="preserve">omnibus </w:t>
      </w:r>
      <w:r w:rsidRPr="00114E79">
        <w:rPr>
          <w:rFonts w:asciiTheme="minorHAnsi" w:hAnsiTheme="minorHAnsi" w:cstheme="minorHAnsi"/>
          <w:bCs/>
          <w:color w:val="000000" w:themeColor="text1"/>
          <w:lang w:val="en-US"/>
        </w:rPr>
        <w:t xml:space="preserve">accounts for the sole purpose of being able to pay the gas fees without affecting the </w:t>
      </w:r>
      <w:proofErr w:type="spellStart"/>
      <w:r w:rsidRPr="00114E79">
        <w:rPr>
          <w:rFonts w:asciiTheme="minorHAnsi" w:hAnsiTheme="minorHAnsi" w:cstheme="minorHAnsi"/>
          <w:bCs/>
          <w:color w:val="000000" w:themeColor="text1"/>
          <w:lang w:val="en-US"/>
        </w:rPr>
        <w:t>cryptoassets</w:t>
      </w:r>
      <w:proofErr w:type="spellEnd"/>
      <w:r w:rsidRPr="00114E79">
        <w:rPr>
          <w:rFonts w:asciiTheme="minorHAnsi" w:hAnsiTheme="minorHAnsi" w:cstheme="minorHAnsi"/>
          <w:bCs/>
          <w:color w:val="000000" w:themeColor="text1"/>
          <w:lang w:val="en-US"/>
        </w:rPr>
        <w:t xml:space="preserve"> under custody.</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7B4DB1DD" w14:textId="77777777" w:rsidR="00C95743" w:rsidRDefault="00C95743" w:rsidP="00C95743">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lastRenderedPageBreak/>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lastRenderedPageBreak/>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w:t>
      </w:r>
      <w:r w:rsidRPr="003A287A">
        <w:lastRenderedPageBreak/>
        <w:t xml:space="preserve">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lastRenderedPageBreak/>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lastRenderedPageBreak/>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01CB" w14:textId="77777777" w:rsidR="005C1B15" w:rsidRDefault="005C1B15" w:rsidP="007E7997">
      <w:r>
        <w:separator/>
      </w:r>
    </w:p>
  </w:endnote>
  <w:endnote w:type="continuationSeparator" w:id="0">
    <w:p w14:paraId="1903A9AD" w14:textId="77777777" w:rsidR="005C1B15" w:rsidRDefault="005C1B15" w:rsidP="007E7997">
      <w:r>
        <w:continuationSeparator/>
      </w:r>
    </w:p>
  </w:endnote>
  <w:endnote w:type="continuationNotice" w:id="1">
    <w:p w14:paraId="2499DAE7" w14:textId="77777777" w:rsidR="005C1B15" w:rsidRDefault="005C1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ep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Piedep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ep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ep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75F6" w14:textId="77777777" w:rsidR="005C1B15" w:rsidRDefault="005C1B15" w:rsidP="007E7997">
      <w:r>
        <w:separator/>
      </w:r>
    </w:p>
  </w:footnote>
  <w:footnote w:type="continuationSeparator" w:id="0">
    <w:p w14:paraId="4E1630A7" w14:textId="77777777" w:rsidR="005C1B15" w:rsidRDefault="005C1B15" w:rsidP="007E7997">
      <w:r>
        <w:continuationSeparator/>
      </w:r>
    </w:p>
  </w:footnote>
  <w:footnote w:type="continuationNotice" w:id="1">
    <w:p w14:paraId="18321A93" w14:textId="77777777" w:rsidR="005C1B15" w:rsidRDefault="005C1B15"/>
  </w:footnote>
  <w:footnote w:id="2">
    <w:p w14:paraId="437EFDF3" w14:textId="77777777" w:rsidR="009537CB" w:rsidRPr="00090D01" w:rsidRDefault="009537CB" w:rsidP="009537CB">
      <w:pPr>
        <w:pStyle w:val="Textonotapie"/>
        <w:jc w:val="both"/>
        <w:rPr>
          <w:rFonts w:cstheme="minorHAnsi"/>
        </w:rPr>
      </w:pPr>
      <w:r w:rsidRPr="00090D01">
        <w:rPr>
          <w:rStyle w:val="Refdenotaalpie"/>
          <w:rFonts w:eastAsiaTheme="majorEastAsia" w:cstheme="minorHAnsi"/>
        </w:rPr>
        <w:footnoteRef/>
      </w:r>
      <w:r w:rsidRPr="00090D01">
        <w:rPr>
          <w:rFonts w:cstheme="minorHAnsi"/>
        </w:rPr>
        <w:t xml:space="preserve"> Regulation (EU) 2022/2554 of the European Parliament and of the Council of 14 December 2022 on digital operational resilience for the financial sector and amending Regulations (EC) No 1060/2009, (EU) No 648/2012, (EU) No 600/2014, (EU) No 909/2014 and (EU) 2016/1011.</w:t>
      </w:r>
    </w:p>
  </w:footnote>
  <w:footnote w:id="3">
    <w:p w14:paraId="79E132CF" w14:textId="77777777" w:rsidR="009537CB" w:rsidRPr="00090D01" w:rsidRDefault="009537CB" w:rsidP="009537CB">
      <w:pPr>
        <w:pStyle w:val="Textonotapie"/>
        <w:rPr>
          <w:rFonts w:cstheme="minorHAnsi"/>
        </w:rPr>
      </w:pPr>
      <w:r w:rsidRPr="00090D01">
        <w:rPr>
          <w:rStyle w:val="Refdenotaalpie"/>
          <w:rFonts w:eastAsiaTheme="majorEastAsia" w:cstheme="minorHAnsi"/>
        </w:rPr>
        <w:footnoteRef/>
      </w:r>
      <w:r w:rsidRPr="00090D01">
        <w:rPr>
          <w:rFonts w:cstheme="minorHAnsi"/>
        </w:rPr>
        <w:t xml:space="preserve"> DORA Regulation, recital (59): </w:t>
      </w:r>
      <w:r w:rsidRPr="00090D01">
        <w:rPr>
          <w:rFonts w:cstheme="minorHAnsi"/>
          <w:i/>
        </w:rPr>
        <w:t>Since this Regulation does not require financial entities to cover all critical or important functions in one single threat-led penetration test, financial entities should be free to determine which and how many critical or important functions should be included in the scope of such a test.</w:t>
      </w:r>
    </w:p>
  </w:footnote>
  <w:footnote w:id="4">
    <w:p w14:paraId="4F671FBE" w14:textId="77777777" w:rsidR="009537CB" w:rsidRPr="00090D01" w:rsidRDefault="009537CB" w:rsidP="009537CB">
      <w:pPr>
        <w:pStyle w:val="Textonotapie"/>
        <w:jc w:val="both"/>
        <w:rPr>
          <w:rFonts w:cstheme="minorHAnsi"/>
          <w:i/>
        </w:rPr>
      </w:pPr>
      <w:r w:rsidRPr="00090D01">
        <w:rPr>
          <w:rStyle w:val="Refdenotaalpie"/>
          <w:rFonts w:eastAsiaTheme="majorEastAsia" w:cstheme="minorHAnsi"/>
        </w:rPr>
        <w:footnoteRef/>
      </w:r>
      <w:r w:rsidRPr="00090D01">
        <w:rPr>
          <w:rFonts w:cstheme="minorHAnsi"/>
        </w:rPr>
        <w:t xml:space="preserve"> </w:t>
      </w:r>
      <w:r w:rsidRPr="00090D01">
        <w:rPr>
          <w:rFonts w:cstheme="minorHAnsi"/>
          <w:i/>
        </w:rPr>
        <w:t>Activities, services or operations, the cessation of which could, in one or more Member States, result in a disruption of services essential for the real economy or financial stability, due to the size, market share, internal or external connections, complexity or cross-border activity of the entity or group, having regard in particular to the substitutability of such activities, services or operations</w:t>
      </w:r>
      <w:r w:rsidRPr="00090D01">
        <w:rPr>
          <w:rFonts w:cstheme="minorHAnsi"/>
          <w:i/>
          <w:iCs/>
        </w:rPr>
        <w:t>.</w:t>
      </w:r>
    </w:p>
  </w:footnote>
  <w:footnote w:id="5">
    <w:p w14:paraId="136257F5" w14:textId="77777777" w:rsidR="00B52A28" w:rsidRPr="00090D01" w:rsidRDefault="00B52A28" w:rsidP="00B52A28">
      <w:pPr>
        <w:pStyle w:val="Textonotapie"/>
        <w:jc w:val="both"/>
        <w:rPr>
          <w:rFonts w:cstheme="minorHAnsi"/>
        </w:rPr>
      </w:pPr>
      <w:r w:rsidRPr="00090D01">
        <w:rPr>
          <w:rStyle w:val="Refdenotaalpie"/>
          <w:rFonts w:eastAsiaTheme="majorEastAsia" w:cstheme="minorHAnsi"/>
        </w:rPr>
        <w:footnoteRef/>
      </w:r>
      <w:r w:rsidRPr="00090D01">
        <w:rPr>
          <w:rFonts w:cstheme="minorHAnsi"/>
        </w:rPr>
        <w:t xml:space="preserve"> Directive (EU) 2015/2366 of the European Parliament and of the Council of 25 November 2015 on payment services in the internal market, amending Directives 2002/65/EC, 2009/110/EC and 2013/36/EU and Regulation (EU) No 1093/2010, and repealing Directive 2007/64/EC.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cabezado"/>
    </w:pPr>
  </w:p>
  <w:p w14:paraId="59FA3C9D" w14:textId="77777777" w:rsidR="00E36813" w:rsidRDefault="00E368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Encabezado"/>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Encabezado"/>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Encabezado"/>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cabezado"/>
      <w:jc w:val="right"/>
      <w:rPr>
        <w:rFonts w:asciiTheme="minorHAnsi" w:hAnsiTheme="minorHAnsi" w:cstheme="minorHAnsi"/>
        <w:color w:val="2F5496" w:themeColor="accent5" w:themeShade="BF"/>
        <w:sz w:val="20"/>
      </w:rPr>
    </w:pPr>
  </w:p>
  <w:p w14:paraId="3E983FE8" w14:textId="71D87355" w:rsidR="00FA64BE" w:rsidRDefault="00FA64BE" w:rsidP="00FA64BE">
    <w:pPr>
      <w:pStyle w:val="Encabezado"/>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cabezado"/>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cabezado"/>
      <w:jc w:val="right"/>
      <w:rPr>
        <w:color w:val="2F5496" w:themeColor="accent5" w:themeShade="BF"/>
        <w:sz w:val="20"/>
      </w:rPr>
    </w:pPr>
  </w:p>
  <w:p w14:paraId="5EAB6EC6" w14:textId="77777777" w:rsidR="00E36813" w:rsidRPr="00B50534" w:rsidRDefault="00E36813" w:rsidP="00B50534">
    <w:pPr>
      <w:pStyle w:val="Encabezado"/>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rrafodelist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523204F"/>
    <w:multiLevelType w:val="hybridMultilevel"/>
    <w:tmpl w:val="C9FC5A22"/>
    <w:lvl w:ilvl="0" w:tplc="25A0B1D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A0AE3"/>
    <w:multiLevelType w:val="hybridMultilevel"/>
    <w:tmpl w:val="47003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Ttulo1"/>
      <w:lvlText w:val="%1."/>
      <w:lvlJc w:val="righ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4C08B3"/>
    <w:multiLevelType w:val="multilevel"/>
    <w:tmpl w:val="DADE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E02DFF"/>
    <w:multiLevelType w:val="hybridMultilevel"/>
    <w:tmpl w:val="8642102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02069075">
    <w:abstractNumId w:val="2"/>
  </w:num>
  <w:num w:numId="2" w16cid:durableId="2709983">
    <w:abstractNumId w:val="2"/>
  </w:num>
  <w:num w:numId="3" w16cid:durableId="200944905">
    <w:abstractNumId w:val="23"/>
  </w:num>
  <w:num w:numId="4" w16cid:durableId="1728412511">
    <w:abstractNumId w:val="3"/>
  </w:num>
  <w:num w:numId="5" w16cid:durableId="1276719121">
    <w:abstractNumId w:val="12"/>
  </w:num>
  <w:num w:numId="6" w16cid:durableId="416632123">
    <w:abstractNumId w:val="25"/>
  </w:num>
  <w:num w:numId="7" w16cid:durableId="951522067">
    <w:abstractNumId w:val="11"/>
  </w:num>
  <w:num w:numId="8" w16cid:durableId="1217208136">
    <w:abstractNumId w:val="5"/>
  </w:num>
  <w:num w:numId="9" w16cid:durableId="1918779958">
    <w:abstractNumId w:val="8"/>
  </w:num>
  <w:num w:numId="10" w16cid:durableId="425267363">
    <w:abstractNumId w:val="7"/>
  </w:num>
  <w:num w:numId="11" w16cid:durableId="433671693">
    <w:abstractNumId w:val="6"/>
  </w:num>
  <w:num w:numId="12" w16cid:durableId="471869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759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688719">
    <w:abstractNumId w:val="28"/>
  </w:num>
  <w:num w:numId="15" w16cid:durableId="1522740429">
    <w:abstractNumId w:val="20"/>
  </w:num>
  <w:num w:numId="16" w16cid:durableId="1196040875">
    <w:abstractNumId w:val="24"/>
  </w:num>
  <w:num w:numId="17" w16cid:durableId="1100954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172173">
    <w:abstractNumId w:val="21"/>
  </w:num>
  <w:num w:numId="19" w16cid:durableId="1034960625">
    <w:abstractNumId w:val="25"/>
  </w:num>
  <w:num w:numId="20" w16cid:durableId="664552031">
    <w:abstractNumId w:val="10"/>
  </w:num>
  <w:num w:numId="21" w16cid:durableId="675957879">
    <w:abstractNumId w:val="22"/>
  </w:num>
  <w:num w:numId="22" w16cid:durableId="966936905">
    <w:abstractNumId w:val="14"/>
  </w:num>
  <w:num w:numId="23" w16cid:durableId="1802721219">
    <w:abstractNumId w:val="19"/>
  </w:num>
  <w:num w:numId="24" w16cid:durableId="1994793186">
    <w:abstractNumId w:val="0"/>
  </w:num>
  <w:num w:numId="25" w16cid:durableId="1953707499">
    <w:abstractNumId w:val="18"/>
  </w:num>
  <w:num w:numId="26" w16cid:durableId="1879471544">
    <w:abstractNumId w:val="15"/>
  </w:num>
  <w:num w:numId="27" w16cid:durableId="1372537843">
    <w:abstractNumId w:val="9"/>
  </w:num>
  <w:num w:numId="28" w16cid:durableId="1763139408">
    <w:abstractNumId w:val="1"/>
  </w:num>
  <w:num w:numId="29" w16cid:durableId="1600988045">
    <w:abstractNumId w:val="17"/>
  </w:num>
  <w:num w:numId="30" w16cid:durableId="738600278">
    <w:abstractNumId w:val="4"/>
  </w:num>
  <w:num w:numId="31" w16cid:durableId="435104102">
    <w:abstractNumId w:val="16"/>
  </w:num>
  <w:num w:numId="32" w16cid:durableId="360130190">
    <w:abstractNumId w:val="13"/>
  </w:num>
  <w:num w:numId="33" w16cid:durableId="887842455">
    <w:abstractNumId w:val="26"/>
  </w:num>
  <w:num w:numId="34" w16cid:durableId="98123276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3A5"/>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E7022"/>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14E79"/>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6686F"/>
    <w:rsid w:val="00170AD6"/>
    <w:rsid w:val="001735B8"/>
    <w:rsid w:val="00177AA7"/>
    <w:rsid w:val="00180917"/>
    <w:rsid w:val="00180E53"/>
    <w:rsid w:val="00181CB7"/>
    <w:rsid w:val="00184E83"/>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095C"/>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225"/>
    <w:rsid w:val="00246E1D"/>
    <w:rsid w:val="002472F6"/>
    <w:rsid w:val="0025020D"/>
    <w:rsid w:val="00254CC2"/>
    <w:rsid w:val="002574D1"/>
    <w:rsid w:val="00261CCB"/>
    <w:rsid w:val="002630C0"/>
    <w:rsid w:val="0026332A"/>
    <w:rsid w:val="002645A8"/>
    <w:rsid w:val="0026493B"/>
    <w:rsid w:val="00265566"/>
    <w:rsid w:val="00265F44"/>
    <w:rsid w:val="002665E3"/>
    <w:rsid w:val="00266857"/>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08CF"/>
    <w:rsid w:val="003279E7"/>
    <w:rsid w:val="00327B62"/>
    <w:rsid w:val="00330221"/>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CCF"/>
    <w:rsid w:val="00381EB0"/>
    <w:rsid w:val="00382A72"/>
    <w:rsid w:val="00382EBA"/>
    <w:rsid w:val="0038331A"/>
    <w:rsid w:val="003845AC"/>
    <w:rsid w:val="0039135B"/>
    <w:rsid w:val="003A34E7"/>
    <w:rsid w:val="003A3CB1"/>
    <w:rsid w:val="003A3D55"/>
    <w:rsid w:val="003A73A4"/>
    <w:rsid w:val="003B102E"/>
    <w:rsid w:val="003B4E3D"/>
    <w:rsid w:val="003C167E"/>
    <w:rsid w:val="003C2D91"/>
    <w:rsid w:val="003C481D"/>
    <w:rsid w:val="003C4EB5"/>
    <w:rsid w:val="003D2CED"/>
    <w:rsid w:val="003D344A"/>
    <w:rsid w:val="003D3BB8"/>
    <w:rsid w:val="003D642F"/>
    <w:rsid w:val="003D72F4"/>
    <w:rsid w:val="003D7C07"/>
    <w:rsid w:val="003E0E59"/>
    <w:rsid w:val="003E13FD"/>
    <w:rsid w:val="003E1C24"/>
    <w:rsid w:val="003E1D17"/>
    <w:rsid w:val="003E61FC"/>
    <w:rsid w:val="003E77BC"/>
    <w:rsid w:val="003F0EDF"/>
    <w:rsid w:val="003F100A"/>
    <w:rsid w:val="003F20C7"/>
    <w:rsid w:val="003F39B1"/>
    <w:rsid w:val="00400D9C"/>
    <w:rsid w:val="00400FBE"/>
    <w:rsid w:val="00401655"/>
    <w:rsid w:val="004022CF"/>
    <w:rsid w:val="004029B1"/>
    <w:rsid w:val="004038F1"/>
    <w:rsid w:val="00404282"/>
    <w:rsid w:val="00404ED5"/>
    <w:rsid w:val="0040743A"/>
    <w:rsid w:val="00407623"/>
    <w:rsid w:val="00407A74"/>
    <w:rsid w:val="004114D5"/>
    <w:rsid w:val="00414210"/>
    <w:rsid w:val="004159DB"/>
    <w:rsid w:val="00417D1A"/>
    <w:rsid w:val="00420FD4"/>
    <w:rsid w:val="004242B3"/>
    <w:rsid w:val="00424A4F"/>
    <w:rsid w:val="00426D62"/>
    <w:rsid w:val="00427A89"/>
    <w:rsid w:val="00430C5B"/>
    <w:rsid w:val="00431968"/>
    <w:rsid w:val="00433936"/>
    <w:rsid w:val="0043475E"/>
    <w:rsid w:val="004347CC"/>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6B8F"/>
    <w:rsid w:val="00477919"/>
    <w:rsid w:val="00482611"/>
    <w:rsid w:val="00482A27"/>
    <w:rsid w:val="00487DCE"/>
    <w:rsid w:val="00492701"/>
    <w:rsid w:val="00494646"/>
    <w:rsid w:val="004950B7"/>
    <w:rsid w:val="0049534D"/>
    <w:rsid w:val="00497FEA"/>
    <w:rsid w:val="004A75F5"/>
    <w:rsid w:val="004B07B2"/>
    <w:rsid w:val="004B0955"/>
    <w:rsid w:val="004B143D"/>
    <w:rsid w:val="004B1842"/>
    <w:rsid w:val="004B25D0"/>
    <w:rsid w:val="004B3553"/>
    <w:rsid w:val="004B5E92"/>
    <w:rsid w:val="004B6859"/>
    <w:rsid w:val="004C0A30"/>
    <w:rsid w:val="004C297B"/>
    <w:rsid w:val="004C357C"/>
    <w:rsid w:val="004C3D18"/>
    <w:rsid w:val="004D42B1"/>
    <w:rsid w:val="004D526F"/>
    <w:rsid w:val="004E19C0"/>
    <w:rsid w:val="004E1C54"/>
    <w:rsid w:val="004E2C37"/>
    <w:rsid w:val="004E3B58"/>
    <w:rsid w:val="004E5285"/>
    <w:rsid w:val="004F0CF3"/>
    <w:rsid w:val="004F5740"/>
    <w:rsid w:val="004F58C9"/>
    <w:rsid w:val="00500C05"/>
    <w:rsid w:val="005028B9"/>
    <w:rsid w:val="00503A3F"/>
    <w:rsid w:val="00505E17"/>
    <w:rsid w:val="00511A59"/>
    <w:rsid w:val="00511C3B"/>
    <w:rsid w:val="00514440"/>
    <w:rsid w:val="005166C3"/>
    <w:rsid w:val="00517599"/>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A7BFA"/>
    <w:rsid w:val="005A7D08"/>
    <w:rsid w:val="005B169D"/>
    <w:rsid w:val="005B467C"/>
    <w:rsid w:val="005B4ACA"/>
    <w:rsid w:val="005B6B12"/>
    <w:rsid w:val="005C19E9"/>
    <w:rsid w:val="005C1B15"/>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34A0"/>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361E"/>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25EFA"/>
    <w:rsid w:val="0073173E"/>
    <w:rsid w:val="007319C3"/>
    <w:rsid w:val="0073454F"/>
    <w:rsid w:val="00735C00"/>
    <w:rsid w:val="007364C6"/>
    <w:rsid w:val="00740BF3"/>
    <w:rsid w:val="00741D5C"/>
    <w:rsid w:val="0074352F"/>
    <w:rsid w:val="00747C5E"/>
    <w:rsid w:val="00750210"/>
    <w:rsid w:val="00752319"/>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9D9"/>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537CB"/>
    <w:rsid w:val="00960A8B"/>
    <w:rsid w:val="00965128"/>
    <w:rsid w:val="00973F43"/>
    <w:rsid w:val="0097785D"/>
    <w:rsid w:val="0098011D"/>
    <w:rsid w:val="00981912"/>
    <w:rsid w:val="009819C0"/>
    <w:rsid w:val="009835AD"/>
    <w:rsid w:val="009869C9"/>
    <w:rsid w:val="00987A75"/>
    <w:rsid w:val="00991A8A"/>
    <w:rsid w:val="00992611"/>
    <w:rsid w:val="00994303"/>
    <w:rsid w:val="0099526D"/>
    <w:rsid w:val="00996C8B"/>
    <w:rsid w:val="009A0054"/>
    <w:rsid w:val="009A0F6E"/>
    <w:rsid w:val="009A324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3A37"/>
    <w:rsid w:val="009E4FCE"/>
    <w:rsid w:val="009E522E"/>
    <w:rsid w:val="009F0ABA"/>
    <w:rsid w:val="009F0AF5"/>
    <w:rsid w:val="00A02199"/>
    <w:rsid w:val="00A0252E"/>
    <w:rsid w:val="00A026A4"/>
    <w:rsid w:val="00A04044"/>
    <w:rsid w:val="00A055DD"/>
    <w:rsid w:val="00A11D0C"/>
    <w:rsid w:val="00A16579"/>
    <w:rsid w:val="00A24843"/>
    <w:rsid w:val="00A25AB7"/>
    <w:rsid w:val="00A26D48"/>
    <w:rsid w:val="00A31C7C"/>
    <w:rsid w:val="00A33CA7"/>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5E18"/>
    <w:rsid w:val="00A6691F"/>
    <w:rsid w:val="00A66BB5"/>
    <w:rsid w:val="00A67E6A"/>
    <w:rsid w:val="00A70F49"/>
    <w:rsid w:val="00A72203"/>
    <w:rsid w:val="00A7281F"/>
    <w:rsid w:val="00A73299"/>
    <w:rsid w:val="00A73949"/>
    <w:rsid w:val="00A76707"/>
    <w:rsid w:val="00A7697E"/>
    <w:rsid w:val="00A76C98"/>
    <w:rsid w:val="00A76E20"/>
    <w:rsid w:val="00A8284E"/>
    <w:rsid w:val="00A870EE"/>
    <w:rsid w:val="00A91D91"/>
    <w:rsid w:val="00A936A3"/>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67B5"/>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A28"/>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76993"/>
    <w:rsid w:val="00B81A44"/>
    <w:rsid w:val="00B86BB5"/>
    <w:rsid w:val="00B91072"/>
    <w:rsid w:val="00B91B6E"/>
    <w:rsid w:val="00B94B2C"/>
    <w:rsid w:val="00B957D6"/>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6CD3"/>
    <w:rsid w:val="00C709F9"/>
    <w:rsid w:val="00C73A00"/>
    <w:rsid w:val="00C73A70"/>
    <w:rsid w:val="00C76054"/>
    <w:rsid w:val="00C779A2"/>
    <w:rsid w:val="00C80546"/>
    <w:rsid w:val="00C83CAD"/>
    <w:rsid w:val="00C8419E"/>
    <w:rsid w:val="00C851D7"/>
    <w:rsid w:val="00C85C8B"/>
    <w:rsid w:val="00C867AD"/>
    <w:rsid w:val="00C87F9F"/>
    <w:rsid w:val="00C927E6"/>
    <w:rsid w:val="00C9545D"/>
    <w:rsid w:val="00C95743"/>
    <w:rsid w:val="00C9625C"/>
    <w:rsid w:val="00C978C6"/>
    <w:rsid w:val="00C97F2A"/>
    <w:rsid w:val="00C97F9B"/>
    <w:rsid w:val="00CA0C1F"/>
    <w:rsid w:val="00CA112D"/>
    <w:rsid w:val="00CA1F9F"/>
    <w:rsid w:val="00CA2179"/>
    <w:rsid w:val="00CA3D8A"/>
    <w:rsid w:val="00CB3DFF"/>
    <w:rsid w:val="00CB4B3E"/>
    <w:rsid w:val="00CB50EF"/>
    <w:rsid w:val="00CB623F"/>
    <w:rsid w:val="00CB791A"/>
    <w:rsid w:val="00CB7D1B"/>
    <w:rsid w:val="00CC11DF"/>
    <w:rsid w:val="00CC1A6E"/>
    <w:rsid w:val="00CC363F"/>
    <w:rsid w:val="00CC3F62"/>
    <w:rsid w:val="00CC536E"/>
    <w:rsid w:val="00CC59DD"/>
    <w:rsid w:val="00CC7FC6"/>
    <w:rsid w:val="00CD41A7"/>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4638"/>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482"/>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068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642"/>
    <w:rsid w:val="00E74A40"/>
    <w:rsid w:val="00E76AF9"/>
    <w:rsid w:val="00E84EF0"/>
    <w:rsid w:val="00E8649C"/>
    <w:rsid w:val="00E87886"/>
    <w:rsid w:val="00E87CDE"/>
    <w:rsid w:val="00E91FC1"/>
    <w:rsid w:val="00E92D54"/>
    <w:rsid w:val="00E9323C"/>
    <w:rsid w:val="00E93660"/>
    <w:rsid w:val="00E95FD8"/>
    <w:rsid w:val="00EA0283"/>
    <w:rsid w:val="00EA275D"/>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0152"/>
    <w:rsid w:val="00F03FA7"/>
    <w:rsid w:val="00F048EF"/>
    <w:rsid w:val="00F06AAD"/>
    <w:rsid w:val="00F146BE"/>
    <w:rsid w:val="00F22013"/>
    <w:rsid w:val="00F22356"/>
    <w:rsid w:val="00F226E0"/>
    <w:rsid w:val="00F2522F"/>
    <w:rsid w:val="00F30180"/>
    <w:rsid w:val="00F31A29"/>
    <w:rsid w:val="00F3233E"/>
    <w:rsid w:val="00F3279A"/>
    <w:rsid w:val="00F37236"/>
    <w:rsid w:val="00F44634"/>
    <w:rsid w:val="00F44D92"/>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3C6E"/>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E7D40"/>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tulo1">
    <w:name w:val="heading 1"/>
    <w:basedOn w:val="Normal"/>
    <w:next w:val="Normal"/>
    <w:link w:val="Ttulo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tulo3">
    <w:name w:val="heading 3"/>
    <w:basedOn w:val="Normal"/>
    <w:next w:val="Normal"/>
    <w:link w:val="Ttulo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tulo4">
    <w:name w:val="heading 4"/>
    <w:basedOn w:val="Normal"/>
    <w:next w:val="Normal"/>
    <w:link w:val="Ttulo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tulo6">
    <w:name w:val="heading 6"/>
    <w:basedOn w:val="Normal"/>
    <w:next w:val="Normal"/>
    <w:link w:val="Ttulo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rsid w:val="00020300"/>
    <w:rPr>
      <w:rFonts w:asciiTheme="majorHAnsi" w:eastAsiaTheme="majorEastAsia" w:hAnsiTheme="majorHAnsi" w:cstheme="majorBidi"/>
      <w:sz w:val="24"/>
      <w:szCs w:val="22"/>
      <w:lang w:val="en-GB" w:eastAsia="en-GB"/>
    </w:rPr>
  </w:style>
  <w:style w:type="character" w:customStyle="1" w:styleId="Ttulo3Car">
    <w:name w:val="Título 3 Car"/>
    <w:basedOn w:val="Fuentedeprrafopredeter"/>
    <w:link w:val="Ttulo3"/>
    <w:rsid w:val="00020300"/>
    <w:rPr>
      <w:rFonts w:asciiTheme="majorHAnsi" w:eastAsiaTheme="majorEastAsia" w:hAnsiTheme="majorHAnsi" w:cstheme="majorBidi"/>
      <w:sz w:val="24"/>
      <w:szCs w:val="24"/>
      <w:lang w:val="en-GB" w:eastAsia="en-GB"/>
    </w:rPr>
  </w:style>
  <w:style w:type="character" w:customStyle="1" w:styleId="Ttulo1Car">
    <w:name w:val="Título 1 Car"/>
    <w:basedOn w:val="Fuentedeprrafopredeter"/>
    <w:link w:val="Ttulo1"/>
    <w:rsid w:val="00FE0BD8"/>
    <w:rPr>
      <w:rFonts w:asciiTheme="majorHAnsi" w:eastAsiaTheme="majorEastAsia" w:hAnsiTheme="majorHAnsi" w:cstheme="majorBidi"/>
      <w:b/>
      <w:sz w:val="32"/>
      <w:szCs w:val="32"/>
      <w:lang w:val="en-GB" w:eastAsia="en-GB"/>
    </w:rPr>
  </w:style>
  <w:style w:type="character" w:customStyle="1" w:styleId="Ttulo2Car">
    <w:name w:val="Título 2 Car"/>
    <w:basedOn w:val="Fuentedeprrafopredeter"/>
    <w:link w:val="Ttu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autoRedefine/>
    <w:rsid w:val="002574D1"/>
    <w:pPr>
      <w:numPr>
        <w:numId w:val="2"/>
      </w:numPr>
    </w:pPr>
    <w:rPr>
      <w:b/>
      <w:sz w:val="28"/>
    </w:rPr>
  </w:style>
  <w:style w:type="character" w:customStyle="1" w:styleId="Title1Char">
    <w:name w:val="Title 1 Char"/>
    <w:basedOn w:val="Fuentedeprrafopredeter"/>
    <w:link w:val="Title1"/>
    <w:rsid w:val="003C4EB5"/>
    <w:rPr>
      <w:rFonts w:eastAsiaTheme="majorEastAsia" w:cstheme="minorHAnsi"/>
      <w:b/>
      <w:sz w:val="28"/>
      <w:szCs w:val="22"/>
      <w:lang w:val="en-GB" w:eastAsia="en-GB"/>
    </w:rPr>
  </w:style>
  <w:style w:type="paragraph" w:styleId="Prrafodelista">
    <w:name w:val="List Paragraph"/>
    <w:aliases w:val="Paragraphe EI,Paragraphe de liste1,EC,Paragraphe de liste,Normal Nivel 1,List Paragraph Main,List first level,List Paragraph_Sections"/>
    <w:basedOn w:val="Normal"/>
    <w:link w:val="Prrafodelista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rrafodelista"/>
    <w:link w:val="Title3Char"/>
    <w:autoRedefine/>
    <w:rsid w:val="002574D1"/>
    <w:pPr>
      <w:numPr>
        <w:ilvl w:val="3"/>
        <w:numId w:val="2"/>
      </w:numPr>
    </w:pPr>
  </w:style>
  <w:style w:type="character" w:customStyle="1" w:styleId="Title3Char">
    <w:name w:val="Title 3 Char"/>
    <w:basedOn w:val="Fuentedeprrafopredeter"/>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Fuentedeprrafopredeter"/>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sz w:val="24"/>
      <w:szCs w:val="22"/>
      <w:lang w:val="en-GB" w:eastAsia="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rsid w:val="00AA054E"/>
    <w:rPr>
      <w:rFonts w:asciiTheme="majorHAnsi" w:eastAsiaTheme="majorEastAsia" w:hAnsiTheme="majorHAnsi" w:cstheme="majorBidi"/>
      <w:i/>
      <w:iCs/>
      <w:color w:val="44546A" w:themeColor="text2"/>
      <w:sz w:val="21"/>
      <w:szCs w:val="21"/>
      <w:lang w:val="en-GB" w:eastAsia="en-GB"/>
    </w:rPr>
  </w:style>
  <w:style w:type="paragraph" w:styleId="Ttulo">
    <w:name w:val="Title"/>
    <w:basedOn w:val="Normal"/>
    <w:next w:val="Normal"/>
    <w:link w:val="Ttulo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tuloCar">
    <w:name w:val="Título Car"/>
    <w:basedOn w:val="Fuentedeprrafopredeter"/>
    <w:link w:val="Ttu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tulo">
    <w:name w:val="Subtitle"/>
    <w:basedOn w:val="Normal"/>
    <w:next w:val="Normal"/>
    <w:link w:val="SubttuloCar"/>
    <w:uiPriority w:val="11"/>
    <w:qFormat/>
    <w:rsid w:val="00366D42"/>
    <w:pPr>
      <w:numPr>
        <w:ilvl w:val="1"/>
      </w:numPr>
    </w:pPr>
    <w:rPr>
      <w:rFonts w:asciiTheme="majorHAnsi" w:eastAsiaTheme="majorEastAsia" w:hAnsiTheme="majorHAnsi" w:cstheme="majorBidi"/>
      <w:b/>
      <w:sz w:val="28"/>
    </w:rPr>
  </w:style>
  <w:style w:type="character" w:customStyle="1" w:styleId="SubttuloCar">
    <w:name w:val="Subtítulo Car"/>
    <w:basedOn w:val="Fuentedeprrafopredeter"/>
    <w:link w:val="Subttulo"/>
    <w:uiPriority w:val="11"/>
    <w:rsid w:val="00366D42"/>
    <w:rPr>
      <w:rFonts w:asciiTheme="majorHAnsi" w:eastAsiaTheme="majorEastAsia" w:hAnsiTheme="majorHAnsi" w:cstheme="majorBidi"/>
      <w:b/>
      <w:sz w:val="28"/>
      <w:szCs w:val="24"/>
      <w:lang w:val="en-GB"/>
    </w:rPr>
  </w:style>
  <w:style w:type="character" w:customStyle="1" w:styleId="Ttulo7Car">
    <w:name w:val="Título 7 Car"/>
    <w:basedOn w:val="Fuentedeprrafopredeter"/>
    <w:link w:val="Ttu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tulo8Car">
    <w:name w:val="Título 8 Car"/>
    <w:basedOn w:val="Fuentedeprrafopredeter"/>
    <w:link w:val="Ttulo8"/>
    <w:rsid w:val="00AA054E"/>
    <w:rPr>
      <w:rFonts w:asciiTheme="majorHAnsi" w:eastAsiaTheme="majorEastAsia" w:hAnsiTheme="majorHAnsi" w:cstheme="majorBidi"/>
      <w:b/>
      <w:bCs/>
      <w:color w:val="44546A" w:themeColor="text2"/>
      <w:sz w:val="24"/>
      <w:szCs w:val="24"/>
      <w:lang w:val="en-GB" w:eastAsia="en-GB"/>
    </w:rPr>
  </w:style>
  <w:style w:type="character" w:customStyle="1" w:styleId="Ttulo9Car">
    <w:name w:val="Título 9 Car"/>
    <w:basedOn w:val="Fuentedeprrafopredeter"/>
    <w:link w:val="Ttulo9"/>
    <w:rsid w:val="00AA054E"/>
    <w:rPr>
      <w:rFonts w:asciiTheme="majorHAnsi" w:eastAsiaTheme="majorEastAsia" w:hAnsiTheme="majorHAnsi" w:cstheme="majorBidi"/>
      <w:b/>
      <w:bCs/>
      <w:i/>
      <w:iCs/>
      <w:color w:val="44546A" w:themeColor="text2"/>
      <w:sz w:val="24"/>
      <w:szCs w:val="24"/>
      <w:lang w:val="en-GB" w:eastAsia="en-GB"/>
    </w:rPr>
  </w:style>
  <w:style w:type="paragraph" w:styleId="Descripcin">
    <w:name w:val="caption"/>
    <w:basedOn w:val="Normal"/>
    <w:next w:val="Normal"/>
    <w:uiPriority w:val="35"/>
    <w:semiHidden/>
    <w:unhideWhenUsed/>
    <w:qFormat/>
    <w:rsid w:val="00AA054E"/>
    <w:rPr>
      <w:b/>
      <w:bCs/>
      <w:smallCaps/>
      <w:color w:val="595959"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AA054E"/>
    <w:rPr>
      <w:i/>
      <w:iCs/>
      <w:color w:val="404040" w:themeColor="text1" w:themeTint="BF"/>
    </w:rPr>
  </w:style>
  <w:style w:type="paragraph" w:styleId="Citadestacada">
    <w:name w:val="Intense Quote"/>
    <w:basedOn w:val="Normal"/>
    <w:next w:val="Normal"/>
    <w:link w:val="Citadestacada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5B9BD5" w:themeColor="accent1"/>
      <w:sz w:val="28"/>
      <w:szCs w:val="28"/>
    </w:rPr>
  </w:style>
  <w:style w:type="character" w:styleId="nfasissutil">
    <w:name w:val="Subtle Emphasis"/>
    <w:aliases w:val="Text,Emphase pâle,Diskret betoning"/>
    <w:basedOn w:val="Fuentedeprrafopredeter"/>
    <w:uiPriority w:val="19"/>
    <w:qFormat/>
    <w:rsid w:val="00287C8F"/>
    <w:rPr>
      <w:rFonts w:asciiTheme="majorHAnsi" w:hAnsiTheme="majorHAnsi"/>
      <w:i/>
      <w:iCs/>
      <w:color w:val="auto"/>
      <w:sz w:val="22"/>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AA054E"/>
    <w:p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7E7997"/>
    <w:pPr>
      <w:tabs>
        <w:tab w:val="center" w:pos="4536"/>
        <w:tab w:val="right" w:pos="9072"/>
      </w:tabs>
    </w:pPr>
  </w:style>
  <w:style w:type="character" w:customStyle="1" w:styleId="EncabezadoCar">
    <w:name w:val="Encabezado Car"/>
    <w:basedOn w:val="Fuentedeprrafopredeter"/>
    <w:link w:val="Encabezado"/>
    <w:rsid w:val="007E7997"/>
    <w:rPr>
      <w:sz w:val="22"/>
    </w:rPr>
  </w:style>
  <w:style w:type="paragraph" w:styleId="Piedepgina">
    <w:name w:val="footer"/>
    <w:basedOn w:val="Normal"/>
    <w:link w:val="PiedepginaCar"/>
    <w:uiPriority w:val="99"/>
    <w:unhideWhenUsed/>
    <w:rsid w:val="007E7997"/>
    <w:pPr>
      <w:tabs>
        <w:tab w:val="center" w:pos="4536"/>
        <w:tab w:val="right" w:pos="9072"/>
      </w:tabs>
    </w:pPr>
  </w:style>
  <w:style w:type="character" w:customStyle="1" w:styleId="PiedepginaCar">
    <w:name w:val="Pie de página Car"/>
    <w:basedOn w:val="Fuentedeprrafopredeter"/>
    <w:link w:val="Piedepgina"/>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DC1">
    <w:name w:val="toc 1"/>
    <w:basedOn w:val="Normal"/>
    <w:next w:val="Normal"/>
    <w:autoRedefine/>
    <w:uiPriority w:val="39"/>
    <w:unhideWhenUsed/>
    <w:rsid w:val="00B81A44"/>
    <w:pPr>
      <w:tabs>
        <w:tab w:val="left" w:pos="440"/>
        <w:tab w:val="right" w:leader="dot" w:pos="9062"/>
      </w:tabs>
      <w:spacing w:after="100"/>
    </w:pPr>
  </w:style>
  <w:style w:type="paragraph" w:styleId="TDC2">
    <w:name w:val="toc 2"/>
    <w:basedOn w:val="Normal"/>
    <w:next w:val="Normal"/>
    <w:autoRedefine/>
    <w:uiPriority w:val="39"/>
    <w:unhideWhenUsed/>
    <w:rsid w:val="00BC422A"/>
    <w:pPr>
      <w:spacing w:after="100"/>
      <w:ind w:left="220"/>
    </w:pPr>
  </w:style>
  <w:style w:type="paragraph" w:styleId="TDC3">
    <w:name w:val="toc 3"/>
    <w:basedOn w:val="Normal"/>
    <w:next w:val="Normal"/>
    <w:autoRedefine/>
    <w:uiPriority w:val="39"/>
    <w:unhideWhenUsed/>
    <w:rsid w:val="00BC422A"/>
    <w:pPr>
      <w:spacing w:after="100"/>
      <w:ind w:left="440"/>
    </w:pPr>
  </w:style>
  <w:style w:type="character" w:styleId="Hipervnculo">
    <w:name w:val="Hyperlink"/>
    <w:basedOn w:val="Fuentedeprrafopredeter"/>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Fuentedeprrafopredeter"/>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semiHidden/>
    <w:unhideWhenUsed/>
    <w:qFormat/>
    <w:rsid w:val="006F53E8"/>
    <w:rPr>
      <w:sz w:val="16"/>
    </w:rPr>
  </w:style>
  <w:style w:type="character" w:customStyle="1" w:styleId="TextonotapieCar">
    <w:name w:val="Texto nota pie Car"/>
    <w:basedOn w:val="Fuentedeprrafopredeter"/>
    <w:link w:val="Textonotapie"/>
    <w:uiPriority w:val="99"/>
    <w:semiHidden/>
    <w:rsid w:val="006F53E8"/>
    <w:rPr>
      <w:sz w:val="16"/>
      <w:lang w:val="en-GB"/>
    </w:rPr>
  </w:style>
  <w:style w:type="character" w:styleId="Refdenotaalpie">
    <w:name w:val="footnote reference"/>
    <w:aliases w:val="SUPERS,Footnote reference number,Footnote symbol,note TESI,-E Fußnotenzeichen,number,BVI fnr,Footnote Reference Superscript,(Footnote Reference),EN Footnote Reference,Voetnootverwijzing,Times 10 Point,Exposant 3 Poi,16 Point, BVI fnr"/>
    <w:basedOn w:val="Fuentedeprrafopredeter"/>
    <w:uiPriority w:val="99"/>
    <w:unhideWhenUsed/>
    <w:qFormat/>
    <w:rsid w:val="00A91D91"/>
    <w:rPr>
      <w:rFonts w:asciiTheme="majorHAnsi" w:hAnsiTheme="majorHAnsi"/>
      <w:sz w:val="16"/>
      <w:vertAlign w:val="superscript"/>
    </w:rPr>
  </w:style>
  <w:style w:type="paragraph" w:customStyle="1" w:styleId="Footnote">
    <w:name w:val="Footnote"/>
    <w:basedOn w:val="Textonotapie"/>
    <w:link w:val="FootnoteChar"/>
    <w:rsid w:val="00B50534"/>
    <w:rPr>
      <w:lang w:val="nl-BE"/>
    </w:rPr>
  </w:style>
  <w:style w:type="character" w:customStyle="1" w:styleId="FootnoteChar">
    <w:name w:val="Footnote Char"/>
    <w:basedOn w:val="TextonotapieCar"/>
    <w:link w:val="Footnote"/>
    <w:rsid w:val="00B50534"/>
    <w:rPr>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odeglobo">
    <w:name w:val="Balloon Text"/>
    <w:basedOn w:val="Normal"/>
    <w:link w:val="TextodegloboCar"/>
    <w:uiPriority w:val="99"/>
    <w:semiHidden/>
    <w:unhideWhenUsed/>
    <w:rsid w:val="003C16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67E"/>
    <w:rPr>
      <w:rFonts w:ascii="Tahoma" w:hAnsi="Tahoma" w:cs="Tahoma"/>
      <w:sz w:val="16"/>
      <w:szCs w:val="16"/>
      <w:lang w:val="en-GB"/>
    </w:rPr>
  </w:style>
  <w:style w:type="character" w:styleId="Refdecomentario">
    <w:name w:val="annotation reference"/>
    <w:basedOn w:val="Fuentedeprrafopredeter"/>
    <w:uiPriority w:val="99"/>
    <w:semiHidden/>
    <w:unhideWhenUsed/>
    <w:rsid w:val="00FA2400"/>
    <w:rPr>
      <w:sz w:val="16"/>
      <w:szCs w:val="16"/>
    </w:rPr>
  </w:style>
  <w:style w:type="paragraph" w:styleId="Textocomentario">
    <w:name w:val="annotation text"/>
    <w:basedOn w:val="Normal"/>
    <w:link w:val="TextocomentarioCar"/>
    <w:uiPriority w:val="99"/>
    <w:unhideWhenUsed/>
    <w:rsid w:val="00FA2400"/>
    <w:rPr>
      <w:sz w:val="20"/>
    </w:rPr>
  </w:style>
  <w:style w:type="character" w:customStyle="1" w:styleId="TextocomentarioCar">
    <w:name w:val="Texto comentario Car"/>
    <w:basedOn w:val="Fuentedeprrafopredeter"/>
    <w:link w:val="Textocomentario"/>
    <w:uiPriority w:val="99"/>
    <w:rsid w:val="00FA2400"/>
    <w:rPr>
      <w:lang w:val="en-GB"/>
    </w:rPr>
  </w:style>
  <w:style w:type="paragraph" w:styleId="Asuntodelcomentario">
    <w:name w:val="annotation subject"/>
    <w:basedOn w:val="Textocomentario"/>
    <w:next w:val="Textocomentario"/>
    <w:link w:val="AsuntodelcomentarioCar"/>
    <w:uiPriority w:val="99"/>
    <w:semiHidden/>
    <w:unhideWhenUsed/>
    <w:rsid w:val="00FA2400"/>
    <w:rPr>
      <w:b/>
      <w:bCs/>
    </w:rPr>
  </w:style>
  <w:style w:type="character" w:customStyle="1" w:styleId="AsuntodelcomentarioCar">
    <w:name w:val="Asunto del comentario Car"/>
    <w:basedOn w:val="TextocomentarioCar"/>
    <w:link w:val="Asuntodelcomentario"/>
    <w:uiPriority w:val="99"/>
    <w:semiHidden/>
    <w:rsid w:val="00FA2400"/>
    <w:rPr>
      <w:b/>
      <w:bCs/>
      <w:lang w:val="en-GB"/>
    </w:rPr>
  </w:style>
  <w:style w:type="paragraph" w:styleId="Revisi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Hipervnculovisitado">
    <w:name w:val="FollowedHyperlink"/>
    <w:basedOn w:val="Fuentedeprrafopredeter"/>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Fuentedeprrafopredeter"/>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aragraphe EI Car,Paragraphe de liste1 Car,EC Car,Paragraphe de liste Car,Normal Nivel 1 Car,List Paragraph Main Car,List first level Car,List Paragraph_Sections Car"/>
    <w:basedOn w:val="Fuentedeprrafopredeter"/>
    <w:link w:val="Prrafodelista"/>
    <w:uiPriority w:val="34"/>
    <w:rsid w:val="00695AF2"/>
    <w:rPr>
      <w:rFonts w:eastAsiaTheme="majorEastAsia" w:cstheme="minorHAnsi"/>
      <w:sz w:val="22"/>
      <w:szCs w:val="22"/>
      <w:lang w:val="en-GB" w:eastAsia="en-GB"/>
    </w:rPr>
  </w:style>
  <w:style w:type="table" w:customStyle="1" w:styleId="TableGrid3">
    <w:name w:val="Table Grid3"/>
    <w:basedOn w:val="Tabla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Textoennegrita"/>
    <w:uiPriority w:val="1"/>
    <w:qFormat/>
    <w:rsid w:val="00FA64BE"/>
    <w:rPr>
      <w:b w:val="0"/>
      <w:bCs/>
      <w:caps/>
      <w:smallCaps w:val="0"/>
      <w:color w:val="70AD47" w:themeColor="accent6"/>
      <w:sz w:val="22"/>
    </w:rPr>
  </w:style>
  <w:style w:type="paragraph" w:customStyle="1" w:styleId="Default">
    <w:name w:val="Default"/>
    <w:rsid w:val="000E7022"/>
    <w:pPr>
      <w:autoSpaceDE w:val="0"/>
      <w:autoSpaceDN w:val="0"/>
      <w:adjustRightInd w:val="0"/>
      <w:spacing w:after="0" w:line="240" w:lineRule="auto"/>
    </w:pPr>
    <w:rPr>
      <w:rFonts w:ascii="Arial" w:eastAsiaTheme="minorHAnsi" w:hAnsi="Arial" w:cs="Arial"/>
      <w:color w:val="000000"/>
      <w:sz w:val="24"/>
      <w:szCs w:val="24"/>
      <w:lang w:val="es-ES"/>
    </w:rPr>
  </w:style>
  <w:style w:type="paragraph" w:customStyle="1" w:styleId="m851433421395175182msolistparagraph">
    <w:name w:val="m_851433421395175182msolistparagraph"/>
    <w:basedOn w:val="Normal"/>
    <w:rsid w:val="00DE068E"/>
    <w:pPr>
      <w:spacing w:before="100" w:beforeAutospacing="1" w:after="100" w:afterAutospacing="1"/>
    </w:pPr>
    <w:rPr>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s://www.geeksforgeeks.org/crypto%20graphic-consensus-mechanisms-in-blockchai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arxiv.org/pdf/1901.0716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1</TotalTime>
  <Pages>32</Pages>
  <Words>9124</Words>
  <Characters>50185</Characters>
  <Application>Microsoft Office Word</Application>
  <DocSecurity>8</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Daniela Corredor</cp:lastModifiedBy>
  <cp:revision>2</cp:revision>
  <cp:lastPrinted>2017-07-24T14:47:00Z</cp:lastPrinted>
  <dcterms:created xsi:type="dcterms:W3CDTF">2023-12-14T21:16:00Z</dcterms:created>
  <dcterms:modified xsi:type="dcterms:W3CDTF">2023-12-14T21:16:00Z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