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035F3C6F" w:rsidR="00C85C8B" w:rsidRPr="00B16706" w:rsidRDefault="00127145" w:rsidP="00C85C8B">
                <w:pPr>
                  <w:rPr>
                    <w:rFonts w:ascii="Arial" w:hAnsi="Arial" w:cs="Arial"/>
                    <w:color w:val="808080"/>
                    <w:sz w:val="16"/>
                    <w:szCs w:val="20"/>
                    <w:lang w:eastAsia="de-DE"/>
                  </w:rPr>
                </w:pPr>
                <w:r w:rsidRPr="00127145">
                  <w:rPr>
                    <w:rFonts w:ascii="Arial" w:hAnsi="Arial" w:cs="Arial"/>
                    <w:color w:val="808080"/>
                    <w:sz w:val="16"/>
                    <w:szCs w:val="20"/>
                    <w:lang w:eastAsia="de-DE"/>
                  </w:rPr>
                  <w:t>Crypto Carbon Ratings Institute (CCRI)</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21A30A2"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5F7F6F">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5624BFB2" w:rsidR="00C85C8B" w:rsidRPr="00B16706" w:rsidRDefault="00127145"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31F6E42C" w14:textId="77777777" w:rsidR="00127145" w:rsidRDefault="00127145" w:rsidP="00127145">
      <w:permStart w:id="212889190" w:edGrp="everyone"/>
      <w:r>
        <w:t>Yes – we think the proposed RTS is very well designed to achieve its purpose. Support inquiries we have received already from token issuers and CASPs – and others not directly covered by the MiCA regulation – underpin the impact it will have to improve transparency on climate and environmental impacts of crypto-assets.</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0E927F3B" w14:textId="77777777" w:rsidR="00127145" w:rsidRDefault="00127145" w:rsidP="00127145">
      <w:permStart w:id="1220439445" w:edGrp="everyone"/>
      <w:r>
        <w:t xml:space="preserve">The most important feature is the mechanism to achieve consensus and validate transactions and ownership and the associated incentive structures. Incentive structures for network participants differ significantly between consensus families such as </w:t>
      </w:r>
      <w:proofErr w:type="spellStart"/>
      <w:r>
        <w:t>PoW</w:t>
      </w:r>
      <w:proofErr w:type="spellEnd"/>
      <w:r>
        <w:t xml:space="preserve"> vs. PoS vs. </w:t>
      </w:r>
      <w:r w:rsidRPr="00AD19B2">
        <w:t>other consensus mechanisms.</w:t>
      </w:r>
      <w:r>
        <w:t xml:space="preserve"> For </w:t>
      </w:r>
      <w:proofErr w:type="spellStart"/>
      <w:r>
        <w:t>PoW</w:t>
      </w:r>
      <w:proofErr w:type="spellEnd"/>
      <w:r>
        <w:t xml:space="preserve"> networks, block subsidies and transaction fees are the two sources of income for miners that they can spend on electricity and mining hardware. For PoS networks, total node counts and transaction volumes are the two key drivers of network electricity consumption, carbon emissions, e-waste,</w:t>
      </w:r>
      <w:r w:rsidRPr="00C43C1A">
        <w:t xml:space="preserve"> </w:t>
      </w:r>
      <w:r>
        <w:t xml:space="preserve">etc. </w:t>
      </w:r>
      <w:r w:rsidRPr="00AD19B2">
        <w:t xml:space="preserve">For other consensus mechanisms, key drivers highly depend on the respective technical specification. </w:t>
      </w:r>
      <w:r>
        <w:t xml:space="preserve">For Layer 2 solutions, token networks and the like, the climate and environmental impacts depend on the choice of </w:t>
      </w:r>
      <w:proofErr w:type="spellStart"/>
      <w:r>
        <w:t>baselayers</w:t>
      </w:r>
      <w:proofErr w:type="spellEnd"/>
      <w:r>
        <w:t xml:space="preserve"> and respective activities on those </w:t>
      </w:r>
      <w:proofErr w:type="spellStart"/>
      <w:r>
        <w:t>baselayers</w:t>
      </w:r>
      <w:proofErr w:type="spellEnd"/>
      <w:r>
        <w:t xml:space="preserve"> in terms of transactions and coin holdings.</w:t>
      </w:r>
    </w:p>
    <w:p w14:paraId="2527A153" w14:textId="77777777" w:rsidR="00127145" w:rsidRDefault="00127145" w:rsidP="00127145"/>
    <w:p w14:paraId="7C64AB0A" w14:textId="77777777" w:rsidR="00127145" w:rsidRDefault="00127145" w:rsidP="00127145">
      <w:r>
        <w:t xml:space="preserve">In </w:t>
      </w:r>
      <w:proofErr w:type="spellStart"/>
      <w:r>
        <w:t>PoW</w:t>
      </w:r>
      <w:proofErr w:type="spellEnd"/>
      <w:r>
        <w:t xml:space="preserve"> networks, we can estimate the climate and environmental impacts of all DLT network nodes via economic models. We know the total incentives provided by the network, hardware energy-efficiencies, and can approximate node locations on country/state-level.</w:t>
      </w:r>
    </w:p>
    <w:p w14:paraId="3D02A02F" w14:textId="77777777" w:rsidR="00127145" w:rsidRDefault="00127145" w:rsidP="00127145"/>
    <w:p w14:paraId="28C8072A" w14:textId="77777777" w:rsidR="00127145" w:rsidRDefault="00127145" w:rsidP="00127145">
      <w:r>
        <w:t>In PoS networks, we can measure the energy efficiency of single nodes on appropriate hardware (given the different hardware requirements of networks) and model the climate and environmental impacts of the total network – as we can obtain data for total node counts and their locations bottom-up.</w:t>
      </w:r>
    </w:p>
    <w:p w14:paraId="1CC792CD" w14:textId="77777777" w:rsidR="00127145" w:rsidRDefault="00127145" w:rsidP="00127145"/>
    <w:p w14:paraId="4DBB8A41" w14:textId="727322D9" w:rsidR="00127145" w:rsidRPr="00C43C1A" w:rsidRDefault="00127145" w:rsidP="00127145">
      <w:r>
        <w:t>In L2 networks we can assess the sustainability impact of the respective network (</w:t>
      </w:r>
      <w:proofErr w:type="gramStart"/>
      <w:r>
        <w:t>similar to</w:t>
      </w:r>
      <w:proofErr w:type="gramEnd"/>
      <w:r>
        <w:t xml:space="preserve"> PoS networks) and calculate the fair share of sustainability impacts caused by using a </w:t>
      </w:r>
      <w:proofErr w:type="spellStart"/>
      <w:r>
        <w:t>baselayer</w:t>
      </w:r>
      <w:proofErr w:type="spellEnd"/>
      <w:r>
        <w:t xml:space="preserve"> network. We can do the same for stablecoins and other tokens that rely on </w:t>
      </w:r>
      <w:proofErr w:type="spellStart"/>
      <w:r>
        <w:t>baselayer</w:t>
      </w:r>
      <w:proofErr w:type="spellEnd"/>
      <w:r>
        <w:t>(s).</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lastRenderedPageBreak/>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7684B1A2" w14:textId="77777777" w:rsidR="00127145" w:rsidRDefault="00127145" w:rsidP="00127145">
      <w:permStart w:id="731276388" w:edGrp="everyone"/>
      <w:r>
        <w:t>Yes.</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793216D2" w14:textId="77777777" w:rsidR="00127145" w:rsidRDefault="00127145" w:rsidP="00127145">
      <w:permStart w:id="1601982568" w:edGrp="everyone"/>
      <w:r>
        <w:t xml:space="preserve">Yes. There are </w:t>
      </w:r>
      <w:proofErr w:type="spellStart"/>
      <w:r>
        <w:t>methodologyies</w:t>
      </w:r>
      <w:proofErr w:type="spellEnd"/>
      <w:r>
        <w:t xml:space="preserve"> from almost a decade of academic research on sustainability impacts of crypto-assets available and the central repository of whitepapers will facilitate reporting further. If there are still data gaps (i.e. in cases where whitepapers are absent) proper estimates may be a fallback.</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406360D9" w14:textId="77777777" w:rsidR="00127145" w:rsidRDefault="00127145" w:rsidP="00127145">
      <w:permStart w:id="480602896" w:edGrp="everyone"/>
      <w:r>
        <w:t xml:space="preserve">It is definitely feasible to track the mandatory and voluntary indicators. We at CCRI already today track the </w:t>
      </w:r>
      <w:proofErr w:type="gramStart"/>
      <w:r>
        <w:t>all mandatory</w:t>
      </w:r>
      <w:proofErr w:type="gramEnd"/>
      <w:r>
        <w:t xml:space="preserve"> indicators proposed in the consultation package on a daily basis for 27 crypto-assets. We recently supported Polygon (a Layer 2 network using a PoS consensus mechanism and running on Ethereum as a </w:t>
      </w:r>
      <w:proofErr w:type="spellStart"/>
      <w:r>
        <w:t>baselayer</w:t>
      </w:r>
      <w:proofErr w:type="spellEnd"/>
      <w:r>
        <w:t xml:space="preserve">) to build a web dashboard to display the mandatory indicators, which is already live: </w:t>
      </w:r>
      <w:hyperlink r:id="rId20" w:history="1">
        <w:r w:rsidRPr="00FA5827">
          <w:rPr>
            <w:rStyle w:val="Hyperlink"/>
          </w:rPr>
          <w:t>https://green.polygon.technology/mica-compliance</w:t>
        </w:r>
      </w:hyperlink>
    </w:p>
    <w:p w14:paraId="3F874AF6" w14:textId="77777777" w:rsidR="00127145" w:rsidRDefault="00127145" w:rsidP="00127145"/>
    <w:p w14:paraId="445388F2" w14:textId="77777777" w:rsidR="00127145" w:rsidRDefault="00127145" w:rsidP="00127145">
      <w:r>
        <w:t>The costs associated with calculating and tracking the indicators are very minor in absolute terms and relative to the financial capabilities of relevant token issuers and CASPs. Furthermore, we offer access to our data set at reasonable fees (to cover part of our costs) and have special discounts for small players and start-ups as well as free data access for researchers, regulators, policymakers, and media.</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5D9C2031" w14:textId="77777777" w:rsidR="00127145" w:rsidRPr="00C43C1A" w:rsidRDefault="00127145" w:rsidP="00127145">
      <w:permStart w:id="74328323" w:edGrp="everyone"/>
      <w:r w:rsidRPr="00C43C1A">
        <w:t>Yes</w:t>
      </w:r>
      <w:r>
        <w:t>.</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lastRenderedPageBreak/>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4F0029D3" w14:textId="77777777" w:rsidR="00127145" w:rsidRPr="00C43C1A" w:rsidRDefault="00127145" w:rsidP="00127145">
      <w:permStart w:id="900805085" w:edGrp="everyone"/>
      <w:r w:rsidRPr="00C43C1A">
        <w:t>Yes.</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0F7D0061" w14:textId="77777777" w:rsidR="00127145" w:rsidRDefault="00127145" w:rsidP="00127145">
      <w:permStart w:id="1293448415" w:edGrp="everyone"/>
      <w:r>
        <w:t xml:space="preserve">The list of mandatory indicators is a very good starting point. In our opinion, the last mandatory indicator (“Impact of the use of equipment on natural resources”) could be defined more clearly to improve the comparability. For instance, the water use indicator from Table 2 on voluntary indicators could be a valuable addition to the mandatory list in a future revision to ensure </w:t>
      </w:r>
      <w:proofErr w:type="gramStart"/>
      <w:r>
        <w:t>covering also</w:t>
      </w:r>
      <w:proofErr w:type="gramEnd"/>
      <w:r>
        <w:t xml:space="preserve"> this environmental domain in a comparable and transparent manner which is gaining importance in this context.</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28506889" w14:textId="77777777" w:rsidR="00127145" w:rsidRDefault="00127145" w:rsidP="00127145">
      <w:permStart w:id="891972062" w:edGrp="everyone"/>
      <w:r>
        <w:t>Yes. The crypto-asset industry has the benefit of full transparency and easy data access due to the technical features of blockchain, and therefore, can set a positive example for other industries where data collection is more challenging.</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16633CDA" w14:textId="77777777" w:rsidR="00127145" w:rsidRDefault="00127145" w:rsidP="00127145">
      <w:permStart w:id="576606981" w:edGrp="everyone"/>
      <w:r>
        <w:t>Some CASPs where confused by the terms “Scope 1", "Scope 2” and “Scope 3”– as they thought it refers to their own corporate carbon accounting scopes. To avoid such confusion, it might be beneficial to not split up emissions into scopes but to rather specify that those indicators refer to the GHG emissions of the crypto-asset network infrastructure (similarly as it is the case for the energy consumption). Note: A corporate carbon accounting obligation for CASPs to report their Scope 1-3 emissions could be an interesting addition in a future revision in case the CASPs are not covered by other sustainability disclosure mandates (such as the EU Corporate Sustainability Reporting Directive).</w:t>
      </w:r>
    </w:p>
    <w:p w14:paraId="782238C1" w14:textId="77777777" w:rsidR="00127145" w:rsidRDefault="00127145" w:rsidP="00127145"/>
    <w:p w14:paraId="53E841D8" w14:textId="77777777" w:rsidR="00127145" w:rsidRDefault="00127145" w:rsidP="00127145">
      <w:r>
        <w:lastRenderedPageBreak/>
        <w:t xml:space="preserve">Furthermore, we would suggest </w:t>
      </w:r>
      <w:proofErr w:type="gramStart"/>
      <w:r>
        <w:t>to specify/change</w:t>
      </w:r>
      <w:proofErr w:type="gramEnd"/>
      <w:r>
        <w:t xml:space="preserve"> the name of the mandatory “Energy intensity” and “GHG intensity”, e.g., with “Energy consumption per transaction” and “GHG emissions per transaction”. This could help to avoid confusion with the network carbon intensity which is usually denoted in kgCO2e/kWh and already included in the list of voluntary indicators.</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409AB924" w14:textId="77777777" w:rsidR="00127145" w:rsidRPr="008515CD" w:rsidRDefault="00127145" w:rsidP="00127145">
      <w:permStart w:id="48771598" w:edGrp="everyone"/>
      <w:r w:rsidRPr="008515CD">
        <w:t xml:space="preserve">We would suggest one addition/specification for </w:t>
      </w:r>
      <w:r>
        <w:t xml:space="preserve">the calculation </w:t>
      </w:r>
      <w:proofErr w:type="spellStart"/>
      <w:r>
        <w:t>methodologeis</w:t>
      </w:r>
      <w:proofErr w:type="spellEnd"/>
      <w:r>
        <w:t xml:space="preserve"> for </w:t>
      </w:r>
      <w:r w:rsidRPr="008515CD">
        <w:t xml:space="preserve">networks and tokens other than Layer 1s. </w:t>
      </w:r>
    </w:p>
    <w:p w14:paraId="0ABD6469" w14:textId="77777777" w:rsidR="00127145" w:rsidRPr="008515CD" w:rsidRDefault="00127145" w:rsidP="00127145"/>
    <w:p w14:paraId="1EC1CAD1" w14:textId="77777777" w:rsidR="00127145" w:rsidRPr="008515CD" w:rsidRDefault="00127145" w:rsidP="00127145">
      <w:r w:rsidRPr="008515CD">
        <w:t xml:space="preserve">Firstly, Layer 2 networks should disclose the sustainability indicators for their network as well as “their share” of the total climate and environmental impacts of the </w:t>
      </w:r>
      <w:proofErr w:type="spellStart"/>
      <w:r w:rsidRPr="008515CD">
        <w:t>baselayers</w:t>
      </w:r>
      <w:proofErr w:type="spellEnd"/>
      <w:r w:rsidRPr="008515CD">
        <w:t xml:space="preserve"> they use (instead of the total impacts of the </w:t>
      </w:r>
      <w:proofErr w:type="spellStart"/>
      <w:r w:rsidRPr="008515CD">
        <w:t>baselayers</w:t>
      </w:r>
      <w:proofErr w:type="spellEnd"/>
      <w:r w:rsidRPr="008515CD">
        <w:t xml:space="preserve">). The share may be calculated via their individual share of coin holdings and transactions. </w:t>
      </w:r>
    </w:p>
    <w:p w14:paraId="0B8E7006" w14:textId="77777777" w:rsidR="00127145" w:rsidRPr="008515CD" w:rsidRDefault="00127145" w:rsidP="00127145"/>
    <w:p w14:paraId="726C3D37" w14:textId="77777777" w:rsidR="00127145" w:rsidRDefault="00127145" w:rsidP="00127145">
      <w:r w:rsidRPr="008515CD">
        <w:t xml:space="preserve">Secondly, certain tokens may be available natively on multiple </w:t>
      </w:r>
      <w:proofErr w:type="spellStart"/>
      <w:r w:rsidRPr="008515CD">
        <w:t>baselayers</w:t>
      </w:r>
      <w:proofErr w:type="spellEnd"/>
      <w:r w:rsidRPr="008515CD">
        <w:t xml:space="preserve"> and additional may be bridged to further chains. To facilitate the calculation of the indicators for respective tokens, we suggest a materiality assessment is such cases. E.g. include all natively available tokens AND bridged tokens in case those account for a significant share of the total token supply.</w:t>
      </w:r>
    </w:p>
    <w:p w14:paraId="3D75592C" w14:textId="77777777" w:rsidR="00127145" w:rsidRDefault="00127145" w:rsidP="00127145"/>
    <w:p w14:paraId="59EABFEE" w14:textId="77777777" w:rsidR="00127145" w:rsidRPr="008515CD" w:rsidRDefault="00127145" w:rsidP="00127145">
      <w:r>
        <w:t xml:space="preserve">Additionally, we would suggest </w:t>
      </w:r>
      <w:proofErr w:type="gramStart"/>
      <w:r>
        <w:t>to align</w:t>
      </w:r>
      <w:proofErr w:type="gramEnd"/>
      <w:r>
        <w:t xml:space="preserve"> the underlying methodologies closely with common principles from carbon accounting to ensure consistency of the data presented under certain indicators. One example to illustrate this point is the “share of non-renewable energy consumption” which could be calculated by using location-based accounting (recognizing on-site renewable energy production as well as the share of renewable energy in the local grid) or by using market-based accounting (recognizing all kinds of contractual instruments such as energy attribution certificates or power purchase agreements). To avoid cherry-picking and overreliance on contractual instruments, the GHG Protocol defined the ‘dual reporting’ approach which requires to always report in accordance with location-based accounting alongside market-based accounting (for more details, please refer to the scope 2 standard of the GHG Protocol: </w:t>
      </w:r>
      <w:hyperlink r:id="rId21" w:history="1">
        <w:r w:rsidRPr="00FA5827">
          <w:rPr>
            <w:rStyle w:val="Hyperlink"/>
          </w:rPr>
          <w:t>https://ghgprotocol.org/scope-2-guidance</w:t>
        </w:r>
      </w:hyperlink>
      <w:r>
        <w:t xml:space="preserve">). Consequently, we would recommend to specifically ask for indicators based on location-based accounting for relevant indicators (i.e., share of renewable energy, </w:t>
      </w:r>
      <w:proofErr w:type="spellStart"/>
      <w:r>
        <w:t>GhG</w:t>
      </w:r>
      <w:proofErr w:type="spellEnd"/>
      <w:r>
        <w:t xml:space="preserve"> emissions, carbon intensity, recycling ratios) while also providing the opportunity to present indicators based on market-based accounting if certain quality standards of the contractual instruments are met (e.g., the RE100 initiative defined criteria for credible renewable energy claims).</w:t>
      </w:r>
    </w:p>
    <w:permEnd w:id="48771598"/>
    <w:p w14:paraId="06FB84B3" w14:textId="77777777" w:rsidR="00FA64BE" w:rsidRDefault="00FA64BE" w:rsidP="00FA64BE">
      <w:r>
        <w:lastRenderedPageBreak/>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7CC208DF" w14:textId="77777777" w:rsidR="00127145" w:rsidRPr="008515CD" w:rsidRDefault="00127145" w:rsidP="00127145">
      <w:permStart w:id="763903754" w:edGrp="everyone"/>
      <w:r w:rsidRPr="008515CD">
        <w:t xml:space="preserve">A reference list with data sources and methodology papers may be helpful for token issuers and CASPs, </w:t>
      </w:r>
      <w:proofErr w:type="gramStart"/>
      <w:r w:rsidRPr="008515CD">
        <w:t>e.g.,:</w:t>
      </w:r>
      <w:proofErr w:type="gramEnd"/>
      <w:r w:rsidRPr="008515CD">
        <w:t xml:space="preserve"> </w:t>
      </w:r>
    </w:p>
    <w:p w14:paraId="3ADB601A" w14:textId="77777777" w:rsidR="00127145" w:rsidRPr="002A3E45" w:rsidRDefault="00127145" w:rsidP="00127145"/>
    <w:p w14:paraId="0D02A07D" w14:textId="77777777" w:rsidR="00127145" w:rsidRPr="002A3E45" w:rsidRDefault="00127145" w:rsidP="00127145">
      <w:r w:rsidRPr="002A3E45">
        <w:t>Live data sources:</w:t>
      </w:r>
    </w:p>
    <w:p w14:paraId="38D3831F" w14:textId="77777777" w:rsidR="00127145" w:rsidRPr="002A3E45" w:rsidRDefault="00127145" w:rsidP="00127145">
      <w:pPr>
        <w:pStyle w:val="ListParagraph"/>
        <w:ind w:left="720"/>
        <w:jc w:val="left"/>
      </w:pPr>
      <w:r w:rsidRPr="002A3E45">
        <w:t>CCAF (Bitcoin, Ethereum)</w:t>
      </w:r>
    </w:p>
    <w:p w14:paraId="255A2071" w14:textId="77777777" w:rsidR="00127145" w:rsidRPr="002A3E45" w:rsidRDefault="00127145" w:rsidP="00127145">
      <w:pPr>
        <w:pStyle w:val="ListParagraph"/>
        <w:ind w:left="720"/>
        <w:jc w:val="left"/>
      </w:pPr>
      <w:proofErr w:type="spellStart"/>
      <w:r w:rsidRPr="002A3E45">
        <w:t>Digiconomist</w:t>
      </w:r>
      <w:proofErr w:type="spellEnd"/>
      <w:r w:rsidRPr="002A3E45">
        <w:t xml:space="preserve"> (Bitcoin, Ethereum, Litecoin)</w:t>
      </w:r>
    </w:p>
    <w:p w14:paraId="0D9B6346" w14:textId="77777777" w:rsidR="00127145" w:rsidRPr="00E14FAA" w:rsidRDefault="00127145" w:rsidP="00127145">
      <w:pPr>
        <w:pStyle w:val="ListParagraph"/>
        <w:ind w:left="720"/>
        <w:jc w:val="left"/>
        <w:rPr>
          <w:lang w:val="it-IT"/>
        </w:rPr>
      </w:pPr>
      <w:r w:rsidRPr="00E14FAA">
        <w:rPr>
          <w:lang w:val="it-IT"/>
        </w:rPr>
        <w:t xml:space="preserve">CCRI (27 </w:t>
      </w:r>
      <w:proofErr w:type="spellStart"/>
      <w:r w:rsidRPr="00E14FAA">
        <w:rPr>
          <w:lang w:val="it-IT"/>
        </w:rPr>
        <w:t>crypto</w:t>
      </w:r>
      <w:proofErr w:type="spellEnd"/>
      <w:r w:rsidRPr="00E14FAA">
        <w:rPr>
          <w:lang w:val="it-IT"/>
        </w:rPr>
        <w:t>-assets): https://indices.carbon-ratings.com</w:t>
      </w:r>
    </w:p>
    <w:p w14:paraId="1D3C2E34" w14:textId="77777777" w:rsidR="00127145" w:rsidRPr="00E14FAA" w:rsidRDefault="00127145" w:rsidP="00127145">
      <w:pPr>
        <w:rPr>
          <w:lang w:val="it-IT"/>
        </w:rPr>
      </w:pPr>
    </w:p>
    <w:p w14:paraId="28C53617" w14:textId="77777777" w:rsidR="00127145" w:rsidRPr="002A3E45" w:rsidRDefault="00127145" w:rsidP="00127145">
      <w:r w:rsidRPr="002A3E45">
        <w:t>Methodology papers:</w:t>
      </w:r>
    </w:p>
    <w:p w14:paraId="30B8E8D9" w14:textId="77777777" w:rsidR="00127145" w:rsidRPr="008515CD" w:rsidRDefault="00127145" w:rsidP="00127145">
      <w:pPr>
        <w:pStyle w:val="ListParagraph"/>
        <w:ind w:left="720"/>
        <w:jc w:val="left"/>
      </w:pPr>
      <w:proofErr w:type="gramStart"/>
      <w:r w:rsidRPr="00E14FAA">
        <w:rPr>
          <w:lang w:val="fr-CH"/>
        </w:rPr>
        <w:t>de</w:t>
      </w:r>
      <w:proofErr w:type="gramEnd"/>
      <w:r w:rsidRPr="00E14FAA">
        <w:rPr>
          <w:lang w:val="fr-CH"/>
        </w:rPr>
        <w:t xml:space="preserve"> Vries, A., &amp; Stoll, C. (2021). </w:t>
      </w:r>
      <w:r w:rsidRPr="008515CD">
        <w:t>Bitcoin’s growing e-waste problem. Resources, Conservation and Recycling, 175(175), 105901.</w:t>
      </w:r>
      <w:r>
        <w:t xml:space="preserve"> </w:t>
      </w:r>
      <w:r w:rsidRPr="008515CD">
        <w:t>https://doi.org/10.1016/j.resconrec.2021.105901</w:t>
      </w:r>
    </w:p>
    <w:p w14:paraId="40C9942A" w14:textId="77777777" w:rsidR="00127145" w:rsidRDefault="00127145" w:rsidP="00127145">
      <w:pPr>
        <w:pStyle w:val="ListParagraph"/>
        <w:ind w:left="720"/>
        <w:jc w:val="left"/>
      </w:pPr>
      <w:r w:rsidRPr="008515CD">
        <w:rPr>
          <w:lang w:val="de-DE"/>
        </w:rPr>
        <w:t xml:space="preserve">de Vries, A., Gallersdörfer, U., Klaaßen, L., &amp; Stoll, C. (2022). </w:t>
      </w:r>
      <w:r w:rsidRPr="008515CD">
        <w:t>Revisiting Bitcoin’s carbon footprint. Joule, 6(3).</w:t>
      </w:r>
      <w:r>
        <w:t xml:space="preserve"> </w:t>
      </w:r>
      <w:hyperlink r:id="rId22" w:history="1">
        <w:r w:rsidRPr="00E60B39">
          <w:rPr>
            <w:rStyle w:val="Hyperlink"/>
          </w:rPr>
          <w:t>https://doi.org/10.1016/j.joule.2022.02.005</w:t>
        </w:r>
      </w:hyperlink>
    </w:p>
    <w:p w14:paraId="1045E61A" w14:textId="77777777" w:rsidR="00127145" w:rsidRPr="00C57AB9" w:rsidRDefault="00127145" w:rsidP="00127145">
      <w:pPr>
        <w:pStyle w:val="ListParagraph"/>
        <w:ind w:left="720"/>
        <w:jc w:val="left"/>
      </w:pPr>
      <w:r w:rsidRPr="00C57AB9">
        <w:rPr>
          <w:lang w:val="de-DE"/>
        </w:rPr>
        <w:t xml:space="preserve">Gallersdörfer, U., Klaaßen, L., &amp; Stoll, C. (2020). </w:t>
      </w:r>
      <w:r>
        <w:t>Energy Consumption of Cryptocurrencies Beyond Bitcoin. Joule, 4(9). https://doi.org/10.1016/j.joule.2020.07.013</w:t>
      </w:r>
    </w:p>
    <w:p w14:paraId="64993AED" w14:textId="77777777" w:rsidR="00127145" w:rsidRDefault="00127145" w:rsidP="00127145">
      <w:pPr>
        <w:pStyle w:val="ListParagraph"/>
        <w:ind w:left="720"/>
        <w:jc w:val="left"/>
      </w:pPr>
      <w:r w:rsidRPr="009D082D">
        <w:rPr>
          <w:lang w:val="en-US"/>
        </w:rPr>
        <w:t xml:space="preserve">Jones, B. A., Goodkind, A. L., &amp; Berrens, R. P. (2022). </w:t>
      </w:r>
      <w:r>
        <w:t>Economic estimation of Bitcoin mining’s climate damages demonstrates closer resemblance to digital crude than digital gold. Scientific Reports, 12(1), 14512. https://doi.org/10.1038/s41598-022-18686-8</w:t>
      </w:r>
    </w:p>
    <w:p w14:paraId="65767AE0" w14:textId="77777777" w:rsidR="00127145" w:rsidRDefault="00127145" w:rsidP="00127145">
      <w:pPr>
        <w:pStyle w:val="ListParagraph"/>
        <w:ind w:left="720"/>
        <w:jc w:val="left"/>
      </w:pPr>
      <w:r>
        <w:t xml:space="preserve">Kohli, V., Chakravarty, S., </w:t>
      </w:r>
      <w:proofErr w:type="spellStart"/>
      <w:r>
        <w:t>Chamola</w:t>
      </w:r>
      <w:proofErr w:type="spellEnd"/>
      <w:r>
        <w:t xml:space="preserve">, V., Sangwan, K. S., &amp; </w:t>
      </w:r>
      <w:proofErr w:type="spellStart"/>
      <w:r>
        <w:t>Zeadally</w:t>
      </w:r>
      <w:proofErr w:type="spellEnd"/>
      <w:r>
        <w:t>, S. (2022). An analysis of energy consumption and carbon footprints of cryptocurrencies and possible solutions. Digital Communications and Networks, 9(1). https://doi.org/10.1016/j.dcan.2022.06.017</w:t>
      </w:r>
    </w:p>
    <w:p w14:paraId="0D54C8FB" w14:textId="77777777" w:rsidR="00127145" w:rsidRPr="00C57AB9" w:rsidRDefault="00127145" w:rsidP="00127145">
      <w:pPr>
        <w:pStyle w:val="ListParagraph"/>
        <w:ind w:left="720"/>
        <w:jc w:val="left"/>
      </w:pPr>
      <w:r>
        <w:t>Köhler, S., &amp; Pizzol, M. (2019). Life Cycle Assessment of Bitcoin Mining. Environmental Science &amp; Technology, 53(23), 13598–13606. https://doi.org/10.1021/acs.est.9b05687</w:t>
      </w:r>
    </w:p>
    <w:p w14:paraId="08AF045A" w14:textId="77777777" w:rsidR="00127145" w:rsidRPr="00C57AB9" w:rsidRDefault="00127145" w:rsidP="00127145">
      <w:pPr>
        <w:pStyle w:val="ListParagraph"/>
        <w:ind w:left="720"/>
        <w:jc w:val="left"/>
      </w:pPr>
      <w:r>
        <w:t xml:space="preserve">Krause, M. J., &amp; </w:t>
      </w:r>
      <w:proofErr w:type="spellStart"/>
      <w:r>
        <w:t>Tolaymat</w:t>
      </w:r>
      <w:proofErr w:type="spellEnd"/>
      <w:r>
        <w:t>, T. (2018). Quantification of energy and carbon costs for mining cryptocurrencies. Nature Sustainability, 1(11), 711–718. https://doi.org/10.1038/s41893-018-0152-7</w:t>
      </w:r>
    </w:p>
    <w:p w14:paraId="3D46A8E4" w14:textId="77777777" w:rsidR="00127145" w:rsidRPr="002A3E45" w:rsidRDefault="00127145" w:rsidP="00127145">
      <w:pPr>
        <w:pStyle w:val="ListParagraph"/>
        <w:ind w:left="720"/>
        <w:jc w:val="left"/>
      </w:pPr>
      <w:r w:rsidRPr="009D082D">
        <w:rPr>
          <w:lang w:val="de-DE"/>
        </w:rPr>
        <w:t xml:space="preserve">Lei, N., </w:t>
      </w:r>
      <w:proofErr w:type="spellStart"/>
      <w:r w:rsidRPr="009D082D">
        <w:rPr>
          <w:lang w:val="de-DE"/>
        </w:rPr>
        <w:t>Masanet</w:t>
      </w:r>
      <w:proofErr w:type="spellEnd"/>
      <w:r w:rsidRPr="009D082D">
        <w:rPr>
          <w:lang w:val="de-DE"/>
        </w:rPr>
        <w:t xml:space="preserve">, E., &amp; </w:t>
      </w:r>
      <w:proofErr w:type="spellStart"/>
      <w:r w:rsidRPr="009D082D">
        <w:rPr>
          <w:lang w:val="de-DE"/>
        </w:rPr>
        <w:t>Koomey</w:t>
      </w:r>
      <w:proofErr w:type="spellEnd"/>
      <w:r w:rsidRPr="009D082D">
        <w:rPr>
          <w:lang w:val="de-DE"/>
        </w:rPr>
        <w:t xml:space="preserve">, J. (2021). </w:t>
      </w:r>
      <w:r>
        <w:t xml:space="preserve">Best practices for </w:t>
      </w:r>
      <w:proofErr w:type="spellStart"/>
      <w:r>
        <w:t>analyzing</w:t>
      </w:r>
      <w:proofErr w:type="spellEnd"/>
      <w:r>
        <w:t xml:space="preserve"> the direct energy use of blockchain technology systems: Review and policy recommendations. Energy Policy, 156, 112422. https://doi.org/10.1016/j.enpol.2021.112422</w:t>
      </w:r>
    </w:p>
    <w:p w14:paraId="5ACA1582" w14:textId="77777777" w:rsidR="00127145" w:rsidRDefault="00127145" w:rsidP="00127145">
      <w:pPr>
        <w:pStyle w:val="ListParagraph"/>
        <w:ind w:left="720"/>
        <w:jc w:val="left"/>
      </w:pPr>
      <w:r w:rsidRPr="00C57AB9">
        <w:rPr>
          <w:lang w:val="de-DE"/>
        </w:rPr>
        <w:t xml:space="preserve">Sedlmeir, J., Buhl, H. U., </w:t>
      </w:r>
      <w:proofErr w:type="spellStart"/>
      <w:r w:rsidRPr="00C57AB9">
        <w:rPr>
          <w:lang w:val="de-DE"/>
        </w:rPr>
        <w:t>Fridgen</w:t>
      </w:r>
      <w:proofErr w:type="spellEnd"/>
      <w:r w:rsidRPr="00C57AB9">
        <w:rPr>
          <w:lang w:val="de-DE"/>
        </w:rPr>
        <w:t xml:space="preserve">, G., &amp; Keller, R. (2020). </w:t>
      </w:r>
      <w:r>
        <w:t xml:space="preserve">The Energy Consumption of Blockchain Technology: Beyond Myth. Business &amp; Information Systems Engineering, 62(6), 599–608. </w:t>
      </w:r>
      <w:hyperlink r:id="rId23" w:history="1">
        <w:r w:rsidRPr="00E60B39">
          <w:rPr>
            <w:rStyle w:val="Hyperlink"/>
          </w:rPr>
          <w:t>https://doi.org/10.1007/s12599-020-00656-x</w:t>
        </w:r>
      </w:hyperlink>
    </w:p>
    <w:p w14:paraId="15A7FE89" w14:textId="77777777" w:rsidR="00127145" w:rsidRDefault="00127145" w:rsidP="00127145">
      <w:pPr>
        <w:pStyle w:val="ListParagraph"/>
        <w:ind w:left="720"/>
        <w:jc w:val="left"/>
      </w:pPr>
      <w:proofErr w:type="spellStart"/>
      <w:r>
        <w:lastRenderedPageBreak/>
        <w:t>Siddik</w:t>
      </w:r>
      <w:proofErr w:type="spellEnd"/>
      <w:r>
        <w:t>, M. A. B., Amaya, M., &amp; Marston, L. T. (2023). The water and carbon footprint of cryptocurrencies and conventional currencies. Journal of Cleaner Production, 411, 137268. https://doi.org/10.1016/j.jclepro.2023.137268</w:t>
      </w:r>
    </w:p>
    <w:p w14:paraId="68DC8D3B" w14:textId="77777777" w:rsidR="00127145" w:rsidRDefault="00127145" w:rsidP="00127145">
      <w:pPr>
        <w:pStyle w:val="ListParagraph"/>
        <w:ind w:left="720"/>
        <w:jc w:val="left"/>
      </w:pPr>
      <w:r w:rsidRPr="002A3E45">
        <w:rPr>
          <w:lang w:val="de-DE"/>
        </w:rPr>
        <w:t xml:space="preserve">Stoll, C., Klaaßen, L., &amp; Gallersdörfer, U. (2019). </w:t>
      </w:r>
      <w:r>
        <w:t>The Carbon Footprint of Bitcoin. Joule, 3(7), 1647–1661. https://doi.org/10.1016/j.joule.2019.05.012</w:t>
      </w:r>
    </w:p>
    <w:p w14:paraId="70230ADD" w14:textId="77777777" w:rsidR="00127145" w:rsidRPr="002A3E45" w:rsidRDefault="00127145" w:rsidP="00127145">
      <w:pPr>
        <w:pStyle w:val="ListParagraph"/>
        <w:ind w:left="720"/>
        <w:jc w:val="left"/>
      </w:pPr>
      <w:r>
        <w:t xml:space="preserve">United Nations University. (2023). UN Study Reveals the Hidden Environmental Impacts of Bitcoin: Carbon is Not the Only Harmful Byproduct. Retrieved from </w:t>
      </w:r>
      <w:proofErr w:type="gramStart"/>
      <w:r>
        <w:t>https://unu.edu/press-release/un-study-reveals-hidden-environmental-impacts-bitcoin-carbon-not-onlyharmful-product</w:t>
      </w:r>
      <w:proofErr w:type="gramEnd"/>
    </w:p>
    <w:p w14:paraId="0B64B8D9" w14:textId="77777777" w:rsidR="00127145" w:rsidRPr="002A3E45" w:rsidRDefault="00127145" w:rsidP="00127145">
      <w:pPr>
        <w:pStyle w:val="ListParagraph"/>
        <w:ind w:left="720"/>
        <w:jc w:val="left"/>
      </w:pPr>
      <w:r w:rsidRPr="002A3E45">
        <w:rPr>
          <w:lang w:val="de-DE"/>
        </w:rPr>
        <w:t xml:space="preserve">Wendl, M., Doan, M. H., &amp; Sassen, R. (2023). </w:t>
      </w:r>
      <w:r>
        <w:t>The environmental impact of cryptocurrencies using proof of work and proof of stake consensus algorithms: A systematic review. Journal of Environmental Management, 326, 116530. https://doi.org/10.1016/j.jenvman.2022.116530</w:t>
      </w:r>
    </w:p>
    <w:p w14:paraId="32141A59" w14:textId="77777777" w:rsidR="00127145" w:rsidRDefault="00127145" w:rsidP="00127145">
      <w:pPr>
        <w:pStyle w:val="ListParagraph"/>
        <w:ind w:left="720"/>
        <w:jc w:val="left"/>
      </w:pPr>
      <w:proofErr w:type="spellStart"/>
      <w:r w:rsidRPr="002A3E45">
        <w:rPr>
          <w:lang w:val="de-DE"/>
        </w:rPr>
        <w:t>Zade</w:t>
      </w:r>
      <w:proofErr w:type="spellEnd"/>
      <w:r w:rsidRPr="002A3E45">
        <w:rPr>
          <w:lang w:val="de-DE"/>
        </w:rPr>
        <w:t xml:space="preserve">, M., Myklebost, J., </w:t>
      </w:r>
      <w:proofErr w:type="spellStart"/>
      <w:r w:rsidRPr="002A3E45">
        <w:rPr>
          <w:lang w:val="de-DE"/>
        </w:rPr>
        <w:t>Tzscheutschler</w:t>
      </w:r>
      <w:proofErr w:type="spellEnd"/>
      <w:r w:rsidRPr="002A3E45">
        <w:rPr>
          <w:lang w:val="de-DE"/>
        </w:rPr>
        <w:t xml:space="preserve">, P., &amp; Wagner, U. (2019). </w:t>
      </w:r>
      <w:r>
        <w:t xml:space="preserve">Is Bitcoin the Only Problem? A Scenario Model for the Power Demand of Blockchains. Frontiers in Energy Research, 7. </w:t>
      </w:r>
      <w:hyperlink r:id="rId24" w:history="1">
        <w:r w:rsidRPr="00E60B39">
          <w:rPr>
            <w:rStyle w:val="Hyperlink"/>
          </w:rPr>
          <w:t>https://doi.org/10.3389/fenrg.2019.00021</w:t>
        </w:r>
      </w:hyperlink>
    </w:p>
    <w:p w14:paraId="4843A70B" w14:textId="77777777" w:rsidR="00127145" w:rsidRDefault="00127145" w:rsidP="00127145"/>
    <w:p w14:paraId="666C1B3F" w14:textId="77777777" w:rsidR="00127145" w:rsidRDefault="00127145" w:rsidP="00127145">
      <w:r>
        <w:t>Other helpful resources:</w:t>
      </w:r>
    </w:p>
    <w:p w14:paraId="5C5E4050" w14:textId="77777777" w:rsidR="00127145" w:rsidRPr="002A3E45" w:rsidRDefault="00127145" w:rsidP="00127145">
      <w:pPr>
        <w:pStyle w:val="ListParagraph"/>
        <w:ind w:left="720"/>
        <w:jc w:val="left"/>
      </w:pPr>
      <w:r w:rsidRPr="002A3E45">
        <w:rPr>
          <w:lang w:val="en-US"/>
        </w:rPr>
        <w:t>Crypto Carbon Ratings Institute (CCRI). (2023). Determining the electricity consumption and carbon footprint of Proof of Stake networks.</w:t>
      </w:r>
      <w:r>
        <w:rPr>
          <w:lang w:val="en-US"/>
        </w:rPr>
        <w:t xml:space="preserve"> </w:t>
      </w:r>
      <w:r w:rsidRPr="002A3E45">
        <w:rPr>
          <w:lang w:val="en-US"/>
        </w:rPr>
        <w:t xml:space="preserve">Retrieved from </w:t>
      </w:r>
      <w:hyperlink r:id="rId25" w:history="1">
        <w:r w:rsidRPr="00E60B39">
          <w:rPr>
            <w:rStyle w:val="Hyperlink"/>
            <w:lang w:val="en-US"/>
          </w:rPr>
          <w:t>https://carbon-ratings.com/dl/pos-report-2023</w:t>
        </w:r>
      </w:hyperlink>
      <w:r w:rsidRPr="002A3E45">
        <w:rPr>
          <w:lang w:val="en-US"/>
        </w:rPr>
        <w:t xml:space="preserve"> </w:t>
      </w:r>
    </w:p>
    <w:p w14:paraId="26D623A4" w14:textId="77777777" w:rsidR="00127145" w:rsidRPr="002A3E45" w:rsidRDefault="00127145" w:rsidP="00127145">
      <w:pPr>
        <w:pStyle w:val="ListParagraph"/>
        <w:ind w:left="720"/>
        <w:jc w:val="left"/>
      </w:pPr>
      <w:r>
        <w:t xml:space="preserve">Crypto Carbon Ratings Institute (CCRI), &amp; </w:t>
      </w:r>
      <w:proofErr w:type="spellStart"/>
      <w:r>
        <w:t>SouthPole</w:t>
      </w:r>
      <w:proofErr w:type="spellEnd"/>
      <w:r>
        <w:t xml:space="preserve">. (2022). Accounting for Cryptocurrency Climate Impacts. Retrieved from </w:t>
      </w:r>
      <w:proofErr w:type="gramStart"/>
      <w:r>
        <w:t>https://carbon-ratings.com/dl/accounting-framework-2022</w:t>
      </w:r>
      <w:proofErr w:type="gramEnd"/>
    </w:p>
    <w:p w14:paraId="0022179C" w14:textId="77777777" w:rsidR="00127145" w:rsidRPr="008515CD" w:rsidRDefault="00127145" w:rsidP="00127145">
      <w:pPr>
        <w:ind w:left="360"/>
      </w:pP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lastRenderedPageBreak/>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lastRenderedPageBreak/>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lastRenderedPageBreak/>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lastRenderedPageBreak/>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lastRenderedPageBreak/>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lastRenderedPageBreak/>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lastRenderedPageBreak/>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4AF0FCAE" w14:textId="77777777" w:rsidR="00127145" w:rsidRPr="00A70229" w:rsidRDefault="00127145" w:rsidP="00127145">
      <w:permStart w:id="1961385165" w:edGrp="everyone"/>
      <w:r w:rsidRPr="00A70229">
        <w:t xml:space="preserve">Yes, </w:t>
      </w:r>
      <w:proofErr w:type="spellStart"/>
      <w:r w:rsidRPr="00A70229">
        <w:t>iXBRL</w:t>
      </w:r>
      <w:proofErr w:type="spellEnd"/>
      <w:r w:rsidRPr="00A70229">
        <w:t xml:space="preserve"> is a well-suited format that is both human and machine readable.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3C35B522" w14:textId="77777777" w:rsidR="00127145" w:rsidRPr="00292F3A" w:rsidRDefault="00127145" w:rsidP="00127145">
      <w:permStart w:id="700199222" w:edGrp="everyone"/>
      <w:r w:rsidRPr="00292F3A">
        <w:t>Yes. For a proper automatic extraction of information, it is key to keep the structure and contents as concise as possible. Any unnecessary information that is provided by the crypto-asset issuer might confuse readers and software that extracts information.</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402AE5BA" w14:textId="77777777" w:rsidR="00127145" w:rsidRPr="00A70229" w:rsidRDefault="00127145" w:rsidP="00127145">
      <w:permStart w:id="48898670" w:edGrp="everyone"/>
      <w:r w:rsidRPr="00A70229">
        <w:t>No.</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lastRenderedPageBreak/>
        <w:t>&lt;ESMA_QUESTION_MIC2_61&gt;</w:t>
      </w:r>
    </w:p>
    <w:p w14:paraId="20F53D4F" w14:textId="77777777" w:rsidR="00127145" w:rsidRDefault="00127145" w:rsidP="00127145">
      <w:permStart w:id="792558157" w:edGrp="everyone"/>
      <w:r w:rsidRPr="00C96651">
        <w:t xml:space="preserve">There is a broad range of types of whitepapers in the crypto-community and it can be hard to understand the aim of </w:t>
      </w:r>
      <w:r>
        <w:t xml:space="preserve">an individual </w:t>
      </w:r>
      <w:r w:rsidRPr="00C96651">
        <w:t>document</w:t>
      </w:r>
      <w:r>
        <w:t xml:space="preserve">. From that perspective, also given the extensive information on the legal entities required in the MiCA whitepaper, the contents will differ. Potentially, token issuers could provide “streamlined”, non-MiCA-compliant versions of their white papers, such that individual styling can be applied and unwanted information be omitted. </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0932A04" w14:textId="77777777" w:rsidR="00127145" w:rsidRPr="00A70229" w:rsidRDefault="00127145" w:rsidP="00127145">
      <w:permStart w:id="1645111618" w:edGrp="everyone"/>
      <w:r w:rsidRPr="00A70229">
        <w:t xml:space="preserve">Yes. Gathering data for the white paper will be more costly than preparing the white paper in the </w:t>
      </w:r>
      <w:proofErr w:type="spellStart"/>
      <w:r w:rsidRPr="00A70229">
        <w:t>iXBRL</w:t>
      </w:r>
      <w:proofErr w:type="spellEnd"/>
      <w:r w:rsidRPr="00A70229">
        <w:t xml:space="preserve"> format. Given a respective template, online generators could easily be provided for a quick and standardized generation of white papers, further reducing the costs.</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lastRenderedPageBreak/>
        <w:t>&lt;ESMA_QUESTION_MIC2_65&gt;</w:t>
      </w:r>
    </w:p>
    <w:p w14:paraId="0269DFD7" w14:textId="77777777" w:rsidR="00127145" w:rsidRDefault="00127145" w:rsidP="00127145">
      <w:permStart w:id="1755794706" w:edGrp="everyone"/>
      <w:r w:rsidRPr="0041585C">
        <w:t xml:space="preserve">Yes, </w:t>
      </w:r>
      <w:proofErr w:type="gramStart"/>
      <w:r w:rsidRPr="0041585C">
        <w:t>a</w:t>
      </w:r>
      <w:proofErr w:type="gramEnd"/>
      <w:r w:rsidRPr="0041585C">
        <w:t xml:space="preserve"> editable template should be provided, as this reduces costs and enhances compatibility.</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xml:space="preserve">: Do you agree with the proposed requirements for publication on the website of the issuer, offeror or person seeking admission to trading? Would you </w:t>
      </w:r>
      <w:r w:rsidRPr="003A287A">
        <w:lastRenderedPageBreak/>
        <w:t>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lastRenderedPageBreak/>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6"/>
      <w:footerReference w:type="defaul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9D1D" w14:textId="77777777" w:rsidR="00BE22DD" w:rsidRDefault="00BE22DD" w:rsidP="007E7997">
      <w:r>
        <w:separator/>
      </w:r>
    </w:p>
  </w:endnote>
  <w:endnote w:type="continuationSeparator" w:id="0">
    <w:p w14:paraId="7E3C88A5" w14:textId="77777777" w:rsidR="00BE22DD" w:rsidRDefault="00BE22DD" w:rsidP="007E7997">
      <w:r>
        <w:continuationSeparator/>
      </w:r>
    </w:p>
  </w:endnote>
  <w:endnote w:type="continuationNotice" w:id="1">
    <w:p w14:paraId="55468EB9" w14:textId="77777777" w:rsidR="00BE22DD" w:rsidRDefault="00BE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82A7" w14:textId="77777777" w:rsidR="00BE22DD" w:rsidRDefault="00BE22DD" w:rsidP="007E7997">
      <w:r>
        <w:separator/>
      </w:r>
    </w:p>
  </w:footnote>
  <w:footnote w:type="continuationSeparator" w:id="0">
    <w:p w14:paraId="170ED4AF" w14:textId="77777777" w:rsidR="00BE22DD" w:rsidRDefault="00BE22DD" w:rsidP="007E7997">
      <w:r>
        <w:continuationSeparator/>
      </w:r>
    </w:p>
  </w:footnote>
  <w:footnote w:type="continuationNotice" w:id="1">
    <w:p w14:paraId="7B6C1028" w14:textId="77777777" w:rsidR="00BE22DD" w:rsidRDefault="00BE2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it-IT" w:vendorID="64" w:dllVersion="0" w:nlCheck="1" w:checkStyle="0"/>
  <w:activeWritingStyle w:appName="MSWord" w:lang="fr-CH" w:vendorID="64" w:dllVersion="0" w:nlCheck="1" w:checkStyle="0"/>
  <w:activeWritingStyle w:appName="MSWord" w:lang="de-D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145"/>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2052"/>
    <w:rsid w:val="005F3F22"/>
    <w:rsid w:val="005F4FC0"/>
    <w:rsid w:val="005F540F"/>
    <w:rsid w:val="005F5491"/>
    <w:rsid w:val="005F6144"/>
    <w:rsid w:val="005F6573"/>
    <w:rsid w:val="005F7F6F"/>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2DD"/>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hgprotocol.org/scope-2-guidan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carbon-ratings.com/dl/pos-report-2023"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green.polygon.technology/mica-compli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3389/fenrg.2019.00021"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i.org/10.1007/s12599-020-00656-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i.org/10.1016/j.joule.2022.02.005"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22</Pages>
  <Words>4921</Words>
  <Characters>31006</Characters>
  <Application>Microsoft Office Word</Application>
  <DocSecurity>8</DocSecurity>
  <Lines>258</Lines>
  <Paragraphs>71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Christian Stoll</cp:lastModifiedBy>
  <cp:revision>13</cp:revision>
  <cp:lastPrinted>2017-07-24T14:47:00Z</cp:lastPrinted>
  <dcterms:created xsi:type="dcterms:W3CDTF">2023-09-18T15:22:00Z</dcterms:created>
  <dcterms:modified xsi:type="dcterms:W3CDTF">2023-12-14T13:57:00Z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