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836BA"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6DA55606" w:rsidR="00C85C8B" w:rsidRPr="00B16706" w:rsidRDefault="00636FC8" w:rsidP="00C85C8B">
                <w:pPr>
                  <w:rPr>
                    <w:rFonts w:ascii="Arial" w:hAnsi="Arial" w:cs="Arial"/>
                    <w:color w:val="808080"/>
                    <w:sz w:val="16"/>
                    <w:szCs w:val="20"/>
                    <w:lang w:eastAsia="de-DE"/>
                  </w:rPr>
                </w:pPr>
                <w:r>
                  <w:rPr>
                    <w:rFonts w:ascii="Arial" w:hAnsi="Arial" w:cs="Arial"/>
                    <w:color w:val="808080"/>
                    <w:sz w:val="16"/>
                    <w:szCs w:val="20"/>
                    <w:lang w:eastAsia="de-DE"/>
                  </w:rPr>
                  <w:t>Association for Financial Markets in Europe</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0BDAFF3B" w:rsidR="00C85C8B" w:rsidRPr="00B16706" w:rsidRDefault="00990B38"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84E02">
                  <w:rPr>
                    <w:rFonts w:ascii="Arial" w:hAnsi="Arial" w:cs="Arial"/>
                    <w:sz w:val="16"/>
                    <w:szCs w:val="20"/>
                    <w:lang w:eastAsia="de-DE"/>
                  </w:rPr>
                  <w:t>Banking sector</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2540FF66" w:rsidR="00C85C8B" w:rsidRPr="00B16706" w:rsidRDefault="00636FC8"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DA63A71" w:rsidR="00C85C8B" w:rsidRPr="00B16706" w:rsidRDefault="00584E02" w:rsidP="00C85C8B">
                <w:pPr>
                  <w:rPr>
                    <w:rFonts w:ascii="Arial" w:hAnsi="Arial" w:cs="Arial"/>
                    <w:sz w:val="16"/>
                    <w:szCs w:val="20"/>
                    <w:lang w:eastAsia="de-DE"/>
                  </w:rPr>
                </w:pPr>
                <w:r>
                  <w:rPr>
                    <w:rFonts w:ascii="Arial" w:hAnsi="Arial" w:cs="Arial"/>
                    <w:sz w:val="16"/>
                    <w:szCs w:val="20"/>
                    <w:lang w:eastAsia="de-DE"/>
                  </w:rPr>
                  <w:t>Belgium</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3DF5BCB1" w14:textId="77777777" w:rsidR="005B1152" w:rsidRPr="005B1152" w:rsidRDefault="00190C82" w:rsidP="005B1152">
      <w:pPr>
        <w:pStyle w:val="Questionstyle"/>
        <w:numPr>
          <w:ilvl w:val="0"/>
          <w:numId w:val="0"/>
        </w:numPr>
        <w:ind w:left="360"/>
      </w:pPr>
      <w:permStart w:id="212889190" w:edGrp="everyone"/>
      <w:r w:rsidRPr="005B1152">
        <w:t xml:space="preserve">  </w:t>
      </w:r>
      <w:r w:rsidR="005B1152" w:rsidRPr="005B1152">
        <w:t>We support the policy objective to provide information on the climate and other environment-related adverse impacts of the consensus mechanism used for the validation of transactions in crypto-assets and for the maintenance of the integrity of the distributed ledger of transactions. However, we view that ESMA has taken a very broad interpretation of the obligations that should be placed on CASPs, and there is no requirement, and no real justification, in the MiCA Level 1 text for such a broad interpretation to be taken. The proposed approach is prescriptive, and we highlight the following key issues for consideration:</w:t>
      </w:r>
    </w:p>
    <w:p w14:paraId="17549D15" w14:textId="77777777" w:rsidR="005B1152" w:rsidRPr="005B1152" w:rsidRDefault="005B1152" w:rsidP="005B1152">
      <w:pPr>
        <w:pStyle w:val="ListParagraph"/>
        <w:numPr>
          <w:ilvl w:val="0"/>
          <w:numId w:val="32"/>
        </w:numPr>
        <w:tabs>
          <w:tab w:val="clear" w:pos="0"/>
          <w:tab w:val="clear" w:pos="142"/>
          <w:tab w:val="clear" w:pos="284"/>
          <w:tab w:val="clear" w:pos="567"/>
        </w:tabs>
        <w:autoSpaceDE/>
        <w:autoSpaceDN/>
        <w:adjustRightInd/>
        <w:spacing w:after="120" w:line="260" w:lineRule="atLeast"/>
        <w:ind w:left="1077" w:hanging="357"/>
        <w:jc w:val="left"/>
        <w:rPr>
          <w:rFonts w:ascii="Times New Roman" w:hAnsi="Times New Roman" w:cs="Times New Roman"/>
          <w:sz w:val="24"/>
          <w:szCs w:val="24"/>
        </w:rPr>
      </w:pPr>
      <w:r w:rsidRPr="005B1152">
        <w:rPr>
          <w:rFonts w:ascii="Times New Roman" w:hAnsi="Times New Roman" w:cs="Times New Roman"/>
          <w:b/>
          <w:bCs/>
          <w:sz w:val="24"/>
          <w:szCs w:val="24"/>
        </w:rPr>
        <w:t>Low data availability requires use of estimates</w:t>
      </w:r>
      <w:r w:rsidRPr="005B1152">
        <w:rPr>
          <w:rFonts w:ascii="Times New Roman" w:hAnsi="Times New Roman" w:cs="Times New Roman"/>
          <w:sz w:val="24"/>
          <w:szCs w:val="24"/>
        </w:rPr>
        <w:t xml:space="preserve">: there is currently low information availability due to the decentralised nature of distributed ledger technologies (DLTs). We therefore strongly support the use of estimates across the disclosure requirements, including mandatory disclosures on the consumption of energy, scope 1 and scope 2 GHG emissions and the production of waste.  </w:t>
      </w:r>
    </w:p>
    <w:p w14:paraId="241AECBF" w14:textId="77777777" w:rsidR="005B1152" w:rsidRPr="005B1152" w:rsidRDefault="005B1152" w:rsidP="005B1152">
      <w:pPr>
        <w:pStyle w:val="ListParagraph"/>
        <w:numPr>
          <w:ilvl w:val="0"/>
          <w:numId w:val="32"/>
        </w:numPr>
        <w:tabs>
          <w:tab w:val="clear" w:pos="0"/>
          <w:tab w:val="clear" w:pos="142"/>
          <w:tab w:val="clear" w:pos="284"/>
          <w:tab w:val="clear" w:pos="567"/>
        </w:tabs>
        <w:autoSpaceDE/>
        <w:autoSpaceDN/>
        <w:adjustRightInd/>
        <w:spacing w:after="120" w:line="260" w:lineRule="atLeast"/>
        <w:ind w:left="1077" w:hanging="357"/>
        <w:jc w:val="left"/>
        <w:rPr>
          <w:rFonts w:ascii="Times New Roman" w:hAnsi="Times New Roman" w:cs="Times New Roman"/>
          <w:sz w:val="24"/>
          <w:szCs w:val="24"/>
        </w:rPr>
      </w:pPr>
      <w:r w:rsidRPr="005B1152">
        <w:rPr>
          <w:rFonts w:ascii="Times New Roman" w:hAnsi="Times New Roman" w:cs="Times New Roman"/>
          <w:b/>
          <w:bCs/>
          <w:sz w:val="24"/>
          <w:szCs w:val="24"/>
        </w:rPr>
        <w:t>Decentralisation means no participant can observe network-level information</w:t>
      </w:r>
      <w:r w:rsidRPr="005B1152">
        <w:rPr>
          <w:rFonts w:ascii="Times New Roman" w:hAnsi="Times New Roman" w:cs="Times New Roman"/>
          <w:sz w:val="24"/>
          <w:szCs w:val="24"/>
        </w:rPr>
        <w:t xml:space="preserve">: due to the decentralised nature of DLTs, not one single market participant, whether as an issuer or CASP, can observe climate and environment-related impact at the network-level. We do not envisage firms to have access to full and updated information on the energy consumption of DLT network nodes, GHG emissions based on energy sources and locations, and their production of waste and use of natural resources. </w:t>
      </w:r>
    </w:p>
    <w:p w14:paraId="37F9251E" w14:textId="77777777" w:rsidR="005B1152" w:rsidRPr="005B1152" w:rsidRDefault="005B1152" w:rsidP="005B1152">
      <w:pPr>
        <w:pStyle w:val="ListParagraph"/>
        <w:numPr>
          <w:ilvl w:val="0"/>
          <w:numId w:val="32"/>
        </w:numPr>
        <w:tabs>
          <w:tab w:val="clear" w:pos="0"/>
          <w:tab w:val="clear" w:pos="142"/>
          <w:tab w:val="clear" w:pos="284"/>
          <w:tab w:val="clear" w:pos="567"/>
        </w:tabs>
        <w:autoSpaceDE/>
        <w:autoSpaceDN/>
        <w:adjustRightInd/>
        <w:spacing w:after="120" w:line="240" w:lineRule="auto"/>
        <w:ind w:left="1077"/>
        <w:jc w:val="left"/>
        <w:rPr>
          <w:rFonts w:ascii="Times New Roman" w:eastAsia="Times New Roman" w:hAnsi="Times New Roman" w:cs="Times New Roman"/>
          <w:sz w:val="24"/>
          <w:szCs w:val="24"/>
        </w:rPr>
      </w:pPr>
      <w:r w:rsidRPr="005B1152">
        <w:rPr>
          <w:rFonts w:ascii="Times New Roman" w:eastAsia="Times New Roman" w:hAnsi="Times New Roman" w:cs="Times New Roman"/>
          <w:b/>
          <w:bCs/>
          <w:sz w:val="24"/>
          <w:szCs w:val="24"/>
        </w:rPr>
        <w:t>Avoid risk of duplication through the principle of data uniqueness</w:t>
      </w:r>
      <w:r w:rsidRPr="005B1152">
        <w:rPr>
          <w:rFonts w:ascii="Times New Roman" w:eastAsia="Times New Roman" w:hAnsi="Times New Roman" w:cs="Times New Roman"/>
          <w:sz w:val="24"/>
          <w:szCs w:val="24"/>
        </w:rPr>
        <w:t xml:space="preserve">: duplication in disclosure requirements across the crypto asset lifecycle should be avoided. CASPs should be able to refer to the white papers for ARTs, EMTs and other crypto assets in their disclosure. In addition, financial institutions should not be subject to duplicative disclosure requirements under MiCA and existing regimes on disclosure. </w:t>
      </w:r>
    </w:p>
    <w:p w14:paraId="6C11BF8B" w14:textId="77777777" w:rsidR="005B1152" w:rsidRPr="005B1152" w:rsidRDefault="005B1152" w:rsidP="005B1152">
      <w:pPr>
        <w:pStyle w:val="ListParagraph"/>
        <w:numPr>
          <w:ilvl w:val="0"/>
          <w:numId w:val="32"/>
        </w:numPr>
        <w:tabs>
          <w:tab w:val="clear" w:pos="0"/>
          <w:tab w:val="clear" w:pos="142"/>
          <w:tab w:val="clear" w:pos="284"/>
          <w:tab w:val="clear" w:pos="567"/>
        </w:tabs>
        <w:autoSpaceDE/>
        <w:autoSpaceDN/>
        <w:adjustRightInd/>
        <w:spacing w:after="120" w:line="240" w:lineRule="auto"/>
        <w:ind w:left="1077"/>
        <w:jc w:val="left"/>
        <w:rPr>
          <w:rFonts w:ascii="Times New Roman" w:eastAsia="Times New Roman" w:hAnsi="Times New Roman" w:cs="Times New Roman"/>
          <w:sz w:val="24"/>
          <w:szCs w:val="24"/>
        </w:rPr>
      </w:pPr>
      <w:r w:rsidRPr="005B1152">
        <w:rPr>
          <w:rFonts w:ascii="Times New Roman" w:eastAsia="Times New Roman" w:hAnsi="Times New Roman" w:cs="Times New Roman"/>
          <w:b/>
          <w:bCs/>
          <w:sz w:val="24"/>
          <w:szCs w:val="24"/>
        </w:rPr>
        <w:t>Need to differentiate requirements for crypto assets which lack MiCA-compliant white papers</w:t>
      </w:r>
      <w:r w:rsidRPr="005B1152">
        <w:rPr>
          <w:rFonts w:ascii="Times New Roman" w:eastAsia="Times New Roman" w:hAnsi="Times New Roman" w:cs="Times New Roman"/>
          <w:sz w:val="24"/>
          <w:szCs w:val="24"/>
        </w:rPr>
        <w:t xml:space="preserve">: in addition, the disclosure requirements need to consider situations where the sustainability information is not available in issuers’ white papers, either because those issuers are not subject to MiCA or if they are making use of white paper exemptions under MiCA. We view that ESMA should differentiate between </w:t>
      </w:r>
      <w:r w:rsidRPr="005B1152">
        <w:rPr>
          <w:rFonts w:ascii="Times New Roman" w:hAnsi="Times New Roman" w:cs="Times New Roman"/>
          <w:sz w:val="24"/>
          <w:szCs w:val="24"/>
        </w:rPr>
        <w:t>crypto assets with a white paper provided by the issuer, and those without</w:t>
      </w:r>
      <w:r w:rsidRPr="005B1152">
        <w:rPr>
          <w:rFonts w:ascii="Times New Roman" w:eastAsia="Times New Roman" w:hAnsi="Times New Roman" w:cs="Times New Roman"/>
          <w:sz w:val="24"/>
          <w:szCs w:val="24"/>
        </w:rPr>
        <w:t xml:space="preserve">. We do not agree with ESMA’s assessment that CASPs need to </w:t>
      </w:r>
      <w:r w:rsidRPr="005B1152">
        <w:rPr>
          <w:rFonts w:ascii="Times New Roman" w:eastAsia="Times New Roman" w:hAnsi="Times New Roman" w:cs="Times New Roman"/>
          <w:sz w:val="24"/>
          <w:szCs w:val="24"/>
        </w:rPr>
        <w:lastRenderedPageBreak/>
        <w:t>make sustainability disclosure available regardless of whether the information can be obtained from white papers, as this requirement is not explicit under Art. 66(5).</w:t>
      </w:r>
    </w:p>
    <w:p w14:paraId="7FEE3AEB" w14:textId="77777777" w:rsidR="005B1152" w:rsidRPr="005B1152" w:rsidRDefault="005B1152" w:rsidP="005B1152"/>
    <w:p w14:paraId="71573A49" w14:textId="77777777" w:rsidR="005B1152" w:rsidRPr="005B1152" w:rsidRDefault="005B1152" w:rsidP="005B1152">
      <w:pPr>
        <w:rPr>
          <w:u w:val="single"/>
        </w:rPr>
      </w:pPr>
      <w:bookmarkStart w:id="1" w:name="_Hlk153372847"/>
      <w:r w:rsidRPr="005B1152">
        <w:rPr>
          <w:u w:val="single"/>
        </w:rPr>
        <w:t>Low information availability due to the decentralised nature of DLTs</w:t>
      </w:r>
    </w:p>
    <w:p w14:paraId="3A63F888" w14:textId="77777777" w:rsidR="005B1152" w:rsidRPr="005B1152" w:rsidRDefault="005B1152" w:rsidP="005B1152"/>
    <w:p w14:paraId="2842568B" w14:textId="77777777" w:rsidR="005B1152" w:rsidRPr="005B1152" w:rsidRDefault="005B1152" w:rsidP="005B1152">
      <w:pPr>
        <w:pStyle w:val="Questionstyle"/>
        <w:numPr>
          <w:ilvl w:val="0"/>
          <w:numId w:val="0"/>
        </w:numPr>
      </w:pPr>
      <w:r w:rsidRPr="005B1152">
        <w:t xml:space="preserve">A key concern is that the information required for the proposed disclosure requirements on the validation mechanism is not available given the decentralised nature of DLTs. At this current stage, there are only estimates available that have to make fundamental assumptions on many variables. Therefore, mandatory disclosure requirements should be kept to a minimum at this stage. We also view that the disclosure requirements should rely on external, independent, and publicly available sources to also limit the required resource capacity of CASPs in light of possible shortcomings in quality at this current junction. These shortcomings include: </w:t>
      </w:r>
    </w:p>
    <w:p w14:paraId="13FEE3DF" w14:textId="77777777" w:rsidR="005B1152" w:rsidRPr="005B1152" w:rsidRDefault="005B1152" w:rsidP="005B1152">
      <w:pPr>
        <w:pStyle w:val="Questionstyle"/>
        <w:numPr>
          <w:ilvl w:val="0"/>
          <w:numId w:val="34"/>
        </w:numPr>
      </w:pPr>
      <w:r w:rsidRPr="005B1152">
        <w:t>The adverse impacts occur mainly during the mining / validation process, especially for transactions of tokens applying the computational intense proof-of-work consensus mechanism. Even though transactions on the blockchain are key for CASPs’ services, the majority of CASPs will likely not have any direct link to mining activities.</w:t>
      </w:r>
    </w:p>
    <w:p w14:paraId="34789F87" w14:textId="77777777" w:rsidR="005B1152" w:rsidRPr="005B1152" w:rsidRDefault="005B1152" w:rsidP="005B1152">
      <w:pPr>
        <w:pStyle w:val="Questionstyle"/>
        <w:numPr>
          <w:ilvl w:val="0"/>
          <w:numId w:val="34"/>
        </w:numPr>
      </w:pPr>
      <w:r w:rsidRPr="005B1152">
        <w:t xml:space="preserve">The available data is of limited quality as it is at best an informed estimate, making assumptions on the energy source and equipment used by miners. Further, the Ethereum protocol, for example, had &gt; 800k active validators as of Sep 2023, which illustrates the complexity of such estimates. There are some independent providers though that provide continuous estimates on energy consumption and carbon emissions like the Cambridge Blockchain Network Sustainability </w:t>
      </w:r>
      <w:hyperlink r:id="rId20" w:history="1">
        <w:r w:rsidRPr="005B1152">
          <w:rPr>
            <w:rStyle w:val="Hyperlink"/>
            <w:b/>
            <w:bCs/>
          </w:rPr>
          <w:t>Index</w:t>
        </w:r>
      </w:hyperlink>
      <w:r w:rsidRPr="005B1152">
        <w:rPr>
          <w:vertAlign w:val="superscript"/>
        </w:rPr>
        <w:footnoteReference w:id="2"/>
      </w:r>
      <w:r w:rsidRPr="005B1152">
        <w:t xml:space="preserve"> that should be leveraged for disclosure purposes.</w:t>
      </w:r>
    </w:p>
    <w:p w14:paraId="128CDCC1" w14:textId="77777777" w:rsidR="005B1152" w:rsidRPr="005B1152" w:rsidRDefault="005B1152" w:rsidP="005B1152">
      <w:pPr>
        <w:pStyle w:val="Questionstyle"/>
        <w:numPr>
          <w:ilvl w:val="0"/>
          <w:numId w:val="34"/>
        </w:numPr>
      </w:pPr>
      <w:r w:rsidRPr="005B1152">
        <w:t xml:space="preserve">Many of the major protocols apply much less energy intensive consensus mechanism, like proof-of-stake, where the sustainability aspects are of much lower relevance. The Crypto Carbon Ratings Institute </w:t>
      </w:r>
      <w:hyperlink r:id="rId21" w:history="1">
        <w:r w:rsidRPr="005B1152">
          <w:rPr>
            <w:rStyle w:val="Hyperlink"/>
            <w:b/>
            <w:bCs/>
          </w:rPr>
          <w:t>estimates</w:t>
        </w:r>
      </w:hyperlink>
      <w:r w:rsidRPr="005B1152">
        <w:t xml:space="preserve"> that with its switch from proof-of-work to proof-of-stake the energy consumption of Ethereum decreased by ~99.988% and likewise its carbon footprint by ~99.992%</w:t>
      </w:r>
      <w:r w:rsidRPr="005B1152">
        <w:rPr>
          <w:vertAlign w:val="superscript"/>
        </w:rPr>
        <w:footnoteReference w:id="3"/>
      </w:r>
      <w:r w:rsidRPr="005B1152">
        <w:t xml:space="preserve">. Given the pace of technological advancements, we encourage ESMA to maintain flexibility and proportionality in its proposed approach. </w:t>
      </w:r>
    </w:p>
    <w:p w14:paraId="40FDA25E" w14:textId="77777777" w:rsidR="005B1152" w:rsidRPr="005B1152" w:rsidRDefault="005B1152" w:rsidP="005B1152">
      <w:pPr>
        <w:rPr>
          <w:u w:val="single"/>
        </w:rPr>
      </w:pPr>
    </w:p>
    <w:p w14:paraId="5D4ACA36" w14:textId="77777777" w:rsidR="005B1152" w:rsidRPr="005B1152" w:rsidRDefault="005B1152" w:rsidP="005B1152">
      <w:pPr>
        <w:rPr>
          <w:u w:val="single"/>
        </w:rPr>
      </w:pPr>
      <w:r w:rsidRPr="005B1152">
        <w:rPr>
          <w:u w:val="single"/>
        </w:rPr>
        <w:t>No comprehensive network-level overview</w:t>
      </w:r>
    </w:p>
    <w:p w14:paraId="193C6032" w14:textId="77777777" w:rsidR="005B1152" w:rsidRPr="005B1152" w:rsidRDefault="005B1152" w:rsidP="005B1152">
      <w:pPr>
        <w:pStyle w:val="Questionstyle"/>
        <w:numPr>
          <w:ilvl w:val="0"/>
          <w:numId w:val="0"/>
        </w:numPr>
        <w:ind w:left="360"/>
      </w:pPr>
    </w:p>
    <w:p w14:paraId="3C432B31" w14:textId="77777777" w:rsidR="005B1152" w:rsidRPr="005B1152" w:rsidRDefault="005B1152" w:rsidP="005B1152">
      <w:pPr>
        <w:pStyle w:val="Questionstyle"/>
        <w:numPr>
          <w:ilvl w:val="0"/>
          <w:numId w:val="0"/>
        </w:numPr>
      </w:pPr>
      <w:r w:rsidRPr="005B1152">
        <w:t>Due to the decentralised nature of DLTs, we view that no single market participant possesses a comprehensive overview of network-wide information requested by ESMA, specifically for the following reasons:</w:t>
      </w:r>
    </w:p>
    <w:p w14:paraId="77DCC626" w14:textId="77777777" w:rsidR="005B1152" w:rsidRPr="005B1152" w:rsidRDefault="005B1152" w:rsidP="005B1152">
      <w:pPr>
        <w:pStyle w:val="ListParagraph"/>
        <w:numPr>
          <w:ilvl w:val="0"/>
          <w:numId w:val="33"/>
        </w:numPr>
        <w:tabs>
          <w:tab w:val="clear" w:pos="0"/>
          <w:tab w:val="clear" w:pos="142"/>
          <w:tab w:val="clear" w:pos="284"/>
          <w:tab w:val="clear" w:pos="567"/>
        </w:tabs>
        <w:autoSpaceDE/>
        <w:autoSpaceDN/>
        <w:adjustRightInd/>
        <w:spacing w:line="260" w:lineRule="atLeast"/>
        <w:contextualSpacing/>
        <w:jc w:val="left"/>
        <w:rPr>
          <w:rFonts w:ascii="Times New Roman" w:hAnsi="Times New Roman" w:cs="Times New Roman"/>
          <w:sz w:val="24"/>
          <w:szCs w:val="24"/>
        </w:rPr>
      </w:pPr>
      <w:r w:rsidRPr="005B1152">
        <w:rPr>
          <w:rFonts w:ascii="Times New Roman" w:hAnsi="Times New Roman" w:cs="Times New Roman"/>
          <w:sz w:val="24"/>
          <w:szCs w:val="24"/>
        </w:rPr>
        <w:lastRenderedPageBreak/>
        <w:t>The devices: given the decentralised nature of DLT, it is impossible to know which devices a miner or node is using to connect with the network. That information is not publicised and there are several hundreds of thousands of nodes and miners so it is not possible to request such information. Specifically:</w:t>
      </w:r>
    </w:p>
    <w:p w14:paraId="6BAA875A" w14:textId="77777777" w:rsidR="005B1152" w:rsidRPr="005B1152" w:rsidRDefault="005B1152" w:rsidP="005B1152">
      <w:pPr>
        <w:pStyle w:val="ListParagraph"/>
        <w:numPr>
          <w:ilvl w:val="1"/>
          <w:numId w:val="33"/>
        </w:numPr>
        <w:tabs>
          <w:tab w:val="clear" w:pos="0"/>
          <w:tab w:val="clear" w:pos="142"/>
          <w:tab w:val="clear" w:pos="284"/>
          <w:tab w:val="clear" w:pos="567"/>
        </w:tabs>
        <w:autoSpaceDE/>
        <w:autoSpaceDN/>
        <w:adjustRightInd/>
        <w:spacing w:line="260" w:lineRule="atLeast"/>
        <w:contextualSpacing/>
        <w:jc w:val="left"/>
        <w:rPr>
          <w:rFonts w:ascii="Times New Roman" w:hAnsi="Times New Roman" w:cs="Times New Roman"/>
          <w:sz w:val="24"/>
          <w:szCs w:val="24"/>
        </w:rPr>
      </w:pPr>
      <w:r w:rsidRPr="005B1152">
        <w:rPr>
          <w:rFonts w:ascii="Times New Roman" w:hAnsi="Times New Roman" w:cs="Times New Roman"/>
          <w:sz w:val="24"/>
          <w:szCs w:val="24"/>
        </w:rPr>
        <w:t>Miners: Some sources assume miners use the most efficient device (or ASIC) to mine blocks, but that is not necessarily the case: capex is very expensive and the return on investment on mining equipment might take a long time.</w:t>
      </w:r>
    </w:p>
    <w:p w14:paraId="0817891A" w14:textId="77777777" w:rsidR="005B1152" w:rsidRPr="005B1152" w:rsidRDefault="005B1152" w:rsidP="005B1152">
      <w:pPr>
        <w:pStyle w:val="ListParagraph"/>
        <w:numPr>
          <w:ilvl w:val="1"/>
          <w:numId w:val="33"/>
        </w:numPr>
        <w:tabs>
          <w:tab w:val="clear" w:pos="0"/>
          <w:tab w:val="clear" w:pos="142"/>
          <w:tab w:val="clear" w:pos="284"/>
          <w:tab w:val="clear" w:pos="567"/>
        </w:tabs>
        <w:autoSpaceDE/>
        <w:autoSpaceDN/>
        <w:adjustRightInd/>
        <w:spacing w:line="260" w:lineRule="atLeast"/>
        <w:contextualSpacing/>
        <w:jc w:val="left"/>
        <w:rPr>
          <w:rFonts w:ascii="Times New Roman" w:hAnsi="Times New Roman" w:cs="Times New Roman"/>
          <w:sz w:val="24"/>
          <w:szCs w:val="24"/>
        </w:rPr>
      </w:pPr>
      <w:r w:rsidRPr="005B1152">
        <w:rPr>
          <w:rFonts w:ascii="Times New Roman" w:hAnsi="Times New Roman" w:cs="Times New Roman"/>
          <w:sz w:val="24"/>
          <w:szCs w:val="24"/>
        </w:rPr>
        <w:t>Nodes: nodes usually do not require demanding specifics, but they could be run on a laptop or a server, and each has unique specificities.</w:t>
      </w:r>
    </w:p>
    <w:p w14:paraId="09F3523C" w14:textId="77777777" w:rsidR="005B1152" w:rsidRPr="005B1152" w:rsidRDefault="005B1152" w:rsidP="005B1152">
      <w:pPr>
        <w:pStyle w:val="ListParagraph"/>
        <w:numPr>
          <w:ilvl w:val="0"/>
          <w:numId w:val="33"/>
        </w:numPr>
        <w:tabs>
          <w:tab w:val="clear" w:pos="0"/>
          <w:tab w:val="clear" w:pos="142"/>
          <w:tab w:val="clear" w:pos="284"/>
          <w:tab w:val="clear" w:pos="567"/>
        </w:tabs>
        <w:autoSpaceDE/>
        <w:autoSpaceDN/>
        <w:adjustRightInd/>
        <w:spacing w:line="260" w:lineRule="atLeast"/>
        <w:contextualSpacing/>
        <w:jc w:val="left"/>
        <w:rPr>
          <w:rFonts w:ascii="Times New Roman" w:hAnsi="Times New Roman" w:cs="Times New Roman"/>
          <w:sz w:val="24"/>
          <w:szCs w:val="24"/>
        </w:rPr>
      </w:pPr>
      <w:r w:rsidRPr="005B1152">
        <w:rPr>
          <w:rFonts w:ascii="Times New Roman" w:hAnsi="Times New Roman" w:cs="Times New Roman"/>
          <w:sz w:val="24"/>
          <w:szCs w:val="24"/>
        </w:rPr>
        <w:t>The energy consumption of each DLT network node or miner: same as above, as identifying the device is impossible. Therefore, it is impossible to know the energy consumption of each DLT node or miner.</w:t>
      </w:r>
    </w:p>
    <w:p w14:paraId="56A68C94" w14:textId="77777777" w:rsidR="005B1152" w:rsidRPr="005B1152" w:rsidRDefault="005B1152" w:rsidP="005B1152">
      <w:pPr>
        <w:pStyle w:val="ListParagraph"/>
        <w:numPr>
          <w:ilvl w:val="0"/>
          <w:numId w:val="33"/>
        </w:numPr>
        <w:tabs>
          <w:tab w:val="clear" w:pos="0"/>
          <w:tab w:val="clear" w:pos="142"/>
          <w:tab w:val="clear" w:pos="284"/>
          <w:tab w:val="clear" w:pos="567"/>
        </w:tabs>
        <w:autoSpaceDE/>
        <w:autoSpaceDN/>
        <w:adjustRightInd/>
        <w:spacing w:line="260" w:lineRule="atLeast"/>
        <w:contextualSpacing/>
        <w:jc w:val="left"/>
        <w:rPr>
          <w:rFonts w:ascii="Times New Roman" w:hAnsi="Times New Roman" w:cs="Times New Roman"/>
          <w:sz w:val="24"/>
          <w:szCs w:val="24"/>
        </w:rPr>
      </w:pPr>
      <w:r w:rsidRPr="005B1152">
        <w:rPr>
          <w:rFonts w:ascii="Times New Roman" w:hAnsi="Times New Roman" w:cs="Times New Roman"/>
          <w:sz w:val="24"/>
          <w:szCs w:val="24"/>
        </w:rPr>
        <w:t xml:space="preserve">The location of devices: locations can only be known through Ips, which are not a great proxy to understanding location since VPNs are widely used to foster security. In addition, in the case of miners, we note that they organise in mining pools and the IP address available for the mining pool does not specify where miners are located. </w:t>
      </w:r>
    </w:p>
    <w:p w14:paraId="4E6C003A" w14:textId="77777777" w:rsidR="005B1152" w:rsidRPr="005B1152" w:rsidRDefault="005B1152" w:rsidP="005B1152"/>
    <w:p w14:paraId="20519195" w14:textId="77777777" w:rsidR="005B1152" w:rsidRPr="005B1152" w:rsidRDefault="005B1152" w:rsidP="005B1152">
      <w:pPr>
        <w:rPr>
          <w:u w:val="single"/>
        </w:rPr>
      </w:pPr>
      <w:r w:rsidRPr="005B1152">
        <w:rPr>
          <w:u w:val="single"/>
        </w:rPr>
        <w:t>Risk of duplication</w:t>
      </w:r>
    </w:p>
    <w:p w14:paraId="744AB2CE" w14:textId="77777777" w:rsidR="005B1152" w:rsidRPr="005B1152" w:rsidRDefault="005B1152" w:rsidP="005B1152">
      <w:r w:rsidRPr="005B1152">
        <w:t>Our third concern relates to the distribution of information under the proposed sustainability disclosure requirements arising from the Level 1 obligations for CASPs to both provide a link to the white papers of crypto assets for which they provide services (under Article 66(3)) and to make sustainability information available for those crypto assets (under Article 66(5)). We view that this could impose double obligations on CASPs for disclosure and lead to the negative consequence of inconsistent information being publicly available. We therefore view that ESMA should apply to the greatest extent possible the principle of data uniqueness, namely, the principle of a “golden source” of data (i.e. of data being stored and maintained in one location, and not in multiple, separate locations).</w:t>
      </w:r>
    </w:p>
    <w:p w14:paraId="70BA7315" w14:textId="77777777" w:rsidR="005B1152" w:rsidRPr="005B1152" w:rsidRDefault="005B1152" w:rsidP="005B1152">
      <w:pPr>
        <w:pStyle w:val="Questionstyle"/>
        <w:numPr>
          <w:ilvl w:val="0"/>
          <w:numId w:val="0"/>
        </w:numPr>
        <w:ind w:left="360"/>
      </w:pPr>
    </w:p>
    <w:p w14:paraId="3BDDDC59" w14:textId="77777777" w:rsidR="005B1152" w:rsidRDefault="005B1152" w:rsidP="005B1152">
      <w:pPr>
        <w:pStyle w:val="Questionstyle"/>
        <w:numPr>
          <w:ilvl w:val="0"/>
          <w:numId w:val="0"/>
        </w:numPr>
      </w:pPr>
      <w:r w:rsidRPr="005B1152">
        <w:t>For example, for the disclosure of the sustainability impact of tokens, CASPs should be allowed to make reference to the white paper of the relevant token in order to comply with the requirements. As such, the responsibility towards accurate disclosure should be placed on white paper issuers as opposed to CASPs which are not involved in issuance. The starting point of the process of distribution of the information should be with the white paper of the issuer, and the issuer should be obliged to include all the sustainability information in the white paper (under Article 4(1)) and liable for updating this information “whenever there is a significant new factor, material mistake or material inaccuracy”. In addition, CASPs should not be obliged to translate the information given in a white paper if the language obligation placed on a CASP in RTS Article 3(4) does not match the language obligation placed on an issuer.</w:t>
      </w:r>
    </w:p>
    <w:p w14:paraId="29387F88" w14:textId="77777777" w:rsidR="005B1152" w:rsidRPr="005B1152" w:rsidRDefault="005B1152" w:rsidP="005B1152"/>
    <w:p w14:paraId="495B1594" w14:textId="77777777" w:rsidR="005B1152" w:rsidRPr="005B1152" w:rsidRDefault="005B1152" w:rsidP="005B1152">
      <w:pPr>
        <w:pStyle w:val="Questionstyle"/>
        <w:numPr>
          <w:ilvl w:val="0"/>
          <w:numId w:val="0"/>
        </w:numPr>
      </w:pPr>
      <w:r w:rsidRPr="005B1152">
        <w:t xml:space="preserve">We strongly view that CASPs should only be responsible for disclosing any adverse climate and environmental impacts which arise from their role in the crypto asset lifecycle. The proposed requirements do not distinguish between CASPs that act as operator of a trading venue, and CASPs that do not act as an operator of a trading venue, and may just offer a limited </w:t>
      </w:r>
      <w:r w:rsidRPr="005B1152">
        <w:lastRenderedPageBreak/>
        <w:t xml:space="preserve">range of CASP services (such as custody services). This may lead to the negative outcome that duplication would arise because the same information will be located, and will be publicly available, in many separate places (in the white paper of the issuer, and, in accordance with RTS Articles 3 and 4, on the websites of each CASP offering services for a crypto asset). This should be avoided as it may lead to confusion and inconsistency from the investor perspective. </w:t>
      </w:r>
    </w:p>
    <w:p w14:paraId="4657A109" w14:textId="77777777" w:rsidR="005B1152" w:rsidRPr="005B1152" w:rsidRDefault="005B1152" w:rsidP="005B1152">
      <w:pPr>
        <w:pStyle w:val="Questionstyle"/>
        <w:numPr>
          <w:ilvl w:val="0"/>
          <w:numId w:val="0"/>
        </w:numPr>
      </w:pPr>
      <w:r w:rsidRPr="005B1152">
        <w:t>In addition, while we welcome ESMA's view to base the RTS on early experiences from sustainability reporting requirements under the CSRD and the SFDR, as well as to take these frameworks as a reference to establish common methodological principles for quantitative metrics, credit institution which are subject to reporting obligations under SFRD / CSRD (and EFRAG disclosure standards) should not be subject to duplicative reporting requirements. Supervisors should clearly identify what additional disclosure issues will be required under the new RTSs.</w:t>
      </w:r>
    </w:p>
    <w:p w14:paraId="2AC9C10B" w14:textId="77777777" w:rsidR="005B1152" w:rsidRPr="005B1152" w:rsidRDefault="005B1152" w:rsidP="005B1152">
      <w:pPr>
        <w:rPr>
          <w:u w:val="single"/>
        </w:rPr>
      </w:pPr>
    </w:p>
    <w:p w14:paraId="18FF969E" w14:textId="77777777" w:rsidR="005B1152" w:rsidRPr="005B1152" w:rsidRDefault="005B1152" w:rsidP="005B1152">
      <w:pPr>
        <w:rPr>
          <w:u w:val="single"/>
        </w:rPr>
      </w:pPr>
      <w:r w:rsidRPr="005B1152">
        <w:rPr>
          <w:u w:val="single"/>
        </w:rPr>
        <w:t>Lack of information in white papers</w:t>
      </w:r>
    </w:p>
    <w:p w14:paraId="7ED736D2" w14:textId="1B29D742" w:rsidR="003A0670" w:rsidRDefault="005B1152" w:rsidP="00FA64BE">
      <w:r w:rsidRPr="005B1152">
        <w:t>For the reasons outlined above, we strongly view that in their disclosures CASPs should be able to refer to the sustainability disclosures included as part of the white papers of ARTs, EMTs and other crypto assets. However, in situations where either the issuer is not subject to MiCA or where the issuer benefits from an exemption from drawing up white papers, sustainability information on such ARTs, EMTs and other crypto assets would necessarily be unavailable. In these situations, we view that ESMA should differentiate between crypto assets with a white paper provided by the issuer, and those without (please refer to Question 10 for more details).</w:t>
      </w:r>
      <w:bookmarkEnd w:id="1"/>
    </w:p>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29BF78EA" w14:textId="3C753067" w:rsidR="00FA64BE" w:rsidRDefault="005B1152" w:rsidP="00CD1A98">
      <w:pPr>
        <w:spacing w:after="160" w:line="256" w:lineRule="auto"/>
        <w:jc w:val="both"/>
      </w:pPr>
      <w:permStart w:id="1220439445" w:edGrp="everyone"/>
      <w:r w:rsidRPr="00EA51EA">
        <w:rPr>
          <w:rFonts w:cstheme="minorHAnsi"/>
        </w:rPr>
        <w:t xml:space="preserve">We view that there are multiple different factors which </w:t>
      </w:r>
      <w:r>
        <w:rPr>
          <w:rFonts w:cstheme="minorHAnsi"/>
        </w:rPr>
        <w:t>can</w:t>
      </w:r>
      <w:r w:rsidRPr="00EA51EA">
        <w:rPr>
          <w:rFonts w:cstheme="minorHAnsi"/>
        </w:rPr>
        <w:t xml:space="preserve"> be considered when assessing the sustainability impacts. In our view, the key factors are the </w:t>
      </w:r>
      <w:proofErr w:type="spellStart"/>
      <w:r w:rsidRPr="00EA51EA">
        <w:rPr>
          <w:rFonts w:cstheme="minorHAnsi"/>
        </w:rPr>
        <w:t>i</w:t>
      </w:r>
      <w:proofErr w:type="spellEnd"/>
      <w:r w:rsidRPr="00EA51EA">
        <w:rPr>
          <w:rFonts w:cstheme="minorHAnsi"/>
        </w:rPr>
        <w:t>) the type of consensus mechanism (Proof of Work v. Proof of Stake), ii) the energy consumption of the consensus layer (e.g. hardware used etc.), iii) the source of energy, iv) the regional distribution of miners / validators, and v) regional-specific carbon intensity factors. However, given the decentralized nature of networks and the difficulty in acquiring information (e.g. on the energy consumption of each DLT network node, its location and the devices used to take part in the DLT network and hold a replica of records)</w:t>
      </w:r>
      <w:r>
        <w:rPr>
          <w:rFonts w:cstheme="minorHAnsi"/>
        </w:rPr>
        <w:t xml:space="preserve"> outlined above</w:t>
      </w:r>
      <w:r w:rsidRPr="00EA51EA">
        <w:rPr>
          <w:rFonts w:cstheme="minorHAnsi"/>
        </w:rPr>
        <w:t>, we view that the factors can only be derived based on estimates / assumptions and hence any results would be a best-guess estimate.</w:t>
      </w:r>
      <w:r>
        <w:rPr>
          <w:rFonts w:cstheme="minorHAnsi"/>
        </w:rPr>
        <w:t xml:space="preserve"> </w:t>
      </w:r>
      <w:r>
        <w:t>As provided in our answer to Question 1, we view that very limited information can be obtained in relation to individual DLT network node.</w:t>
      </w:r>
      <w:r w:rsidR="00FA64BE">
        <w:t xml:space="preserve"> </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lastRenderedPageBreak/>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28D2A8B5" w14:textId="61409456" w:rsidR="00FA64BE" w:rsidRDefault="005B1152" w:rsidP="00CD1A98">
      <w:pPr>
        <w:pStyle w:val="Questionstyle"/>
        <w:numPr>
          <w:ilvl w:val="0"/>
          <w:numId w:val="0"/>
        </w:numPr>
      </w:pPr>
      <w:permStart w:id="731276388" w:edGrp="everyone"/>
      <w:r w:rsidRPr="005B1152">
        <w:t xml:space="preserve">We support ESMA’s approach to ensure proportionality. As part of this, and as highlighted in our response to Question 1, it is imperative that the technical standards allow CASPs to use estimates and not require any market participant to disclosure sustainability information to which it lacks access (e.g. network-level information or where the issuer does not produce a white paper). </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4F159A2C" w14:textId="32381994" w:rsidR="00FA64BE" w:rsidRDefault="005B1152" w:rsidP="00FA64BE">
      <w:permStart w:id="1601982568" w:edGrp="everyone"/>
      <w:r>
        <w:t>As previously mentioned, only estimates are available due to the decentralised nature of networks, and therefore it is of utmost importance that issuers and CASPs can use estimates. This also needs to be considered in relation to the quality of data available. In the medium-term, we support market-led solutions towards creating a centralised database for sustainability information.</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3BBAE091" w14:textId="6CDE89F1" w:rsidR="00FA64BE" w:rsidRDefault="005B1152" w:rsidP="00FA64BE">
      <w:permStart w:id="480602896" w:edGrp="everyone"/>
      <w:r>
        <w:t>Due to the highly complex nature of accessing sustainability information for crypto assets described above, we support the ability to use publicly available sources like the Cambridge Blockchain Network Sustainability Index</w:t>
      </w:r>
      <w:r>
        <w:rPr>
          <w:rStyle w:val="FootnoteReference"/>
        </w:rPr>
        <w:footnoteReference w:id="4"/>
      </w:r>
      <w:r>
        <w:t xml:space="preserve"> or Crypto Carbon Ratings Institute studies, which would help reduce the associated costs. We do not support involving third parties charging CASPs for the provision of sustainability metrics, given the decentralised nature of the networks and that any resulting data remains estimates at the current juncture.</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0FBEA900" w14:textId="54AD7439" w:rsidR="00FA64BE" w:rsidRDefault="00CD1A98" w:rsidP="00FA64BE">
      <w:permStart w:id="74328323" w:edGrp="everyone"/>
      <w:r>
        <w:t xml:space="preserve">Please refer to our answer to Questions 1 and 2. </w:t>
      </w: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1B021443" w14:textId="1CCC06D0" w:rsidR="00FA64BE" w:rsidRDefault="00CD1A98" w:rsidP="00FA64BE">
      <w:permStart w:id="900805085" w:edGrp="everyone"/>
      <w:r>
        <w:t xml:space="preserve">Please refer to our answer to Questions 1 and 2. </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62FF9DDC" w14:textId="77777777" w:rsidR="00CD1A98" w:rsidRDefault="00CD1A98" w:rsidP="00CD1A98">
      <w:pPr>
        <w:pStyle w:val="Questionstyle"/>
        <w:numPr>
          <w:ilvl w:val="0"/>
          <w:numId w:val="0"/>
        </w:numPr>
      </w:pPr>
      <w:permStart w:id="1293448415" w:edGrp="everyone"/>
      <w:r>
        <w:t>Due to duplicative requirements for CASPs operating difference services, confusion for investors will arise because the same information will be available in multiple locations, and there is a significant risk of inconsistency due to different updating processes and degrees of information access. For example, even if an issuer updates its white paper on a timely basis, it is inevitable that there will be a delay before all the CASPs offering services for that crypto asset update the information available on their website.</w:t>
      </w:r>
    </w:p>
    <w:p w14:paraId="75BE7528" w14:textId="4CC2591F" w:rsidR="00FA64BE" w:rsidRDefault="00CD1A98" w:rsidP="00CD1A98">
      <w:pPr>
        <w:pStyle w:val="Questionstyle"/>
        <w:numPr>
          <w:ilvl w:val="0"/>
          <w:numId w:val="0"/>
        </w:numPr>
      </w:pPr>
      <w:r>
        <w:t>As highlighted in our response to Question 2, we encourage ESMA to modify its approach in this regard and minimise the risk of the same data being maintained in multiple locations.</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1FBB65C2" w14:textId="77777777" w:rsidR="00FA64BE" w:rsidRDefault="00FA64BE" w:rsidP="00FA64BE">
      <w:permStart w:id="891972062" w:edGrp="everyone"/>
      <w:r>
        <w:t>TYPE YOUR TEXT HERE</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5290BC33" w14:textId="77777777" w:rsidR="00CD1A98" w:rsidRDefault="00CD1A98" w:rsidP="00CD1A98">
      <w:pPr>
        <w:spacing w:after="120"/>
      </w:pPr>
      <w:permStart w:id="576606981" w:edGrp="everyone"/>
      <w:r>
        <w:t>We do not view that the proposed principles for the presentation of the information are fit for purpose for the reasons highlighted above. In particular, we support ESMA to differentiate the requirements for crypto assets for which there is a white paper and those for which there is not. We propose:</w:t>
      </w:r>
    </w:p>
    <w:p w14:paraId="1590CB1E" w14:textId="77777777" w:rsidR="00CD1A98" w:rsidRPr="00CD1A98" w:rsidRDefault="00CD1A98" w:rsidP="00CD1A98">
      <w:pPr>
        <w:pStyle w:val="ListParagraph"/>
        <w:numPr>
          <w:ilvl w:val="0"/>
          <w:numId w:val="37"/>
        </w:numPr>
        <w:tabs>
          <w:tab w:val="clear" w:pos="0"/>
          <w:tab w:val="clear" w:pos="142"/>
          <w:tab w:val="clear" w:pos="284"/>
          <w:tab w:val="clear" w:pos="567"/>
        </w:tabs>
        <w:autoSpaceDE/>
        <w:autoSpaceDN/>
        <w:adjustRightInd/>
        <w:spacing w:after="120" w:line="240" w:lineRule="auto"/>
        <w:jc w:val="left"/>
        <w:rPr>
          <w:rFonts w:ascii="Times New Roman" w:hAnsi="Times New Roman" w:cs="Times New Roman"/>
          <w:sz w:val="24"/>
          <w:szCs w:val="24"/>
        </w:rPr>
      </w:pPr>
      <w:r w:rsidRPr="00CD1A98">
        <w:rPr>
          <w:rFonts w:ascii="Times New Roman" w:hAnsi="Times New Roman" w:cs="Times New Roman"/>
          <w:sz w:val="24"/>
          <w:szCs w:val="24"/>
        </w:rPr>
        <w:lastRenderedPageBreak/>
        <w:t>For an EU/EEA issuer which issues a white paper in accordance with the MiCA requirements: we suggest that the information to be provided by CASPs under the Article 66(5) disclosure obligation be limited to the “General information and key indicators” set out in Table 1; there should be no obligation for a CASP to provide the information contained in the rest of Table 1, and in Table 2. In its disclosure the CASP should state the information comes from the white paper of the issuer, and should include a link to this white paper.</w:t>
      </w:r>
    </w:p>
    <w:p w14:paraId="6ECD0886" w14:textId="77777777" w:rsidR="00CD1A98" w:rsidRPr="00CD1A98" w:rsidRDefault="00CD1A98" w:rsidP="00CD1A98">
      <w:pPr>
        <w:pStyle w:val="ListParagraph"/>
        <w:numPr>
          <w:ilvl w:val="0"/>
          <w:numId w:val="37"/>
        </w:numPr>
        <w:tabs>
          <w:tab w:val="clear" w:pos="0"/>
          <w:tab w:val="clear" w:pos="142"/>
          <w:tab w:val="clear" w:pos="284"/>
          <w:tab w:val="clear" w:pos="567"/>
        </w:tabs>
        <w:autoSpaceDE/>
        <w:autoSpaceDN/>
        <w:adjustRightInd/>
        <w:spacing w:after="120" w:line="240" w:lineRule="auto"/>
        <w:jc w:val="left"/>
        <w:rPr>
          <w:rFonts w:ascii="Times New Roman" w:hAnsi="Times New Roman" w:cs="Times New Roman"/>
          <w:sz w:val="24"/>
          <w:szCs w:val="24"/>
        </w:rPr>
      </w:pPr>
      <w:r w:rsidRPr="00CD1A98">
        <w:rPr>
          <w:rFonts w:ascii="Times New Roman" w:hAnsi="Times New Roman" w:cs="Times New Roman"/>
          <w:sz w:val="24"/>
          <w:szCs w:val="24"/>
        </w:rPr>
        <w:t>An EU/EEA issuer does not issue a white paper as it can benefit from an exemption from the obligation to provide a white paper (as set out in MiCA Level 1, Article 4, paragraphs 2 and 3): given that the issuer benefits from an exemption, we suggest that all CASPs similarly benefit from an exemption from the disclosure obligation.</w:t>
      </w:r>
    </w:p>
    <w:p w14:paraId="4ACCF996" w14:textId="77777777" w:rsidR="00CD1A98" w:rsidRPr="00CD1A98" w:rsidRDefault="00CD1A98" w:rsidP="00CD1A98">
      <w:pPr>
        <w:pStyle w:val="ListParagraph"/>
        <w:numPr>
          <w:ilvl w:val="0"/>
          <w:numId w:val="37"/>
        </w:numPr>
        <w:tabs>
          <w:tab w:val="clear" w:pos="0"/>
          <w:tab w:val="clear" w:pos="142"/>
          <w:tab w:val="clear" w:pos="284"/>
          <w:tab w:val="clear" w:pos="567"/>
        </w:tabs>
        <w:autoSpaceDE/>
        <w:autoSpaceDN/>
        <w:adjustRightInd/>
        <w:spacing w:after="120" w:line="240" w:lineRule="auto"/>
        <w:jc w:val="left"/>
        <w:rPr>
          <w:rFonts w:ascii="Times New Roman" w:hAnsi="Times New Roman" w:cs="Times New Roman"/>
          <w:sz w:val="24"/>
          <w:szCs w:val="24"/>
        </w:rPr>
      </w:pPr>
      <w:r w:rsidRPr="00CD1A98">
        <w:rPr>
          <w:rFonts w:ascii="Times New Roman" w:hAnsi="Times New Roman" w:cs="Times New Roman"/>
          <w:sz w:val="24"/>
          <w:szCs w:val="24"/>
        </w:rPr>
        <w:t>A third-country issuer issues a white paper that is in line with the MiCA requirements: we suggest that the same approach be taken as with an EU/EEA issuer that issues a white paper (see first bullet above).</w:t>
      </w:r>
    </w:p>
    <w:p w14:paraId="5B7090E9" w14:textId="3A5B3D4B" w:rsidR="00FA64BE" w:rsidRPr="00CD1A98" w:rsidRDefault="00CD1A98" w:rsidP="00FA64BE">
      <w:pPr>
        <w:pStyle w:val="ListParagraph"/>
        <w:numPr>
          <w:ilvl w:val="0"/>
          <w:numId w:val="37"/>
        </w:numPr>
        <w:tabs>
          <w:tab w:val="clear" w:pos="0"/>
          <w:tab w:val="clear" w:pos="142"/>
          <w:tab w:val="clear" w:pos="284"/>
          <w:tab w:val="clear" w:pos="567"/>
        </w:tabs>
        <w:autoSpaceDE/>
        <w:autoSpaceDN/>
        <w:adjustRightInd/>
        <w:spacing w:after="120" w:line="240" w:lineRule="auto"/>
        <w:jc w:val="left"/>
        <w:rPr>
          <w:rFonts w:ascii="Times New Roman" w:hAnsi="Times New Roman" w:cs="Times New Roman"/>
          <w:sz w:val="24"/>
          <w:szCs w:val="24"/>
        </w:rPr>
      </w:pPr>
      <w:r w:rsidRPr="00CD1A98">
        <w:rPr>
          <w:rFonts w:ascii="Times New Roman" w:hAnsi="Times New Roman" w:cs="Times New Roman"/>
          <w:sz w:val="24"/>
          <w:szCs w:val="24"/>
        </w:rPr>
        <w:t>A third-country issuer issues a white paper that is not in line with the MiCA requirements, or does not issue a white paper, or there is no issuer: we suggest that the full Article 66(5) obligation to provide sustainability related information be applied just to those CASPs that operate a trading platform to which the crypto asset is admitted. All other CASPs (that do not operate a trading platform) will be able to provide the information set out in the first point above, and in this information refer, and provide a link, to the information provided by a CASP operating a trading platform for that crypto asset.</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0741EBB0" w14:textId="77777777" w:rsidR="00FA64BE" w:rsidRDefault="00FA64BE" w:rsidP="00FA64BE">
      <w:permStart w:id="48771598" w:edGrp="everyone"/>
      <w:r>
        <w:t>TYPE YOUR TEXT HERE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42358338" w14:textId="77777777" w:rsidR="00FA64BE" w:rsidRDefault="00FA64BE" w:rsidP="00FA64BE">
      <w:permStart w:id="763903754" w:edGrp="everyone"/>
      <w:r>
        <w:t>TYPE YOUR TEXT HERE</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52B8DED1" w14:textId="77777777" w:rsidR="00CD1A98" w:rsidRDefault="00CD1A98" w:rsidP="00CD1A98">
      <w:pPr>
        <w:pStyle w:val="Questionstyle"/>
        <w:numPr>
          <w:ilvl w:val="0"/>
          <w:numId w:val="0"/>
        </w:numPr>
      </w:pPr>
      <w:permStart w:id="1363767151" w:edGrp="everyone"/>
      <w:r>
        <w:t>In itself, we view the definition for permissionless DLT as being sufficiently precise.</w:t>
      </w:r>
    </w:p>
    <w:p w14:paraId="1948CC5F" w14:textId="77777777" w:rsidR="00CD1A98" w:rsidRDefault="00CD1A98" w:rsidP="00CD1A98">
      <w:pPr>
        <w:pStyle w:val="Questionstyle"/>
        <w:numPr>
          <w:ilvl w:val="0"/>
          <w:numId w:val="0"/>
        </w:numPr>
      </w:pPr>
      <w:r>
        <w:t>However, we believe that it is worthwhile to bring some additional clarity to the discussion in paragraphs 62 and 63 of the consultation paper. A CASP may provide a wide variety of services, and may interact with a DLT platform in different ways. A CASP may, for example, hold tokens on a DLT platform without using that platform for many of its internal processes. Under such a model, the distinction raised in paragraphs 62 and 63 between permissioned and permissionless DLTs is largely inappropriate.</w:t>
      </w:r>
    </w:p>
    <w:p w14:paraId="18D52730" w14:textId="77777777" w:rsidR="00CD1A98" w:rsidRPr="00FF57CE" w:rsidRDefault="00CD1A98" w:rsidP="00CD1A98">
      <w:pPr>
        <w:pStyle w:val="Questionstyle"/>
        <w:numPr>
          <w:ilvl w:val="0"/>
          <w:numId w:val="0"/>
        </w:numPr>
      </w:pPr>
      <w:r>
        <w:t>Under such a model, a CASP – even though it may have a contractual relationship with the operator of a permissioned DLT platform – would not have control of the infrastructure, and thus – as with a permissionless platform – should, as set out in paragraph 62, be exempted from liability for losses not attributable to the CASP.</w:t>
      </w:r>
    </w:p>
    <w:p w14:paraId="27DC097F" w14:textId="6854E157" w:rsidR="00FA64BE" w:rsidRDefault="00CD1A98" w:rsidP="00CD1A98">
      <w:pPr>
        <w:pStyle w:val="Questionstyle"/>
        <w:numPr>
          <w:ilvl w:val="0"/>
          <w:numId w:val="0"/>
        </w:numPr>
      </w:pPr>
      <w:r>
        <w:t xml:space="preserve">Similarly, paragraph 63 is fully correct in stating that use by a CASP of a permissionless DLT platform is not outsourcing in the context of Article 73 of MiCA Level 1. However, under the model set out above, use by a CASP of a permissioned DLT would not be outsourcing. </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02B98D6F" w14:textId="6D7358C1" w:rsidR="00FA64BE" w:rsidRPr="00CD1A98" w:rsidRDefault="00CD1A98" w:rsidP="00FA64BE">
      <w:pPr>
        <w:rPr>
          <w:lang w:val="en-US"/>
        </w:rPr>
      </w:pPr>
      <w:permStart w:id="1236938786" w:edGrp="everyone"/>
      <w:r w:rsidRPr="45A55F2F">
        <w:rPr>
          <w:lang w:val="en-US"/>
        </w:rPr>
        <w:t xml:space="preserve">This approach makes sense, but we would note that </w:t>
      </w:r>
      <w:r>
        <w:t xml:space="preserve">some issuers of non-ART crypto assets may not fall under the perimeter of the entities subject to DORA, and they therefore would not be subject to the requirements imposed by DORA. For these entities, we view it remains important to capture ICT specific systems given their importance and impact on operations. </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79735FA5" w14:textId="77777777" w:rsidR="00CD1A98" w:rsidRPr="00547002" w:rsidRDefault="00CD1A98" w:rsidP="00CD1A98">
      <w:pPr>
        <w:jc w:val="both"/>
      </w:pPr>
      <w:permStart w:id="1772099050" w:edGrp="everyone"/>
      <w:r w:rsidRPr="00547002">
        <w:rPr>
          <w:lang w:val="en-US"/>
        </w:rPr>
        <w:t xml:space="preserve">We do not consider external communications with clients in the event of a disruption involving a permissionless DLT appropriate for the mandate, as communications </w:t>
      </w:r>
      <w:r>
        <w:rPr>
          <w:lang w:val="en-US"/>
        </w:rPr>
        <w:t xml:space="preserve">by themselves </w:t>
      </w:r>
      <w:r w:rsidRPr="00547002">
        <w:rPr>
          <w:lang w:val="en-US"/>
        </w:rPr>
        <w:t xml:space="preserve">cannot ensure the continuity of services. In addition, it may not be possible to provide correct updates about expected resumed time and the reasons and impacts of the incident. Due to the nature of permissionless DLT, we foresee the following challenges: </w:t>
      </w:r>
      <w:proofErr w:type="spellStart"/>
      <w:r w:rsidRPr="00547002">
        <w:rPr>
          <w:lang w:val="en-US"/>
        </w:rPr>
        <w:t>i</w:t>
      </w:r>
      <w:proofErr w:type="spellEnd"/>
      <w:r w:rsidRPr="00547002">
        <w:rPr>
          <w:lang w:val="en-US"/>
        </w:rPr>
        <w:t xml:space="preserve">) repair time can depend from other </w:t>
      </w:r>
      <w:r w:rsidRPr="00547002">
        <w:rPr>
          <w:lang w:val="en-US"/>
        </w:rPr>
        <w:lastRenderedPageBreak/>
        <w:t xml:space="preserve">actors and therefore a forecast concerning time could not be possible; ii) reasons and impacts could rely on </w:t>
      </w:r>
      <w:r>
        <w:rPr>
          <w:lang w:val="en-US"/>
        </w:rPr>
        <w:t>un</w:t>
      </w:r>
      <w:r w:rsidRPr="00547002">
        <w:rPr>
          <w:lang w:val="en-US"/>
        </w:rPr>
        <w:t xml:space="preserve">disclosed problems </w:t>
      </w:r>
      <w:r>
        <w:rPr>
          <w:lang w:val="en-US"/>
        </w:rPr>
        <w:t>requiring</w:t>
      </w:r>
      <w:r w:rsidRPr="00547002">
        <w:rPr>
          <w:lang w:val="en-US"/>
        </w:rPr>
        <w:t xml:space="preserve"> further investigations.</w:t>
      </w:r>
    </w:p>
    <w:p w14:paraId="5A292A8F" w14:textId="77777777" w:rsidR="00CD1A98" w:rsidRDefault="00CD1A98" w:rsidP="00CD1A98">
      <w:pPr>
        <w:rPr>
          <w:highlight w:val="green"/>
        </w:rPr>
      </w:pPr>
    </w:p>
    <w:p w14:paraId="2CEB9FCE" w14:textId="47648C16" w:rsidR="00FA64BE" w:rsidRPr="00CD1A98" w:rsidRDefault="00CD1A98" w:rsidP="00CD1A98">
      <w:pPr>
        <w:jc w:val="both"/>
        <w:rPr>
          <w:lang w:val="en-US"/>
        </w:rPr>
      </w:pPr>
      <w:r w:rsidRPr="007927E0">
        <w:rPr>
          <w:lang w:val="en-US"/>
        </w:rPr>
        <w:t xml:space="preserve">While the real-time monitoring of the DLT may be seen as a value-added service offered by CASPs to clients, this monitoring does not guarantee continuity of services in case of problems arising in the permissionless DLT, so </w:t>
      </w:r>
      <w:r>
        <w:rPr>
          <w:lang w:val="en-US"/>
        </w:rPr>
        <w:t>we do not view that it</w:t>
      </w:r>
      <w:r w:rsidRPr="007927E0">
        <w:rPr>
          <w:lang w:val="en-US"/>
        </w:rPr>
        <w:t xml:space="preserve"> should be mandatory.</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78BCC82" w14:textId="3674478C" w:rsidR="00FA64BE" w:rsidRDefault="00CD1A98" w:rsidP="00CD1A98">
      <w:pPr>
        <w:spacing w:after="160" w:line="256" w:lineRule="auto"/>
      </w:pPr>
      <w:permStart w:id="1875469134" w:edGrp="everyone"/>
      <w:r w:rsidRPr="00DB4CA8">
        <w:t>We agree that RTS has also to specify that CASPs must establish a business continuity management function in order to oversee the obligations in the RTS. CASPs which belong to entities with existing business continuity management functions should be able to leverage existing capabilities.</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1D330384" w:rsidR="00FA64BE" w:rsidRDefault="00CD1A98" w:rsidP="00FA64BE">
      <w:permStart w:id="1670274690" w:edGrp="everyone"/>
      <w:r w:rsidRPr="002D5289">
        <w:t xml:space="preserve">We view it is </w:t>
      </w:r>
      <w:r w:rsidRPr="002D5289">
        <w:rPr>
          <w:lang w:val="en-US"/>
        </w:rPr>
        <w:t xml:space="preserve">important to define what components should be included in </w:t>
      </w:r>
      <w:proofErr w:type="spellStart"/>
      <w:r w:rsidRPr="002D5289">
        <w:rPr>
          <w:lang w:val="en-US"/>
        </w:rPr>
        <w:t>self assessments</w:t>
      </w:r>
      <w:proofErr w:type="spellEnd"/>
      <w:r w:rsidRPr="002D5289">
        <w:rPr>
          <w:lang w:val="en-US"/>
        </w:rPr>
        <w:t>, for example the kinds of assets held in custody (under point b of the Annex). We note that some assets may be newer and less established than others, and it would be useful to understand what is required to be included.</w:t>
      </w:r>
    </w:p>
    <w:permEnd w:id="1670274690"/>
    <w:p w14:paraId="50DE51A4" w14:textId="77777777" w:rsidR="00FA64BE" w:rsidRDefault="00FA64BE" w:rsidP="00FA64BE">
      <w:r>
        <w:lastRenderedPageBreak/>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4A9343C9" w14:textId="77777777" w:rsidR="009A1224" w:rsidRPr="002D5289" w:rsidRDefault="009A1224" w:rsidP="009A1224">
      <w:pPr>
        <w:rPr>
          <w:lang w:val="en-US"/>
        </w:rPr>
      </w:pPr>
      <w:permStart w:id="2072316093" w:edGrp="everyone"/>
      <w:r w:rsidRPr="45A55F2F">
        <w:rPr>
          <w:lang w:val="en-US"/>
        </w:rPr>
        <w:t>While we broadly agree with the description, we note that the MiCA regulation does not defi</w:t>
      </w:r>
      <w:r>
        <w:rPr>
          <w:lang w:val="en-US"/>
        </w:rPr>
        <w:t xml:space="preserve">ne </w:t>
      </w:r>
      <w:proofErr w:type="spellStart"/>
      <w:r>
        <w:rPr>
          <w:lang w:val="en-US"/>
        </w:rPr>
        <w:t>decentrali</w:t>
      </w:r>
      <w:r w:rsidRPr="45A55F2F">
        <w:rPr>
          <w:lang w:val="en-US"/>
        </w:rPr>
        <w:t>sed</w:t>
      </w:r>
      <w:proofErr w:type="spellEnd"/>
      <w:r w:rsidRPr="45A55F2F">
        <w:rPr>
          <w:lang w:val="en-US"/>
        </w:rPr>
        <w:t xml:space="preserve"> finance (which will be subject to a Commission report by end-2024), and therefore we </w:t>
      </w:r>
      <w:r>
        <w:rPr>
          <w:lang w:val="en-US"/>
        </w:rPr>
        <w:t>view that any description should</w:t>
      </w:r>
      <w:r w:rsidRPr="45A55F2F">
        <w:rPr>
          <w:lang w:val="en-US"/>
        </w:rPr>
        <w:t xml:space="preserve"> </w:t>
      </w:r>
      <w:r>
        <w:rPr>
          <w:lang w:val="en-US"/>
        </w:rPr>
        <w:t xml:space="preserve">facilitate the Commission report and further legislative proposal (if required). </w:t>
      </w:r>
    </w:p>
    <w:p w14:paraId="544DDEF4" w14:textId="0642C52F" w:rsidR="00FA64BE" w:rsidRPr="009A1224" w:rsidRDefault="00FA64BE" w:rsidP="00FA64BE">
      <w:pPr>
        <w:rPr>
          <w:lang w:val="en-US"/>
        </w:rPr>
      </w:pP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xml:space="preserve">: Do you agree with ESMA’s proposals on the description of the pre-trade information to be disclosed (content of pre-trade information) under Table 2 of Annex </w:t>
      </w:r>
      <w:r w:rsidRPr="003A287A">
        <w:lastRenderedPageBreak/>
        <w:t>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4FFE556" w14:textId="77777777" w:rsidR="00FA64BE" w:rsidRDefault="00FA64BE" w:rsidP="00FA64BE">
      <w:permStart w:id="712931667" w:edGrp="everyone"/>
      <w:r>
        <w:t>TYPE YOUR TEXT HERE</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lastRenderedPageBreak/>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2198970A" w14:textId="77777777" w:rsidR="00372EF6" w:rsidRPr="002D5289" w:rsidRDefault="00372EF6" w:rsidP="00372EF6">
      <w:pPr>
        <w:rPr>
          <w:lang w:val="en-US"/>
        </w:rPr>
      </w:pPr>
      <w:permStart w:id="814574276" w:edGrp="everyone"/>
      <w:r w:rsidRPr="002D5289">
        <w:t xml:space="preserve">In relation to </w:t>
      </w:r>
      <w:r w:rsidRPr="002D5289">
        <w:rPr>
          <w:lang w:val="en-US"/>
        </w:rPr>
        <w:t>orders on CEX, we consider few minutes as the maximum delay possible. Considering DEX, we view it is permissible to add more time depending on the number of blocks and time needed to confirm the transaction on-chain.</w:t>
      </w:r>
    </w:p>
    <w:p w14:paraId="5B7353C8" w14:textId="1CC73713" w:rsidR="00FA64BE" w:rsidRPr="00372EF6" w:rsidRDefault="00FA64BE" w:rsidP="00FA64BE">
      <w:pPr>
        <w:rPr>
          <w:lang w:val="en-US"/>
        </w:rPr>
      </w:pP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32354460" w14:textId="77777777" w:rsidR="00C56392" w:rsidRPr="002D5289" w:rsidRDefault="00C56392" w:rsidP="00C56392">
      <w:pPr>
        <w:rPr>
          <w:lang w:val="en-US"/>
        </w:rPr>
      </w:pPr>
      <w:permStart w:id="1795817737" w:edGrp="everyone"/>
      <w:r w:rsidRPr="002D5289">
        <w:rPr>
          <w:lang w:val="en-US"/>
        </w:rPr>
        <w:t>In our members’ experience, the trading platforms on which clients trade generally offer visibility on market data such as price pair (both crypto to crypto and crypto to fiat) and price history in a granular manner.</w:t>
      </w:r>
    </w:p>
    <w:p w14:paraId="2E48531B" w14:textId="0A6DD29B" w:rsidR="00FA64BE" w:rsidRPr="00C56392" w:rsidRDefault="00FA64BE" w:rsidP="00FA64BE">
      <w:pPr>
        <w:rPr>
          <w:lang w:val="en-US"/>
        </w:rPr>
      </w:pPr>
    </w:p>
    <w:permEnd w:id="1795817737"/>
    <w:p w14:paraId="27A8FA84" w14:textId="77777777" w:rsidR="00FA64BE" w:rsidRDefault="00FA64BE" w:rsidP="00FA64BE">
      <w:r>
        <w:lastRenderedPageBreak/>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3F13B629" w14:textId="77777777" w:rsidR="00CB55C6" w:rsidRPr="00DA05D3" w:rsidRDefault="00CB55C6" w:rsidP="00CB55C6">
      <w:pPr>
        <w:rPr>
          <w:lang w:val="en-US"/>
        </w:rPr>
      </w:pPr>
      <w:permStart w:id="1164135930" w:edGrp="everyone"/>
      <w:r w:rsidRPr="00735218">
        <w:t xml:space="preserve">We view that measures including </w:t>
      </w:r>
      <w:r w:rsidRPr="00735218">
        <w:rPr>
          <w:lang w:val="en-US"/>
        </w:rPr>
        <w:t xml:space="preserve">APIs, standardized file formats (such as </w:t>
      </w:r>
      <w:proofErr w:type="spellStart"/>
      <w:r w:rsidRPr="00735218">
        <w:rPr>
          <w:lang w:val="en-US"/>
        </w:rPr>
        <w:t>json</w:t>
      </w:r>
      <w:proofErr w:type="spellEnd"/>
      <w:r w:rsidRPr="00735218">
        <w:rPr>
          <w:lang w:val="en-US"/>
        </w:rPr>
        <w:t xml:space="preserve">), and a centralized data portal for authorities would be </w:t>
      </w:r>
      <w:r>
        <w:rPr>
          <w:lang w:val="en-US"/>
        </w:rPr>
        <w:t>feasible</w:t>
      </w:r>
      <w:r w:rsidRPr="00735218">
        <w:rPr>
          <w:lang w:val="en-US"/>
        </w:rPr>
        <w:t>. In addition, we request clarification on the ‘common messages’ referred to in the proposal.</w:t>
      </w:r>
      <w:r>
        <w:rPr>
          <w:lang w:val="en-US"/>
        </w:rPr>
        <w:t xml:space="preserve"> </w:t>
      </w:r>
    </w:p>
    <w:p w14:paraId="0306C6AF" w14:textId="1F6349D2" w:rsidR="00FA64BE" w:rsidRPr="00CB55C6" w:rsidRDefault="00FA64BE" w:rsidP="00FA64BE">
      <w:pPr>
        <w:rPr>
          <w:lang w:val="en-US"/>
        </w:rPr>
      </w:pP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4EDD4253" w14:textId="77777777" w:rsidR="008C5806" w:rsidRPr="00484E2F" w:rsidRDefault="008C5806" w:rsidP="008C5806">
      <w:pPr>
        <w:spacing w:after="160" w:line="256" w:lineRule="auto"/>
        <w:jc w:val="both"/>
        <w:rPr>
          <w:rFonts w:cstheme="minorHAnsi"/>
        </w:rPr>
      </w:pPr>
      <w:permStart w:id="1190932617" w:edGrp="everyone"/>
      <w:r w:rsidRPr="00484E2F">
        <w:rPr>
          <w:rFonts w:cstheme="minorHAnsi"/>
        </w:rPr>
        <w:t xml:space="preserve">We view that DTIs need to be available and accessible for use by market participants involved in the entire lifecycle of the crypto assets. We remain concerned that, unlike ISINs, the market practices and standards for DTIs are not internationally well-established at this current juncture, and therefore it remains important to monitor their adoption for use across different jurisdictions otherwise there could be negative and fragmentary consequences.  In addition, while </w:t>
      </w:r>
      <w:r>
        <w:rPr>
          <w:rFonts w:cstheme="minorHAnsi"/>
        </w:rPr>
        <w:t xml:space="preserve">the </w:t>
      </w:r>
      <w:r w:rsidRPr="00484E2F">
        <w:rPr>
          <w:rFonts w:cstheme="minorHAnsi"/>
        </w:rPr>
        <w:t>DTI is a good starting point, some extension</w:t>
      </w:r>
      <w:r>
        <w:rPr>
          <w:rFonts w:cstheme="minorHAnsi"/>
        </w:rPr>
        <w:t>s</w:t>
      </w:r>
      <w:r w:rsidRPr="00484E2F">
        <w:rPr>
          <w:rFonts w:cstheme="minorHAnsi"/>
        </w:rPr>
        <w:t xml:space="preserve"> to the token matrix definition could </w:t>
      </w:r>
      <w:r>
        <w:rPr>
          <w:rFonts w:cstheme="minorHAnsi"/>
        </w:rPr>
        <w:t xml:space="preserve">be </w:t>
      </w:r>
      <w:r w:rsidRPr="00484E2F">
        <w:rPr>
          <w:rFonts w:cstheme="minorHAnsi"/>
        </w:rPr>
        <w:t>improve</w:t>
      </w:r>
      <w:r>
        <w:rPr>
          <w:rFonts w:cstheme="minorHAnsi"/>
        </w:rPr>
        <w:t>d</w:t>
      </w:r>
      <w:r w:rsidRPr="00484E2F">
        <w:rPr>
          <w:rFonts w:cstheme="minorHAnsi"/>
        </w:rPr>
        <w:t xml:space="preserve">, including </w:t>
      </w:r>
      <w:proofErr w:type="spellStart"/>
      <w:r w:rsidRPr="00484E2F">
        <w:rPr>
          <w:rFonts w:cstheme="minorHAnsi"/>
        </w:rPr>
        <w:t>bootnodes</w:t>
      </w:r>
      <w:proofErr w:type="spellEnd"/>
      <w:r w:rsidRPr="00484E2F">
        <w:rPr>
          <w:rFonts w:cstheme="minorHAnsi"/>
        </w:rPr>
        <w:t xml:space="preserve"> of the relative chain and smart contract formal definition (via source code or similar).</w:t>
      </w:r>
    </w:p>
    <w:p w14:paraId="665BE297" w14:textId="1D292781" w:rsidR="00FA64BE" w:rsidRDefault="00FA64BE" w:rsidP="00FA64BE"/>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447E3BD4" w:rsidR="00FA64BE" w:rsidRDefault="004F3B8C" w:rsidP="00FA64BE">
      <w:permStart w:id="1238859015" w:edGrp="everyone"/>
      <w:r w:rsidRPr="00484E2F">
        <w:t xml:space="preserve">Examples of technical attributes describing the characteristics of crypto assets or DLT (Distributed Ledger Technology) features that cannot be recovered from the DTIF (Digital </w:t>
      </w:r>
      <w:r w:rsidRPr="00484E2F">
        <w:lastRenderedPageBreak/>
        <w:t>Token Information File) include the token definition contract in the case of secondary tokens defined through smart contracts or features defined through third-party standards (e.g., ASA).</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5B0A4998" w:rsidR="00FA64BE" w:rsidRDefault="00057A82" w:rsidP="00FA64BE">
      <w:permStart w:id="713520583" w:edGrp="everyone"/>
      <w:r w:rsidRPr="009D0911">
        <w:t>While the transaction hash is a good solution on public blockchain technologies with a well-known ledger, we suggest a more specific reference should be made. However, </w:t>
      </w:r>
      <w:r>
        <w:t>i</w:t>
      </w:r>
      <w:r w:rsidRPr="009D0911">
        <w:t>t is not clear which use case can be associated with a transaction partially executed on-chain. Hybrid models exist in which the asset leg is on-chain, and the cash-leg is off-chain (Traditional payment rails). In this case, it is not clear how the two transactions should be identified.</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418C54EF" w14:textId="77777777" w:rsidR="00147494" w:rsidRPr="00147494" w:rsidRDefault="00147494" w:rsidP="00147494">
      <w:pPr>
        <w:autoSpaceDE w:val="0"/>
        <w:autoSpaceDN w:val="0"/>
        <w:adjustRightInd w:val="0"/>
      </w:pPr>
      <w:permStart w:id="1621834718" w:edGrp="everyone"/>
      <w:r w:rsidRPr="001B364C">
        <w:rPr>
          <w:rFonts w:cs="Lato-Regular"/>
        </w:rPr>
        <w:t xml:space="preserve">We broadly agree with this requirement, but </w:t>
      </w:r>
      <w:r>
        <w:rPr>
          <w:rFonts w:cs="Lato-Regular"/>
        </w:rPr>
        <w:t xml:space="preserve">we view that this separate field should remain </w:t>
      </w:r>
      <w:r w:rsidRPr="00147494">
        <w:t>voluntary for several reasons:</w:t>
      </w:r>
    </w:p>
    <w:p w14:paraId="3FA31C28" w14:textId="77777777" w:rsidR="00147494" w:rsidRPr="00147494" w:rsidRDefault="00147494" w:rsidP="00147494">
      <w:pPr>
        <w:pStyle w:val="ListParagraph"/>
        <w:numPr>
          <w:ilvl w:val="0"/>
          <w:numId w:val="39"/>
        </w:numPr>
        <w:tabs>
          <w:tab w:val="clear" w:pos="0"/>
          <w:tab w:val="clear" w:pos="142"/>
          <w:tab w:val="clear" w:pos="284"/>
          <w:tab w:val="clear" w:pos="567"/>
        </w:tabs>
        <w:spacing w:line="240" w:lineRule="auto"/>
        <w:contextualSpacing/>
        <w:jc w:val="left"/>
        <w:rPr>
          <w:rFonts w:ascii="Times New Roman" w:hAnsi="Times New Roman" w:cs="Times New Roman"/>
          <w:sz w:val="24"/>
          <w:szCs w:val="24"/>
        </w:rPr>
      </w:pPr>
      <w:r w:rsidRPr="00147494">
        <w:rPr>
          <w:rFonts w:ascii="Times New Roman" w:hAnsi="Times New Roman" w:cs="Times New Roman"/>
          <w:sz w:val="24"/>
          <w:szCs w:val="24"/>
        </w:rPr>
        <w:t xml:space="preserve">The purpose of having a separate recording of “gas fee” should be to identify the amount of gas fees paid out of the addresses where the customers' funds are located in case such addresses accumulate crypto assets from more than one customer (omnibus address). </w:t>
      </w:r>
    </w:p>
    <w:p w14:paraId="6F7C015F" w14:textId="77777777" w:rsidR="00147494" w:rsidRPr="00147494" w:rsidRDefault="00147494" w:rsidP="00147494">
      <w:pPr>
        <w:pStyle w:val="ListParagraph"/>
        <w:numPr>
          <w:ilvl w:val="0"/>
          <w:numId w:val="39"/>
        </w:numPr>
        <w:tabs>
          <w:tab w:val="clear" w:pos="0"/>
          <w:tab w:val="clear" w:pos="142"/>
          <w:tab w:val="clear" w:pos="284"/>
          <w:tab w:val="clear" w:pos="567"/>
        </w:tabs>
        <w:spacing w:line="240" w:lineRule="auto"/>
        <w:contextualSpacing/>
        <w:jc w:val="left"/>
        <w:rPr>
          <w:rFonts w:ascii="Times New Roman" w:hAnsi="Times New Roman" w:cs="Times New Roman"/>
          <w:sz w:val="24"/>
          <w:szCs w:val="24"/>
        </w:rPr>
      </w:pPr>
      <w:r w:rsidRPr="00147494">
        <w:rPr>
          <w:rFonts w:ascii="Times New Roman" w:hAnsi="Times New Roman" w:cs="Times New Roman"/>
          <w:sz w:val="24"/>
          <w:szCs w:val="24"/>
        </w:rPr>
        <w:t xml:space="preserve"> ‘Gas fee’ is a term specific to the Ethereum blockchain and Ethereum-based blockchains.</w:t>
      </w:r>
    </w:p>
    <w:p w14:paraId="034D875C" w14:textId="77777777" w:rsidR="00147494" w:rsidRPr="00147494" w:rsidRDefault="00147494" w:rsidP="00147494">
      <w:pPr>
        <w:pStyle w:val="ListParagraph"/>
        <w:numPr>
          <w:ilvl w:val="0"/>
          <w:numId w:val="39"/>
        </w:numPr>
        <w:tabs>
          <w:tab w:val="clear" w:pos="0"/>
          <w:tab w:val="clear" w:pos="142"/>
          <w:tab w:val="clear" w:pos="284"/>
          <w:tab w:val="clear" w:pos="567"/>
        </w:tabs>
        <w:spacing w:line="240" w:lineRule="auto"/>
        <w:contextualSpacing/>
        <w:jc w:val="left"/>
        <w:rPr>
          <w:rFonts w:ascii="Times New Roman" w:hAnsi="Times New Roman" w:cs="Times New Roman"/>
          <w:sz w:val="24"/>
          <w:szCs w:val="24"/>
        </w:rPr>
      </w:pPr>
      <w:r w:rsidRPr="00147494">
        <w:rPr>
          <w:rFonts w:ascii="Times New Roman" w:hAnsi="Times New Roman" w:cs="Times New Roman"/>
          <w:sz w:val="24"/>
          <w:szCs w:val="24"/>
        </w:rPr>
        <w:t xml:space="preserve">For reporting related to on-chain transaction auditing, the inclusion of a separate field for recording the ’gas fees’ applied to the transaction can be significant in identifying the priority and cost requirements associated with it. </w:t>
      </w:r>
    </w:p>
    <w:p w14:paraId="504E92FD" w14:textId="77777777" w:rsidR="00147494" w:rsidRPr="00147494" w:rsidRDefault="00147494" w:rsidP="00147494">
      <w:pPr>
        <w:pStyle w:val="ListParagraph"/>
        <w:numPr>
          <w:ilvl w:val="0"/>
          <w:numId w:val="39"/>
        </w:numPr>
        <w:tabs>
          <w:tab w:val="clear" w:pos="0"/>
          <w:tab w:val="clear" w:pos="142"/>
          <w:tab w:val="clear" w:pos="284"/>
          <w:tab w:val="clear" w:pos="567"/>
        </w:tabs>
        <w:spacing w:line="240" w:lineRule="auto"/>
        <w:contextualSpacing/>
        <w:jc w:val="left"/>
        <w:rPr>
          <w:rFonts w:ascii="Times New Roman" w:hAnsi="Times New Roman" w:cs="Times New Roman"/>
          <w:sz w:val="24"/>
          <w:szCs w:val="24"/>
        </w:rPr>
      </w:pPr>
      <w:r w:rsidRPr="00147494">
        <w:rPr>
          <w:rFonts w:ascii="Times New Roman" w:hAnsi="Times New Roman" w:cs="Times New Roman"/>
          <w:sz w:val="24"/>
          <w:szCs w:val="24"/>
        </w:rPr>
        <w:t>Furthermore, reference is made to transactions with “from” and “to” but not all transactions are necessarily directed towards individuals; they can also be directed towards “lock contracts” and “liquidity pools”. Therefore, the simple definition of “to” might be misleading.</w:t>
      </w:r>
    </w:p>
    <w:p w14:paraId="02DD99B6" w14:textId="68C0A524" w:rsidR="00FA64BE" w:rsidRDefault="00FA64BE" w:rsidP="00FA64BE"/>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58D88F88" w14:textId="77777777" w:rsidR="008D6D08" w:rsidRPr="00C71739" w:rsidRDefault="008D6D08" w:rsidP="008D6D08">
      <w:permStart w:id="245909215" w:edGrp="everyone"/>
      <w:r w:rsidRPr="00C71739">
        <w:lastRenderedPageBreak/>
        <w:t xml:space="preserve">While we agree with this approach, we view that creating a custom standard which may not applicable </w:t>
      </w:r>
      <w:r>
        <w:t>to</w:t>
      </w:r>
      <w:r w:rsidRPr="00C71739">
        <w:t xml:space="preserve"> all kinds of digital asset technologies merits further consideration.  </w:t>
      </w:r>
    </w:p>
    <w:p w14:paraId="3E0B7D2B" w14:textId="07FB9039" w:rsidR="00FA64BE" w:rsidRDefault="00FA64BE" w:rsidP="00FA64BE"/>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4DFCE097" w14:textId="77777777" w:rsidR="00B25FBD" w:rsidRPr="00C71739" w:rsidRDefault="00B25FBD" w:rsidP="00B25FBD">
      <w:pPr>
        <w:jc w:val="both"/>
      </w:pPr>
      <w:permStart w:id="748044046" w:edGrp="everyone"/>
      <w:r w:rsidRPr="00C71739">
        <w:t>We view that on-chain only trading should be considered differently from off-chain trading because the order settlement will depend on the timing of validation and confirmation of the transactions on the specific blockchain</w:t>
      </w:r>
      <w:r>
        <w:t>.</w:t>
      </w:r>
    </w:p>
    <w:p w14:paraId="340EA736" w14:textId="26D17EDE" w:rsidR="00FA64BE" w:rsidRDefault="00FA64BE" w:rsidP="00FA64BE"/>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605C9C05" w14:textId="77777777" w:rsidR="00F70D9A" w:rsidRPr="004025E7" w:rsidRDefault="00F70D9A" w:rsidP="00F70D9A">
      <w:pPr>
        <w:jc w:val="both"/>
      </w:pPr>
      <w:permStart w:id="1824078617" w:edGrp="everyone"/>
      <w:r w:rsidRPr="004025E7">
        <w:t>In most scenarios, the use of hash, HMAC, or generic pointers to data stored in off-chain databases is assumed for the proper management of data while ensuring privacy compliance.</w:t>
      </w:r>
    </w:p>
    <w:p w14:paraId="5DB3E462" w14:textId="26492D53" w:rsidR="00FA64BE" w:rsidRDefault="00FA64BE" w:rsidP="00FA64BE"/>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C096076" w14:textId="70B9EE97" w:rsidR="00FA64BE" w:rsidRDefault="00D3298C" w:rsidP="00FA64BE">
      <w:permStart w:id="1153519239" w:edGrp="everyone"/>
      <w:r w:rsidRPr="004025E7">
        <w:t>We view that the</w:t>
      </w:r>
      <w:r w:rsidRPr="004025E7">
        <w:rPr>
          <w:lang w:val="en-US"/>
        </w:rPr>
        <w:t xml:space="preserve"> definitions </w:t>
      </w:r>
      <w:r>
        <w:rPr>
          <w:lang w:val="en-US"/>
        </w:rPr>
        <w:t>are</w:t>
      </w:r>
      <w:r w:rsidRPr="004025E7">
        <w:rPr>
          <w:lang w:val="en-US"/>
        </w:rPr>
        <w:t xml:space="preserve"> clear</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026752BA" w14:textId="77777777" w:rsidR="003E6CDA" w:rsidRDefault="003E6CDA" w:rsidP="003E6CDA">
      <w:permStart w:id="1581865548" w:edGrp="everyone"/>
      <w:r>
        <w:t xml:space="preserve">We do not anticipate practical issues in the implementation of the proposed approach to reception and transmission of orders. </w:t>
      </w:r>
    </w:p>
    <w:p w14:paraId="50BECEA1" w14:textId="35686E96" w:rsidR="00FA64BE" w:rsidRDefault="00FA64BE" w:rsidP="00FA64BE"/>
    <w:permEnd w:id="1581865548"/>
    <w:p w14:paraId="4309CBAF" w14:textId="77777777"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2982CC15" w14:textId="77777777" w:rsidR="00322D69" w:rsidRPr="00FD1CCB" w:rsidRDefault="00322D69" w:rsidP="00322D69">
      <w:permStart w:id="284979367" w:edGrp="everyone"/>
      <w:r>
        <w:t xml:space="preserve">Transaction information which can be retrieved includes </w:t>
      </w:r>
      <w:r w:rsidRPr="00FD1CCB">
        <w:t>all the information related to the order and its workflow follow-up (partial filling, total fill, execution, cancellation etc.).</w:t>
      </w:r>
    </w:p>
    <w:p w14:paraId="47B50666" w14:textId="2459F117" w:rsidR="00FA64BE" w:rsidRDefault="00FA64BE" w:rsidP="00FA64BE"/>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EA0E410" w14:textId="77777777" w:rsidR="00EA0142" w:rsidRPr="00E26824" w:rsidRDefault="00EA0142" w:rsidP="00EA0142">
      <w:pPr>
        <w:rPr>
          <w:lang w:val="en-US"/>
        </w:rPr>
      </w:pPr>
      <w:permStart w:id="1583566084" w:edGrp="everyone"/>
      <w:r w:rsidRPr="00E26824">
        <w:rPr>
          <w:lang w:val="en-US"/>
        </w:rPr>
        <w:t>We envision problems in both the CEX and DEX. For example, in a CEX environment, information about the identity of the counterparty of the transaction must be confirmed and retrieved by the platform entity which may not be regulated under the MiCA regulation. In a DEX environment, information about the identity of the counterparty must be collected via the CASP under which the counterparty is operating. Difficulties would emerge if the CASP of the counterparty is not regulated under MiCA and/or the counterparty operates in a self-custody regime, and for these reasons it is not possible to confirm their identity.</w:t>
      </w:r>
    </w:p>
    <w:p w14:paraId="74FB6837" w14:textId="644D2568" w:rsidR="00FA64BE" w:rsidRPr="00EA0142" w:rsidRDefault="00FA64BE" w:rsidP="00FA64BE">
      <w:pPr>
        <w:rPr>
          <w:lang w:val="en-US"/>
        </w:rPr>
      </w:pP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2425DAC2" w14:textId="77777777" w:rsidR="006E27E7" w:rsidRDefault="006E27E7" w:rsidP="006E27E7">
      <w:pPr>
        <w:spacing w:after="160" w:line="256" w:lineRule="auto"/>
        <w:jc w:val="both"/>
      </w:pPr>
      <w:permStart w:id="1269643049" w:edGrp="everyone"/>
      <w:r>
        <w:t xml:space="preserve">We do not currently anticipate issues in the implementation of the methods for client identification that are used under </w:t>
      </w:r>
      <w:proofErr w:type="spellStart"/>
      <w:r>
        <w:t>MiFIR</w:t>
      </w:r>
      <w:proofErr w:type="spellEnd"/>
      <w:r>
        <w:t xml:space="preserve">. </w:t>
      </w:r>
    </w:p>
    <w:p w14:paraId="3010C3D9" w14:textId="6801B266" w:rsidR="00FA64BE" w:rsidRDefault="00FA64BE" w:rsidP="00FA64BE"/>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lastRenderedPageBreak/>
        <w:t>&lt;ESMA_QUESTION_MIC2_51&gt;</w:t>
      </w:r>
    </w:p>
    <w:p w14:paraId="49171030" w14:textId="77777777" w:rsidR="0053574E" w:rsidRPr="0017169B" w:rsidRDefault="0053574E" w:rsidP="0053574E">
      <w:permStart w:id="1884648141" w:edGrp="everyone"/>
      <w:r>
        <w:t xml:space="preserve">We request clarification on why </w:t>
      </w:r>
      <w:r w:rsidRPr="0017169B">
        <w:t xml:space="preserve">the short selling flag would impact services regulated under MiCA. Short-selling techniques might not be directly related to services on crypto-activities since the short-selling activities might arise from trading on derivatives which are not covered by MiCA. </w:t>
      </w:r>
    </w:p>
    <w:p w14:paraId="106A174D" w14:textId="4D04B816" w:rsidR="00FA64BE" w:rsidRDefault="00FA64BE" w:rsidP="00FA64BE"/>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835F6A0" w14:textId="77777777" w:rsidR="00E17795" w:rsidRPr="0017169B" w:rsidRDefault="00E17795" w:rsidP="00E17795">
      <w:pPr>
        <w:rPr>
          <w:lang w:val="en-US"/>
        </w:rPr>
      </w:pPr>
      <w:permStart w:id="1818041014" w:edGrp="everyone"/>
      <w:r w:rsidRPr="0017169B">
        <w:rPr>
          <w:lang w:val="en-US"/>
        </w:rPr>
        <w:t>We believe that trading platforms using liquidity coming from other venues should notify clients about their practices and what other venues are used.</w:t>
      </w:r>
    </w:p>
    <w:p w14:paraId="6B050942" w14:textId="35CF2E74" w:rsidR="00FA64BE" w:rsidRPr="00E17795" w:rsidRDefault="00FA64BE" w:rsidP="00FA64BE">
      <w:pPr>
        <w:rPr>
          <w:lang w:val="en-US"/>
        </w:rPr>
      </w:pP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212A30AE" w14:textId="77777777" w:rsidR="004D4D17" w:rsidRPr="000C0726" w:rsidRDefault="004D4D17" w:rsidP="004D4D17">
      <w:pPr>
        <w:rPr>
          <w:lang w:val="en-US"/>
        </w:rPr>
      </w:pPr>
      <w:permStart w:id="727980254" w:edGrp="everyone"/>
      <w:r w:rsidRPr="0017169B">
        <w:rPr>
          <w:lang w:val="en-US"/>
        </w:rPr>
        <w:lastRenderedPageBreak/>
        <w:t>The document references the ISO 20022 standard, which we believe is a suitable standard. However, it does not cover the management of multi-party transactions, which many DLT (Distributed Ledger Technology) platforms facilitate easily.</w:t>
      </w:r>
    </w:p>
    <w:p w14:paraId="574BF7E3" w14:textId="037B02E1" w:rsidR="00FA64BE" w:rsidRPr="004D4D17" w:rsidRDefault="00FA64BE" w:rsidP="00FA64BE">
      <w:pPr>
        <w:rPr>
          <w:lang w:val="en-US"/>
        </w:rPr>
      </w:pP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t>&lt;ESMA_QUESTION_MIC2_57&gt;</w:t>
      </w:r>
    </w:p>
    <w:p w14:paraId="25DB9551" w14:textId="77777777" w:rsidR="00FA64BE" w:rsidRDefault="00FA64BE" w:rsidP="00FA64BE">
      <w:permStart w:id="1961385165" w:edGrp="everyone"/>
      <w:r>
        <w:t>TYPE YOUR TEXT HERE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4DDFD685" w14:textId="77777777" w:rsidR="00FA64BE" w:rsidRDefault="00FA64BE" w:rsidP="00FA64BE">
      <w:permStart w:id="700199222" w:edGrp="everyone"/>
      <w:r>
        <w:t>TYPE YOUR TEXT HERE</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lastRenderedPageBreak/>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5CBFD84B" w14:textId="77777777" w:rsidR="00FA64BE" w:rsidRDefault="00FA64BE" w:rsidP="00FA64BE">
      <w:permStart w:id="1645111618" w:edGrp="everyone"/>
      <w:r>
        <w:t>TYPE YOUR TEXT HERE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5F64BB79" w14:textId="77777777" w:rsidR="00FA64BE" w:rsidRDefault="00FA64BE" w:rsidP="00FA64BE">
      <w:permStart w:id="1755794706" w:edGrp="everyone"/>
      <w:r>
        <w:t>TYPE YOUR TEXT HERE</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lastRenderedPageBreak/>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lastRenderedPageBreak/>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B66A" w14:textId="77777777" w:rsidR="00950884" w:rsidRDefault="00950884" w:rsidP="007E7997">
      <w:r>
        <w:separator/>
      </w:r>
    </w:p>
  </w:endnote>
  <w:endnote w:type="continuationSeparator" w:id="0">
    <w:p w14:paraId="705DB43D" w14:textId="77777777" w:rsidR="00950884" w:rsidRDefault="00950884" w:rsidP="007E7997">
      <w:r>
        <w:continuationSeparator/>
      </w:r>
    </w:p>
  </w:endnote>
  <w:endnote w:type="continuationNotice" w:id="1">
    <w:p w14:paraId="6CC6829E" w14:textId="77777777" w:rsidR="00950884" w:rsidRDefault="00950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Regular">
    <w:altName w:val="La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CDB5" w14:textId="77777777" w:rsidR="00950884" w:rsidRDefault="00950884" w:rsidP="007E7997">
      <w:r>
        <w:separator/>
      </w:r>
    </w:p>
  </w:footnote>
  <w:footnote w:type="continuationSeparator" w:id="0">
    <w:p w14:paraId="29B554DA" w14:textId="77777777" w:rsidR="00950884" w:rsidRDefault="00950884" w:rsidP="007E7997">
      <w:r>
        <w:continuationSeparator/>
      </w:r>
    </w:p>
  </w:footnote>
  <w:footnote w:type="continuationNotice" w:id="1">
    <w:p w14:paraId="0542C0C2" w14:textId="77777777" w:rsidR="00950884" w:rsidRDefault="00950884"/>
  </w:footnote>
  <w:footnote w:id="2">
    <w:p w14:paraId="40567AF3" w14:textId="77777777" w:rsidR="005B1152" w:rsidRPr="009946B6" w:rsidRDefault="005B1152" w:rsidP="005B1152">
      <w:pPr>
        <w:pStyle w:val="FootnoteText"/>
        <w:rPr>
          <w:lang w:val="en-US"/>
        </w:rPr>
      </w:pPr>
      <w:r>
        <w:rPr>
          <w:rStyle w:val="FootnoteReference"/>
        </w:rPr>
        <w:footnoteRef/>
      </w:r>
      <w:r>
        <w:t xml:space="preserve"> </w:t>
      </w:r>
      <w:hyperlink r:id="rId1" w:history="1">
        <w:r w:rsidRPr="009946B6">
          <w:rPr>
            <w:rStyle w:val="Hyperlink"/>
            <w:rFonts w:asciiTheme="minorHAnsi" w:hAnsiTheme="minorHAnsi" w:cstheme="minorHAnsi"/>
          </w:rPr>
          <w:t>https://ccaf.io/cbnsi/cbeci</w:t>
        </w:r>
      </w:hyperlink>
    </w:p>
  </w:footnote>
  <w:footnote w:id="3">
    <w:p w14:paraId="50B79FC8" w14:textId="77777777" w:rsidR="005B1152" w:rsidRPr="009946B6" w:rsidRDefault="005B1152" w:rsidP="005B1152">
      <w:pPr>
        <w:pStyle w:val="FootnoteText"/>
        <w:rPr>
          <w:lang w:val="en-US"/>
        </w:rPr>
      </w:pPr>
      <w:r>
        <w:rPr>
          <w:rStyle w:val="FootnoteReference"/>
        </w:rPr>
        <w:footnoteRef/>
      </w:r>
      <w:r>
        <w:t xml:space="preserve"> </w:t>
      </w:r>
      <w:hyperlink r:id="rId2" w:history="1">
        <w:r w:rsidRPr="009946B6">
          <w:rPr>
            <w:rStyle w:val="Hyperlink"/>
            <w:rFonts w:asciiTheme="minorHAnsi" w:hAnsiTheme="minorHAnsi" w:cstheme="minorHAnsi"/>
          </w:rPr>
          <w:t>https://ethereum.org/en/energy-consumption/</w:t>
        </w:r>
      </w:hyperlink>
    </w:p>
  </w:footnote>
  <w:footnote w:id="4">
    <w:p w14:paraId="305EC515" w14:textId="77777777" w:rsidR="005B1152" w:rsidRDefault="005B1152" w:rsidP="005B1152">
      <w:pPr>
        <w:pStyle w:val="FootnoteText"/>
      </w:pPr>
      <w:r>
        <w:rPr>
          <w:rStyle w:val="FootnoteReference"/>
        </w:rPr>
        <w:footnoteRef/>
      </w:r>
      <w:r>
        <w:t xml:space="preserve"> </w:t>
      </w:r>
      <w:hyperlink r:id="rId3" w:history="1">
        <w:r w:rsidRPr="009946B6">
          <w:rPr>
            <w:rStyle w:val="Hyperlink"/>
            <w:rFonts w:asciiTheme="minorHAnsi" w:hAnsiTheme="minorHAnsi" w:cstheme="minorHAnsi"/>
          </w:rPr>
          <w:t>https://ccaf.io/cbnsi/cbeci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CEA8E"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2EFA6620"/>
    <w:multiLevelType w:val="hybridMultilevel"/>
    <w:tmpl w:val="47A4DA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3C82DA46"/>
    <w:lvl w:ilvl="0" w:tplc="3C1A3DC8">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59E7279"/>
    <w:multiLevelType w:val="hybridMultilevel"/>
    <w:tmpl w:val="605041E8"/>
    <w:lvl w:ilvl="0" w:tplc="AA565A44">
      <w:numFmt w:val="bullet"/>
      <w:lvlText w:val="-"/>
      <w:lvlJc w:val="left"/>
      <w:pPr>
        <w:ind w:left="720" w:hanging="360"/>
      </w:pPr>
      <w:rPr>
        <w:rFonts w:ascii="Cambria" w:eastAsia="Calibri"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253BD"/>
    <w:multiLevelType w:val="hybridMultilevel"/>
    <w:tmpl w:val="7E20035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6193E"/>
    <w:multiLevelType w:val="hybridMultilevel"/>
    <w:tmpl w:val="17D0EBCA"/>
    <w:lvl w:ilvl="0" w:tplc="08090005">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2D2073"/>
    <w:multiLevelType w:val="hybridMultilevel"/>
    <w:tmpl w:val="32F06768"/>
    <w:lvl w:ilvl="0" w:tplc="1F44FC7E">
      <w:numFmt w:val="bullet"/>
      <w:lvlText w:val="-"/>
      <w:lvlJc w:val="left"/>
      <w:pPr>
        <w:ind w:left="720" w:hanging="360"/>
      </w:pPr>
      <w:rPr>
        <w:rFonts w:ascii="Cambria" w:eastAsia="Times New Roman"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975619">
    <w:abstractNumId w:val="2"/>
  </w:num>
  <w:num w:numId="2" w16cid:durableId="1495532731">
    <w:abstractNumId w:val="2"/>
  </w:num>
  <w:num w:numId="3" w16cid:durableId="994409496">
    <w:abstractNumId w:val="24"/>
  </w:num>
  <w:num w:numId="4" w16cid:durableId="1880320868">
    <w:abstractNumId w:val="3"/>
  </w:num>
  <w:num w:numId="5" w16cid:durableId="290864581">
    <w:abstractNumId w:val="13"/>
  </w:num>
  <w:num w:numId="6" w16cid:durableId="952590553">
    <w:abstractNumId w:val="26"/>
  </w:num>
  <w:num w:numId="7" w16cid:durableId="1159686949">
    <w:abstractNumId w:val="12"/>
  </w:num>
  <w:num w:numId="8" w16cid:durableId="765269892">
    <w:abstractNumId w:val="5"/>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8"/>
  </w:num>
  <w:num w:numId="15" w16cid:durableId="986476960">
    <w:abstractNumId w:val="20"/>
  </w:num>
  <w:num w:numId="16" w16cid:durableId="398749299">
    <w:abstractNumId w:val="25"/>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1"/>
  </w:num>
  <w:num w:numId="19" w16cid:durableId="558588771">
    <w:abstractNumId w:val="26"/>
  </w:num>
  <w:num w:numId="20" w16cid:durableId="1306933315">
    <w:abstractNumId w:val="11"/>
  </w:num>
  <w:num w:numId="21" w16cid:durableId="1623876054">
    <w:abstractNumId w:val="23"/>
  </w:num>
  <w:num w:numId="22" w16cid:durableId="783383837">
    <w:abstractNumId w:val="15"/>
  </w:num>
  <w:num w:numId="23" w16cid:durableId="2112964618">
    <w:abstractNumId w:val="19"/>
  </w:num>
  <w:num w:numId="24" w16cid:durableId="1958565453">
    <w:abstractNumId w:val="0"/>
  </w:num>
  <w:num w:numId="25" w16cid:durableId="1372725395">
    <w:abstractNumId w:val="18"/>
  </w:num>
  <w:num w:numId="26" w16cid:durableId="1686445133">
    <w:abstractNumId w:val="16"/>
  </w:num>
  <w:num w:numId="27" w16cid:durableId="1247768697">
    <w:abstractNumId w:val="10"/>
  </w:num>
  <w:num w:numId="28" w16cid:durableId="954170948">
    <w:abstractNumId w:val="1"/>
  </w:num>
  <w:num w:numId="29" w16cid:durableId="837424337">
    <w:abstractNumId w:val="17"/>
  </w:num>
  <w:num w:numId="30" w16cid:durableId="299657983">
    <w:abstractNumId w:val="4"/>
  </w:num>
  <w:num w:numId="31" w16cid:durableId="1159226803">
    <w:abstractNumId w:val="9"/>
    <w:lvlOverride w:ilvl="0">
      <w:startOverride w:val="1"/>
    </w:lvlOverride>
  </w:num>
  <w:num w:numId="32" w16cid:durableId="1324435836">
    <w:abstractNumId w:val="22"/>
  </w:num>
  <w:num w:numId="33" w16cid:durableId="491798774">
    <w:abstractNumId w:val="14"/>
  </w:num>
  <w:num w:numId="34" w16cid:durableId="347098967">
    <w:abstractNumId w:val="29"/>
  </w:num>
  <w:num w:numId="35" w16cid:durableId="405959851">
    <w:abstractNumId w:val="9"/>
    <w:lvlOverride w:ilvl="0">
      <w:startOverride w:val="1"/>
    </w:lvlOverride>
  </w:num>
  <w:num w:numId="36" w16cid:durableId="683097744">
    <w:abstractNumId w:val="9"/>
    <w:lvlOverride w:ilvl="0">
      <w:startOverride w:val="1"/>
    </w:lvlOverride>
  </w:num>
  <w:num w:numId="37" w16cid:durableId="884683526">
    <w:abstractNumId w:val="6"/>
  </w:num>
  <w:num w:numId="38" w16cid:durableId="1045519744">
    <w:abstractNumId w:val="9"/>
    <w:lvlOverride w:ilvl="0">
      <w:startOverride w:val="1"/>
    </w:lvlOverride>
  </w:num>
  <w:num w:numId="39" w16cid:durableId="2125803015">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4381"/>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57A82"/>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0F2E"/>
    <w:rsid w:val="00113D82"/>
    <w:rsid w:val="00117CCC"/>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47494"/>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0C82"/>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40A5"/>
    <w:rsid w:val="002E6A8E"/>
    <w:rsid w:val="002F6279"/>
    <w:rsid w:val="003013B7"/>
    <w:rsid w:val="00301993"/>
    <w:rsid w:val="00301E55"/>
    <w:rsid w:val="00307397"/>
    <w:rsid w:val="003101EF"/>
    <w:rsid w:val="00312BDD"/>
    <w:rsid w:val="00314117"/>
    <w:rsid w:val="00317EDF"/>
    <w:rsid w:val="00322D69"/>
    <w:rsid w:val="003279E7"/>
    <w:rsid w:val="00327B62"/>
    <w:rsid w:val="00331FE9"/>
    <w:rsid w:val="0033324D"/>
    <w:rsid w:val="0033587C"/>
    <w:rsid w:val="00335E69"/>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2EF6"/>
    <w:rsid w:val="0037358E"/>
    <w:rsid w:val="00373A3C"/>
    <w:rsid w:val="00373FCF"/>
    <w:rsid w:val="00376233"/>
    <w:rsid w:val="00380B30"/>
    <w:rsid w:val="00381784"/>
    <w:rsid w:val="00381EB0"/>
    <w:rsid w:val="00382A72"/>
    <w:rsid w:val="00382EBA"/>
    <w:rsid w:val="0038331A"/>
    <w:rsid w:val="0039135B"/>
    <w:rsid w:val="003A0670"/>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6CDA"/>
    <w:rsid w:val="003E77BC"/>
    <w:rsid w:val="003E7E6E"/>
    <w:rsid w:val="003F0EDF"/>
    <w:rsid w:val="003F20C7"/>
    <w:rsid w:val="003F39B1"/>
    <w:rsid w:val="00400D9C"/>
    <w:rsid w:val="00400FBE"/>
    <w:rsid w:val="004022CF"/>
    <w:rsid w:val="004029B1"/>
    <w:rsid w:val="004038F1"/>
    <w:rsid w:val="00404282"/>
    <w:rsid w:val="00404ED5"/>
    <w:rsid w:val="0040743A"/>
    <w:rsid w:val="00407623"/>
    <w:rsid w:val="00407A74"/>
    <w:rsid w:val="0041114C"/>
    <w:rsid w:val="004114D5"/>
    <w:rsid w:val="00414210"/>
    <w:rsid w:val="004159DB"/>
    <w:rsid w:val="00420FD4"/>
    <w:rsid w:val="004226E0"/>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47A7"/>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4D17"/>
    <w:rsid w:val="004D526F"/>
    <w:rsid w:val="004E19C0"/>
    <w:rsid w:val="004E1C54"/>
    <w:rsid w:val="004E2C37"/>
    <w:rsid w:val="004E46F1"/>
    <w:rsid w:val="004E5285"/>
    <w:rsid w:val="004F0CF3"/>
    <w:rsid w:val="004F3B8C"/>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574E"/>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4E02"/>
    <w:rsid w:val="0059175F"/>
    <w:rsid w:val="00591AAC"/>
    <w:rsid w:val="00595F08"/>
    <w:rsid w:val="00595FBE"/>
    <w:rsid w:val="005A1C55"/>
    <w:rsid w:val="005B1152"/>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36FC8"/>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7E7"/>
    <w:rsid w:val="006E2F4D"/>
    <w:rsid w:val="006E3FDD"/>
    <w:rsid w:val="006E58FB"/>
    <w:rsid w:val="006E5D82"/>
    <w:rsid w:val="006E66B2"/>
    <w:rsid w:val="006E6C50"/>
    <w:rsid w:val="006E7A69"/>
    <w:rsid w:val="006E7DE4"/>
    <w:rsid w:val="006F1956"/>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75E"/>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5FA4"/>
    <w:rsid w:val="008B710D"/>
    <w:rsid w:val="008B7CA1"/>
    <w:rsid w:val="008C0177"/>
    <w:rsid w:val="008C0389"/>
    <w:rsid w:val="008C27D3"/>
    <w:rsid w:val="008C4B2B"/>
    <w:rsid w:val="008C4EF0"/>
    <w:rsid w:val="008C5806"/>
    <w:rsid w:val="008C5E91"/>
    <w:rsid w:val="008C686D"/>
    <w:rsid w:val="008C6B18"/>
    <w:rsid w:val="008C75E6"/>
    <w:rsid w:val="008C767A"/>
    <w:rsid w:val="008C7A73"/>
    <w:rsid w:val="008D0569"/>
    <w:rsid w:val="008D28FD"/>
    <w:rsid w:val="008D59F9"/>
    <w:rsid w:val="008D5C28"/>
    <w:rsid w:val="008D6D0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659"/>
    <w:rsid w:val="00941C0C"/>
    <w:rsid w:val="009437F2"/>
    <w:rsid w:val="0094528B"/>
    <w:rsid w:val="00950884"/>
    <w:rsid w:val="00960A8B"/>
    <w:rsid w:val="00965128"/>
    <w:rsid w:val="00973F43"/>
    <w:rsid w:val="0097785D"/>
    <w:rsid w:val="0098011D"/>
    <w:rsid w:val="00981912"/>
    <w:rsid w:val="009819C0"/>
    <w:rsid w:val="009835AD"/>
    <w:rsid w:val="00987A75"/>
    <w:rsid w:val="00990B38"/>
    <w:rsid w:val="00991A8A"/>
    <w:rsid w:val="00992611"/>
    <w:rsid w:val="00994303"/>
    <w:rsid w:val="0099526D"/>
    <w:rsid w:val="00996C8B"/>
    <w:rsid w:val="009A0054"/>
    <w:rsid w:val="009A0F6E"/>
    <w:rsid w:val="009A1224"/>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994"/>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21F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5FBD"/>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56392"/>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55C6"/>
    <w:rsid w:val="00CB623F"/>
    <w:rsid w:val="00CB791A"/>
    <w:rsid w:val="00CB7D1B"/>
    <w:rsid w:val="00CC11DF"/>
    <w:rsid w:val="00CC1A6E"/>
    <w:rsid w:val="00CC3F62"/>
    <w:rsid w:val="00CC536E"/>
    <w:rsid w:val="00CC59DD"/>
    <w:rsid w:val="00CC7FC6"/>
    <w:rsid w:val="00CD1A98"/>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298C"/>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6E8C"/>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17795"/>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142"/>
    <w:rsid w:val="00EA0283"/>
    <w:rsid w:val="00EA1F10"/>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D9A"/>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5B1152"/>
    <w:pPr>
      <w:numPr>
        <w:numId w:val="9"/>
      </w:numPr>
      <w:spacing w:after="250" w:line="276" w:lineRule="auto"/>
      <w:contextualSpacing/>
      <w:jc w:val="both"/>
    </w:pPr>
  </w:style>
  <w:style w:type="character" w:customStyle="1" w:styleId="QuestionstyleChar">
    <w:name w:val="Question style Char"/>
    <w:basedOn w:val="DefaultParagraphFont"/>
    <w:link w:val="Questionstyle"/>
    <w:rsid w:val="005B1152"/>
    <w:rPr>
      <w:rFonts w:ascii="Times New Roman" w:eastAsia="Times New Roman" w:hAnsi="Times New Roman" w:cs="Times New Roman"/>
      <w:sz w:val="24"/>
      <w:szCs w:val="24"/>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6F53E8"/>
    <w:rPr>
      <w:sz w:val="16"/>
    </w:rPr>
  </w:style>
  <w:style w:type="character" w:customStyle="1" w:styleId="FootnoteTextChar">
    <w:name w:val="Footnote Text Char"/>
    <w:basedOn w:val="DefaultParagraphFont"/>
    <w:link w:val="FootnoteText"/>
    <w:uiPriority w:val="99"/>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s://ethereum.org/en/energy-consumpt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s://ccaf.io/cbnsi/cbec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caf.io/cbnsi/cbeci" TargetMode="External"/><Relationship Id="rId2" Type="http://schemas.openxmlformats.org/officeDocument/2006/relationships/hyperlink" Target="https://ethereum.org/en/energy-consumption/" TargetMode="External"/><Relationship Id="rId1" Type="http://schemas.openxmlformats.org/officeDocument/2006/relationships/hyperlink" Target="https://ccaf.io/cbnsi/cbeci"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47418d-44e1-48b8-8605-6e0678f35206">
      <Value>26</Value>
      <Value>109</Value>
      <Value>117</Value>
      <Value>1</Value>
      <Value>84</Value>
    </TaxCatchAll>
    <lcf76f155ced4ddcb4097134ff3c332f xmlns="ba7f0816-f8c9-4964-9fad-d55b5770d626">
      <Terms xmlns="http://schemas.microsoft.com/office/infopath/2007/PartnerControls"/>
    </lcf76f155ced4ddcb4097134ff3c332f>
    <SharedWithUsers xmlns="b647418d-44e1-48b8-8605-6e0678f35206">
      <UserInfo>
        <DisplayName>Coco Chen</DisplayName>
        <AccountId>441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B1EEB8983CA24798F40374CBD591FF" ma:contentTypeVersion="16" ma:contentTypeDescription="Create a new document." ma:contentTypeScope="" ma:versionID="a1857e7b467e970e03556dbee69f1c0c">
  <xsd:schema xmlns:xsd="http://www.w3.org/2001/XMLSchema" xmlns:xs="http://www.w3.org/2001/XMLSchema" xmlns:p="http://schemas.microsoft.com/office/2006/metadata/properties" xmlns:ns2="ba7f0816-f8c9-4964-9fad-d55b5770d626" xmlns:ns3="b647418d-44e1-48b8-8605-6e0678f35206" targetNamespace="http://schemas.microsoft.com/office/2006/metadata/properties" ma:root="true" ma:fieldsID="307df25d6236410632d94542feda6aa2" ns2:_="" ns3:_="">
    <xsd:import namespace="ba7f0816-f8c9-4964-9fad-d55b5770d626"/>
    <xsd:import namespace="b647418d-44e1-48b8-8605-6e0678f35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0816-f8c9-4964-9fad-d55b5770d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7418d-44e1-48b8-8605-6e0678f352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e1009b-b6ba-4392-83a2-dc79cf530015}" ma:internalName="TaxCatchAll" ma:showField="CatchAllData" ma:web="b647418d-44e1-48b8-8605-6e0678f35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 ds:uri="b647418d-44e1-48b8-8605-6e0678f35206"/>
    <ds:schemaRef ds:uri="ba7f0816-f8c9-4964-9fad-d55b5770d626"/>
  </ds:schemaRefs>
</ds:datastoreItem>
</file>

<file path=customXml/itemProps4.xml><?xml version="1.0" encoding="utf-8"?>
<ds:datastoreItem xmlns:ds="http://schemas.openxmlformats.org/officeDocument/2006/customXml" ds:itemID="{9C712C54-4189-4E09-B47E-C574C4611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0816-f8c9-4964-9fad-d55b5770d626"/>
    <ds:schemaRef ds:uri="b647418d-44e1-48b8-8605-6e0678f3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26</Pages>
  <Words>7043</Words>
  <Characters>40150</Characters>
  <Application>Microsoft Office Word</Application>
  <DocSecurity>8</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Coco Chen</cp:lastModifiedBy>
  <cp:revision>2</cp:revision>
  <cp:lastPrinted>2017-07-24T14:47:00Z</cp:lastPrinted>
  <dcterms:created xsi:type="dcterms:W3CDTF">2023-12-14T13:40:00Z</dcterms:created>
  <dcterms:modified xsi:type="dcterms:W3CDTF">2023-12-14T13:40:00Z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0x01010049B1EEB8983CA24798F40374CBD591FF</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