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el"/>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el"/>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berschrift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berschrift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berschrift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tc>
          <w:tcPr>
            <w:tcW w:w="5595" w:type="dxa"/>
            <w:shd w:val="clear" w:color="auto" w:fill="auto"/>
          </w:tcPr>
          <w:p w14:paraId="1B67440D" w14:textId="6D40B0B0" w:rsidR="00C85C8B" w:rsidRPr="00B16706" w:rsidRDefault="004705EE" w:rsidP="00C85C8B">
            <w:pPr>
              <w:rPr>
                <w:rFonts w:ascii="Arial" w:hAnsi="Arial" w:cs="Arial"/>
                <w:color w:val="808080"/>
                <w:sz w:val="16"/>
                <w:szCs w:val="20"/>
                <w:lang w:eastAsia="de-DE"/>
              </w:rPr>
            </w:pPr>
            <w:r>
              <w:rPr>
                <w:rFonts w:ascii="Arial" w:hAnsi="Arial" w:cs="Arial"/>
                <w:color w:val="808080"/>
                <w:sz w:val="16"/>
                <w:szCs w:val="20"/>
                <w:lang w:eastAsia="de-DE"/>
              </w:rPr>
              <w:t>Boerse Stuttgart Digital</w:t>
            </w:r>
          </w:p>
        </w:tc>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5FBF1B76"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4705EE">
                  <w:rPr>
                    <w:rFonts w:ascii="Arial" w:hAnsi="Arial" w:cs="Arial"/>
                    <w:sz w:val="16"/>
                    <w:szCs w:val="20"/>
                    <w:lang w:eastAsia="de-DE"/>
                  </w:rPr>
                  <w:t>Regulated markets/Exchanges/Trading Systems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3F02B91A" w:rsidR="00C85C8B" w:rsidRPr="00B16706" w:rsidRDefault="0077026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39E5F8A2" w:rsidR="00C85C8B" w:rsidRPr="00B16706" w:rsidRDefault="004705EE"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32553BB6" w14:textId="4BF8363A" w:rsidR="00A95912" w:rsidRDefault="00663B5E" w:rsidP="00A95912">
      <w:pPr>
        <w:jc w:val="both"/>
      </w:pPr>
      <w:permStart w:id="212889190" w:edGrp="everyone"/>
      <w:r w:rsidRPr="00663B5E">
        <w:t xml:space="preserve">In principle, we welcome ESMA's mandate to make proposals on sustainability disclosures under MiCAR. However, we have </w:t>
      </w:r>
      <w:proofErr w:type="gramStart"/>
      <w:r w:rsidRPr="00663B5E">
        <w:t>come to the conclusion</w:t>
      </w:r>
      <w:proofErr w:type="gramEnd"/>
      <w:r w:rsidRPr="00663B5E">
        <w:t xml:space="preserve"> that full implementation of the proposed sustainability indicators based on figures is currently not feasible. Our market experience shows that sufficient data - neither in the required quantity nor quality - will not be available at present or </w:t>
      </w:r>
      <w:proofErr w:type="gramStart"/>
      <w:r w:rsidRPr="00663B5E">
        <w:t>in the near future</w:t>
      </w:r>
      <w:proofErr w:type="gramEnd"/>
      <w:r w:rsidRPr="00663B5E">
        <w:t xml:space="preserve">. We would therefore welcome it if ESMA were to grant a transitional period </w:t>
      </w:r>
      <w:proofErr w:type="gramStart"/>
      <w:r w:rsidRPr="00663B5E">
        <w:t>in order to</w:t>
      </w:r>
      <w:proofErr w:type="gramEnd"/>
      <w:r w:rsidRPr="00663B5E">
        <w:t xml:space="preserve"> be able to fulfil the requirements by providing adequate data.</w:t>
      </w:r>
    </w:p>
    <w:permEnd w:id="212889190"/>
    <w:p w14:paraId="16DA752F" w14:textId="0E2B6884"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6733162F" w14:textId="77777777" w:rsidR="00663B5E" w:rsidRDefault="00663B5E" w:rsidP="00A95912">
      <w:pPr>
        <w:jc w:val="both"/>
        <w:rPr>
          <w:lang w:val="en-US"/>
        </w:rPr>
      </w:pPr>
      <w:permStart w:id="1220439445" w:edGrp="everyone"/>
      <w:r w:rsidRPr="0048410A">
        <w:rPr>
          <w:lang w:val="en-US"/>
        </w:rPr>
        <w:t xml:space="preserve">From our point of view, it is important to note that public-permissionless DLTs do not contain any information about the DLT network nodes. </w:t>
      </w:r>
      <w:r>
        <w:rPr>
          <w:lang w:val="en-US"/>
        </w:rPr>
        <w:t>Thus</w:t>
      </w:r>
      <w:r w:rsidRPr="0048410A">
        <w:rPr>
          <w:lang w:val="en-US"/>
        </w:rPr>
        <w:t xml:space="preserve">, the information about DLT network nodes is fraught with uncertainty. For example, </w:t>
      </w:r>
      <w:r>
        <w:rPr>
          <w:lang w:val="en-US"/>
        </w:rPr>
        <w:t>network node operators</w:t>
      </w:r>
      <w:r w:rsidRPr="0048410A">
        <w:rPr>
          <w:lang w:val="en-US"/>
        </w:rPr>
        <w:t xml:space="preserve"> can use software to transmit IP addresses to a location other than their actual location. Another problem exists with so-called mining pools</w:t>
      </w:r>
      <w:r>
        <w:rPr>
          <w:lang w:val="en-US"/>
        </w:rPr>
        <w:t xml:space="preserve"> where</w:t>
      </w:r>
      <w:r w:rsidRPr="0048410A">
        <w:rPr>
          <w:lang w:val="en-US"/>
        </w:rPr>
        <w:t xml:space="preserve"> </w:t>
      </w:r>
      <w:r>
        <w:rPr>
          <w:lang w:val="en-US"/>
        </w:rPr>
        <w:t>clients</w:t>
      </w:r>
      <w:r w:rsidRPr="0048410A">
        <w:rPr>
          <w:lang w:val="en-US"/>
        </w:rPr>
        <w:t xml:space="preserve"> from different countries may pool their computing capacities.</w:t>
      </w:r>
    </w:p>
    <w:p w14:paraId="2DE70887" w14:textId="6F10031E" w:rsidR="00663B5E" w:rsidRDefault="00663B5E" w:rsidP="00A95912">
      <w:pPr>
        <w:jc w:val="both"/>
        <w:rPr>
          <w:lang w:val="en-US"/>
        </w:rPr>
      </w:pPr>
    </w:p>
    <w:p w14:paraId="133EFBC3" w14:textId="77777777" w:rsidR="00663B5E" w:rsidRPr="0048410A" w:rsidRDefault="00663B5E" w:rsidP="00A95912">
      <w:pPr>
        <w:jc w:val="both"/>
        <w:rPr>
          <w:lang w:val="en-US"/>
        </w:rPr>
      </w:pPr>
      <w:r w:rsidRPr="0048410A">
        <w:rPr>
          <w:lang w:val="en-US"/>
        </w:rPr>
        <w:t xml:space="preserve">Furthermore, </w:t>
      </w:r>
      <w:proofErr w:type="spellStart"/>
      <w:r w:rsidRPr="0048410A">
        <w:rPr>
          <w:lang w:val="en-US"/>
        </w:rPr>
        <w:t>focussing</w:t>
      </w:r>
      <w:proofErr w:type="spellEnd"/>
      <w:r w:rsidRPr="0048410A">
        <w:rPr>
          <w:lang w:val="en-US"/>
        </w:rPr>
        <w:t xml:space="preserve"> on the country of origin does not necessarily take all countries</w:t>
      </w:r>
      <w:r>
        <w:rPr>
          <w:lang w:val="en-US"/>
        </w:rPr>
        <w:t xml:space="preserve"> involved in the validation process</w:t>
      </w:r>
      <w:r w:rsidRPr="0048410A">
        <w:rPr>
          <w:lang w:val="en-US"/>
        </w:rPr>
        <w:t xml:space="preserve"> into account. </w:t>
      </w:r>
      <w:r>
        <w:rPr>
          <w:lang w:val="en-US"/>
        </w:rPr>
        <w:t>Moreover</w:t>
      </w:r>
      <w:r w:rsidRPr="0048410A">
        <w:rPr>
          <w:lang w:val="en-US"/>
        </w:rPr>
        <w:t xml:space="preserve">, the "country approach" as a proxy is very imprecise, as the nodes cannot be clearly assigned even at country level. Accordingly, it is not clear whether the validator node that validates a transaction is </w:t>
      </w:r>
      <w:r>
        <w:rPr>
          <w:lang w:val="en-US"/>
        </w:rPr>
        <w:t>operated</w:t>
      </w:r>
      <w:r w:rsidRPr="0048410A">
        <w:rPr>
          <w:lang w:val="en-US"/>
        </w:rPr>
        <w:t xml:space="preserve"> with electricity from renewable or fossil energy sources.</w:t>
      </w:r>
    </w:p>
    <w:p w14:paraId="724D1DB6" w14:textId="77777777" w:rsidR="00663B5E" w:rsidRPr="0048410A" w:rsidRDefault="00663B5E" w:rsidP="00A95912">
      <w:pPr>
        <w:jc w:val="both"/>
        <w:rPr>
          <w:lang w:val="en-US"/>
        </w:rPr>
      </w:pPr>
    </w:p>
    <w:p w14:paraId="1379BFF6" w14:textId="77777777" w:rsidR="00663B5E" w:rsidRDefault="00663B5E" w:rsidP="00A95912">
      <w:pPr>
        <w:jc w:val="both"/>
        <w:rPr>
          <w:lang w:val="en-US"/>
        </w:rPr>
      </w:pPr>
      <w:r w:rsidRPr="0048410A">
        <w:rPr>
          <w:lang w:val="en-US"/>
        </w:rPr>
        <w:t>The time dimension also plays a role: current studies, such as that of the UN University, use data from 2020/21, when China still accounted for a very large share of</w:t>
      </w:r>
      <w:r>
        <w:rPr>
          <w:lang w:val="en-US"/>
        </w:rPr>
        <w:t xml:space="preserve"> global</w:t>
      </w:r>
      <w:r w:rsidRPr="0048410A">
        <w:rPr>
          <w:lang w:val="en-US"/>
        </w:rPr>
        <w:t xml:space="preserve"> mining/validator nodes through energy generation from coal-fired power generation. In our view, this share is likely to have fallen drastically because of the mining ban</w:t>
      </w:r>
      <w:r>
        <w:rPr>
          <w:lang w:val="en-US"/>
        </w:rPr>
        <w:t xml:space="preserve"> implemented in China in 2021. The effects resulting from the ban on the share of fossil or renewable energies are still unclear, furthermore highlighting the inadequacy of the available data</w:t>
      </w:r>
      <w:r w:rsidRPr="0048410A">
        <w:rPr>
          <w:lang w:val="en-US"/>
        </w:rPr>
        <w:t xml:space="preserve">. </w:t>
      </w:r>
    </w:p>
    <w:p w14:paraId="40C608F9" w14:textId="77777777" w:rsidR="00663B5E" w:rsidRDefault="00663B5E" w:rsidP="00A95912">
      <w:pPr>
        <w:jc w:val="both"/>
        <w:rPr>
          <w:lang w:val="en-US"/>
        </w:rPr>
      </w:pPr>
    </w:p>
    <w:p w14:paraId="085312AD" w14:textId="77777777" w:rsidR="00663B5E" w:rsidRDefault="00663B5E" w:rsidP="00A95912">
      <w:pPr>
        <w:jc w:val="both"/>
        <w:rPr>
          <w:lang w:val="en-US"/>
        </w:rPr>
      </w:pPr>
      <w:r w:rsidRPr="0037309A">
        <w:rPr>
          <w:lang w:val="en-US"/>
        </w:rPr>
        <w:t xml:space="preserve">If the "country approach" is nevertheless used, investors should be informed and educated about the currently still rudimentary data situation and its possible negative effects. As already described, it is possible that the transaction in the corresponding token in a country was validated using either renewable or fossil energy sources. However, this cannot be </w:t>
      </w:r>
      <w:r>
        <w:rPr>
          <w:lang w:val="en-US"/>
        </w:rPr>
        <w:t>specified</w:t>
      </w:r>
      <w:r w:rsidRPr="0037309A">
        <w:rPr>
          <w:lang w:val="en-US"/>
        </w:rPr>
        <w:t xml:space="preserve"> based on current</w:t>
      </w:r>
      <w:r>
        <w:rPr>
          <w:lang w:val="en-US"/>
        </w:rPr>
        <w:t>ly available</w:t>
      </w:r>
      <w:r w:rsidRPr="0037309A">
        <w:rPr>
          <w:lang w:val="en-US"/>
        </w:rPr>
        <w:t xml:space="preserve"> data.</w:t>
      </w:r>
    </w:p>
    <w:p w14:paraId="76001EA2" w14:textId="77777777" w:rsidR="00663B5E" w:rsidRPr="0048410A" w:rsidRDefault="00663B5E" w:rsidP="00A95912">
      <w:pPr>
        <w:jc w:val="both"/>
        <w:rPr>
          <w:lang w:val="en-US"/>
        </w:rPr>
      </w:pPr>
    </w:p>
    <w:p w14:paraId="644C1980" w14:textId="77777777" w:rsidR="00A95912" w:rsidRDefault="00663B5E" w:rsidP="00A95912">
      <w:pPr>
        <w:jc w:val="both"/>
      </w:pPr>
      <w:r w:rsidRPr="0037309A">
        <w:t xml:space="preserve">We would therefore welcome the idea of not relying on average values for emissions at the level of individual countries, as proposed, but rather </w:t>
      </w:r>
      <w:proofErr w:type="gramStart"/>
      <w:r w:rsidRPr="0037309A">
        <w:t>opening up</w:t>
      </w:r>
      <w:proofErr w:type="gramEnd"/>
      <w:r w:rsidRPr="0037309A">
        <w:t xml:space="preserve"> the possibility of taking individually determined sustainability indicators into account in the sense of a market-based accounting approach</w:t>
      </w:r>
      <w:r>
        <w:t xml:space="preserve"> where CASPs can choose to use a more granular approach, if available.</w:t>
      </w:r>
    </w:p>
    <w:permEnd w:id="1220439445"/>
    <w:p w14:paraId="318E6EEB" w14:textId="0AE091F5"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4E58F011" w14:textId="77777777" w:rsidR="00663B5E" w:rsidRPr="00663B5E" w:rsidRDefault="00663B5E" w:rsidP="001E33F8">
      <w:pPr>
        <w:jc w:val="both"/>
        <w:rPr>
          <w:lang w:val="en-US"/>
        </w:rPr>
      </w:pPr>
      <w:permStart w:id="731276388" w:edGrp="everyone"/>
      <w:r w:rsidRPr="00663B5E">
        <w:rPr>
          <w:lang w:val="en-US"/>
        </w:rPr>
        <w:t>We do not agree with ESMA's approach as it will lead to a bias in the comparability of results regarding sustainability indicators between crypto-assets and financial instruments with crypto-assets as underlying.</w:t>
      </w:r>
    </w:p>
    <w:p w14:paraId="44FEAD64" w14:textId="77777777" w:rsidR="00663B5E" w:rsidRPr="00663B5E" w:rsidRDefault="00663B5E" w:rsidP="001E33F8">
      <w:pPr>
        <w:jc w:val="both"/>
        <w:rPr>
          <w:lang w:val="en-US"/>
        </w:rPr>
      </w:pPr>
      <w:r w:rsidRPr="00663B5E">
        <w:rPr>
          <w:lang w:val="en-US"/>
        </w:rPr>
        <w:t>In our view, the proposed approach of the consultation paper is aimed at a network infrastructure. In contrast, the reporting obligations under the SFDR focus on the issuer. In our view, the two different approaches lead to a bias in the comparability of the results.</w:t>
      </w:r>
    </w:p>
    <w:p w14:paraId="794EC0C6" w14:textId="77777777" w:rsidR="00663B5E" w:rsidRPr="00663B5E" w:rsidRDefault="00663B5E" w:rsidP="001E33F8">
      <w:pPr>
        <w:jc w:val="both"/>
        <w:rPr>
          <w:lang w:val="en-US"/>
        </w:rPr>
      </w:pPr>
      <w:r w:rsidRPr="00663B5E">
        <w:rPr>
          <w:lang w:val="en-US"/>
        </w:rPr>
        <w:t xml:space="preserve">To clarify: In the case of DLT-based financial instruments, the DLT component of the financial instrument is not </w:t>
      </w:r>
      <w:proofErr w:type="gramStart"/>
      <w:r w:rsidRPr="00663B5E">
        <w:rPr>
          <w:lang w:val="en-US"/>
        </w:rPr>
        <w:t>taken into account</w:t>
      </w:r>
      <w:proofErr w:type="gramEnd"/>
      <w:r w:rsidRPr="00663B5E">
        <w:rPr>
          <w:lang w:val="en-US"/>
        </w:rPr>
        <w:t>, although the technical basis is identical to a crypto asset. A similar unequal treatment arises with derivative crypto products (e.g. Bitcoin certificates).</w:t>
      </w:r>
    </w:p>
    <w:p w14:paraId="5D4657E6" w14:textId="77777777" w:rsidR="00663B5E" w:rsidRPr="00663B5E" w:rsidRDefault="00663B5E" w:rsidP="001E33F8">
      <w:pPr>
        <w:jc w:val="both"/>
        <w:rPr>
          <w:lang w:val="en-US"/>
        </w:rPr>
      </w:pPr>
      <w:proofErr w:type="gramStart"/>
      <w:r w:rsidRPr="00663B5E">
        <w:rPr>
          <w:lang w:val="en-US"/>
        </w:rPr>
        <w:t>With regard to</w:t>
      </w:r>
      <w:proofErr w:type="gramEnd"/>
      <w:r w:rsidRPr="00663B5E">
        <w:rPr>
          <w:lang w:val="en-US"/>
        </w:rPr>
        <w:t xml:space="preserve"> investor protection, the comparability of the results is important, as customers sometimes view crypto assets as an investment alternative to financial instruments.</w:t>
      </w:r>
    </w:p>
    <w:p w14:paraId="6EA70904" w14:textId="77777777" w:rsidR="00663B5E" w:rsidRPr="00663B5E" w:rsidRDefault="00663B5E" w:rsidP="001E33F8">
      <w:pPr>
        <w:jc w:val="both"/>
        <w:rPr>
          <w:lang w:val="en-US"/>
        </w:rPr>
      </w:pPr>
      <w:r w:rsidRPr="00663B5E">
        <w:rPr>
          <w:lang w:val="en-US"/>
        </w:rPr>
        <w:t>The comparability of the results should be based on the issuer of crypto assets.</w:t>
      </w:r>
    </w:p>
    <w:p w14:paraId="501AF67F" w14:textId="77777777" w:rsidR="00A95912" w:rsidRDefault="00663B5E" w:rsidP="001E33F8">
      <w:pPr>
        <w:jc w:val="both"/>
      </w:pPr>
      <w:r w:rsidRPr="00663B5E">
        <w:t>If no issuer exists or is evident, a qualitative disclosure at an abstract level (functioning of the consensus mechanism) appears to be more expedient, although this is also considered rather difficult due to the individual infrastructure applied (layer-2 technology, omnibus wallets).</w:t>
      </w:r>
    </w:p>
    <w:permEnd w:id="731276388"/>
    <w:p w14:paraId="349EEEC9" w14:textId="567B37DD"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15903DD4" w14:textId="59A0626A" w:rsidR="00535FA4" w:rsidRPr="00C577E9" w:rsidRDefault="001D2F22" w:rsidP="00A95912">
      <w:pPr>
        <w:jc w:val="both"/>
        <w:rPr>
          <w:lang w:val="en-US"/>
        </w:rPr>
      </w:pPr>
      <w:permStart w:id="1601982568" w:edGrp="everyone"/>
      <w:r w:rsidRPr="00C577E9">
        <w:rPr>
          <w:lang w:val="en-US"/>
        </w:rPr>
        <w:t xml:space="preserve">We </w:t>
      </w:r>
      <w:r>
        <w:rPr>
          <w:lang w:val="en-US"/>
        </w:rPr>
        <w:t xml:space="preserve">agree with </w:t>
      </w:r>
      <w:r w:rsidRPr="00860873">
        <w:rPr>
          <w:lang w:val="en-US"/>
        </w:rPr>
        <w:t>ESMA’s approach to mitigating challenges related to data availability and reliability</w:t>
      </w:r>
      <w:r>
        <w:rPr>
          <w:lang w:val="en-US"/>
        </w:rPr>
        <w:t>.</w:t>
      </w:r>
      <w:r w:rsidR="00535FA4" w:rsidRPr="00C577E9">
        <w:rPr>
          <w:lang w:val="en-US"/>
        </w:rPr>
        <w:t xml:space="preserve"> </w:t>
      </w:r>
    </w:p>
    <w:p w14:paraId="59A0A0E4" w14:textId="77777777" w:rsidR="00535FA4" w:rsidRPr="00C577E9" w:rsidRDefault="00535FA4" w:rsidP="00A95912">
      <w:pPr>
        <w:jc w:val="both"/>
        <w:rPr>
          <w:lang w:val="en-US"/>
        </w:rPr>
      </w:pPr>
      <w:r w:rsidRPr="00C577E9">
        <w:rPr>
          <w:lang w:val="en-US"/>
        </w:rPr>
        <w:t xml:space="preserve">However, we do not support the idea of </w:t>
      </w:r>
      <w:r>
        <w:rPr>
          <w:lang w:val="en-US"/>
        </w:rPr>
        <w:t>using</w:t>
      </w:r>
      <w:r w:rsidRPr="00C577E9">
        <w:rPr>
          <w:lang w:val="en-US"/>
        </w:rPr>
        <w:t xml:space="preserve"> estimates in the </w:t>
      </w:r>
      <w:r>
        <w:rPr>
          <w:lang w:val="en-US"/>
        </w:rPr>
        <w:t>case</w:t>
      </w:r>
      <w:r w:rsidRPr="00C577E9">
        <w:rPr>
          <w:lang w:val="en-US"/>
        </w:rPr>
        <w:t xml:space="preserve"> of low data availability.</w:t>
      </w:r>
    </w:p>
    <w:p w14:paraId="0249317C" w14:textId="77777777" w:rsidR="00535FA4" w:rsidRPr="00C577E9" w:rsidRDefault="00535FA4" w:rsidP="00A95912">
      <w:pPr>
        <w:jc w:val="both"/>
        <w:rPr>
          <w:lang w:val="en-US"/>
        </w:rPr>
      </w:pPr>
      <w:r w:rsidRPr="00C577E9">
        <w:rPr>
          <w:lang w:val="en-US"/>
        </w:rPr>
        <w:t>In this context, we expressly point out that quantitative disclosures based on estimates can lead to fictitious accuracy in the disclosure</w:t>
      </w:r>
      <w:r>
        <w:rPr>
          <w:lang w:val="en-US"/>
        </w:rPr>
        <w:t xml:space="preserve"> that is susceptible to giving a misleading or at least incomplete picture of the energy sources used in the validation process</w:t>
      </w:r>
      <w:r w:rsidRPr="00C577E9">
        <w:rPr>
          <w:lang w:val="en-US"/>
        </w:rPr>
        <w:t>.</w:t>
      </w:r>
    </w:p>
    <w:p w14:paraId="4CFC0FAE" w14:textId="77777777" w:rsidR="00535FA4" w:rsidRDefault="00535FA4" w:rsidP="00A95912">
      <w:pPr>
        <w:jc w:val="both"/>
        <w:rPr>
          <w:lang w:val="en-US"/>
        </w:rPr>
      </w:pPr>
      <w:r w:rsidRPr="00C577E9">
        <w:rPr>
          <w:lang w:val="en-US"/>
        </w:rPr>
        <w:t>This also supports our assessment, as reliable data sources are currently not available or only available to a very limited extent, especially in the case of public-permissionless DLTs.</w:t>
      </w:r>
    </w:p>
    <w:p w14:paraId="7CF25170" w14:textId="77777777" w:rsidR="00535FA4" w:rsidRPr="00C577E9" w:rsidRDefault="00535FA4" w:rsidP="00A95912">
      <w:pPr>
        <w:jc w:val="both"/>
        <w:rPr>
          <w:lang w:val="en-US"/>
        </w:rPr>
      </w:pPr>
      <w:r w:rsidRPr="00C577E9">
        <w:rPr>
          <w:lang w:val="en-US"/>
        </w:rPr>
        <w:t xml:space="preserve">Depending on the calculation method and the data sources, the results to be published can also vary significantly between the individual market participants. </w:t>
      </w:r>
    </w:p>
    <w:p w14:paraId="772B349D" w14:textId="77777777" w:rsidR="00535FA4" w:rsidRPr="00C577E9" w:rsidRDefault="00535FA4" w:rsidP="00A95912">
      <w:pPr>
        <w:jc w:val="both"/>
        <w:rPr>
          <w:lang w:val="en-US"/>
        </w:rPr>
      </w:pPr>
      <w:r w:rsidRPr="00C577E9">
        <w:rPr>
          <w:lang w:val="en-US"/>
        </w:rPr>
        <w:t>Therefore, in the case of a public-permissionless DLT, we support considerations regarding a comprehensible calculation method or logic, even if this deviates from the standard.</w:t>
      </w:r>
    </w:p>
    <w:p w14:paraId="07BCAE15" w14:textId="77777777" w:rsidR="00A95912" w:rsidRDefault="00535FA4" w:rsidP="00A95912">
      <w:pPr>
        <w:jc w:val="both"/>
      </w:pPr>
      <w:r w:rsidRPr="00C577E9">
        <w:lastRenderedPageBreak/>
        <w:t>Different publications by market participants on the same crypto value are not in the interests of consumer protection and can lead to investor uncertainty and increase greenwashing risks.</w:t>
      </w:r>
    </w:p>
    <w:permEnd w:id="1601982568"/>
    <w:p w14:paraId="0AC87536" w14:textId="356F3E7A"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3BBAE091" w14:textId="77777777" w:rsidR="00FA64BE" w:rsidRDefault="00FA64BE" w:rsidP="00FA64BE">
      <w:permStart w:id="480602896" w:edGrp="everyone"/>
      <w:r>
        <w:t>TYPE YOUR TEXT HERE</w:t>
      </w:r>
    </w:p>
    <w:permEnd w:id="480602896"/>
    <w:p w14:paraId="0B45F5A4" w14:textId="77777777" w:rsidR="00FA64BE" w:rsidRDefault="00FA64BE" w:rsidP="00FA64BE">
      <w:r>
        <w:t>&lt;ESMA_QUESTION_MIC2_5&gt;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76113037" w14:textId="0316D9BE" w:rsidR="004705EE" w:rsidRPr="006E6527" w:rsidRDefault="00535FA4" w:rsidP="00A95912">
      <w:pPr>
        <w:jc w:val="both"/>
      </w:pPr>
      <w:permStart w:id="74328323" w:edGrp="everyone"/>
      <w:r w:rsidRPr="00535FA4">
        <w:rPr>
          <w:rFonts w:eastAsia="Calibri"/>
          <w:color w:val="000000" w:themeColor="text1"/>
        </w:rPr>
        <w:t>We do not agree with the proposed approach to assessing the sustainability impact of consensus mechanisms and refer here to our answer to question 4.</w:t>
      </w:r>
      <w:r w:rsidR="004705EE">
        <w:rPr>
          <w:rFonts w:eastAsia="Calibri"/>
          <w:color w:val="000000" w:themeColor="text1"/>
        </w:rPr>
        <w:t xml:space="preserve"> </w:t>
      </w:r>
      <w:r w:rsidR="004705EE">
        <w:rPr>
          <w:rFonts w:eastAsia="Calibri"/>
          <w:color w:val="000000" w:themeColor="text1"/>
        </w:rPr>
        <w:br/>
      </w:r>
      <w:r w:rsidR="004705EE" w:rsidRPr="006E6527">
        <w:t>We believe that the simple conclusion from energy consumption to the impact on the environment is too one-dimensional and that multidimensional approaches should be used</w:t>
      </w:r>
      <w:r w:rsidR="0044119C">
        <w:t xml:space="preserve"> instead</w:t>
      </w:r>
      <w:r w:rsidR="004705EE" w:rsidRPr="006E6527">
        <w:t>. In this context, we recommend considering different levels of granularity, whereby at one stage it would certainly be necessary to work with assumptions and estimates until better data is available.</w:t>
      </w:r>
    </w:p>
    <w:p w14:paraId="7C6C876D" w14:textId="77777777" w:rsidR="00A95912" w:rsidRDefault="00A95912" w:rsidP="00A95912">
      <w:pPr>
        <w:jc w:val="both"/>
      </w:pPr>
    </w:p>
    <w:p w14:paraId="0C73B528" w14:textId="6C6F1459" w:rsidR="004705EE" w:rsidRPr="006E6527" w:rsidRDefault="004705EE" w:rsidP="00A95912">
      <w:pPr>
        <w:jc w:val="both"/>
      </w:pPr>
      <w:r w:rsidRPr="006E6527">
        <w:t xml:space="preserve">For example, the following factors should be </w:t>
      </w:r>
      <w:proofErr w:type="gramStart"/>
      <w:r w:rsidRPr="006E6527">
        <w:t>taken into account</w:t>
      </w:r>
      <w:proofErr w:type="gramEnd"/>
      <w:r w:rsidRPr="006E6527">
        <w:t>:</w:t>
      </w:r>
    </w:p>
    <w:p w14:paraId="4DF966B8" w14:textId="77777777" w:rsidR="004705EE" w:rsidRPr="006E6527" w:rsidRDefault="004705EE" w:rsidP="00A95912">
      <w:pPr>
        <w:jc w:val="both"/>
      </w:pPr>
      <w:r w:rsidRPr="006E6527">
        <w:t>1. How much of the energy used comes from renewable energy sources?</w:t>
      </w:r>
    </w:p>
    <w:p w14:paraId="73E67A9B" w14:textId="77777777" w:rsidR="004705EE" w:rsidRPr="006E6527" w:rsidRDefault="004705EE" w:rsidP="00A95912">
      <w:pPr>
        <w:jc w:val="both"/>
      </w:pPr>
      <w:r w:rsidRPr="006E6527">
        <w:t>2. Could the energy be used regardless of whether it came from renewable or non-renewable energy sources?</w:t>
      </w:r>
    </w:p>
    <w:p w14:paraId="6BFA7D5F" w14:textId="77777777" w:rsidR="004705EE" w:rsidRPr="006E6527" w:rsidRDefault="004705EE" w:rsidP="00A95912">
      <w:pPr>
        <w:jc w:val="both"/>
      </w:pPr>
      <w:r w:rsidRPr="006E6527">
        <w:t>3. Is it off-grid mining?</w:t>
      </w:r>
    </w:p>
    <w:p w14:paraId="03A8A977" w14:textId="77777777" w:rsidR="004705EE" w:rsidRPr="006E6527" w:rsidRDefault="004705EE" w:rsidP="00A95912">
      <w:pPr>
        <w:jc w:val="both"/>
      </w:pPr>
      <w:r w:rsidRPr="006E6527">
        <w:t>4. Is there a contractual relationship with an electricity producer for the purchase of peak capacities?</w:t>
      </w:r>
    </w:p>
    <w:p w14:paraId="56448D65" w14:textId="77777777" w:rsidR="00A95912" w:rsidRDefault="00A95912" w:rsidP="00A95912">
      <w:pPr>
        <w:pStyle w:val="Textkrper"/>
        <w:jc w:val="both"/>
      </w:pPr>
    </w:p>
    <w:p w14:paraId="0FBEA900" w14:textId="6A944C6B" w:rsidR="00FA64BE" w:rsidRPr="00535FA4" w:rsidRDefault="004705EE" w:rsidP="00A95912">
      <w:pPr>
        <w:pStyle w:val="Textkrper"/>
        <w:jc w:val="both"/>
      </w:pPr>
      <w:r w:rsidRPr="006E6527">
        <w:t xml:space="preserve">If data </w:t>
      </w:r>
      <w:r>
        <w:t>on</w:t>
      </w:r>
      <w:r w:rsidRPr="006E6527">
        <w:t xml:space="preserve"> those factors is available, individual CASPs should be allowed to use it as it provides investors with a more accurat</w:t>
      </w:r>
      <w:r>
        <w:t>e picture on the energy used for mining.</w:t>
      </w:r>
    </w:p>
    <w:permEnd w:id="74328323"/>
    <w:p w14:paraId="20662ECE" w14:textId="77777777" w:rsidR="00FA64BE" w:rsidRDefault="00FA64BE" w:rsidP="00FA64BE">
      <w:r>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1B021443" w14:textId="77777777" w:rsidR="00FA64BE" w:rsidRDefault="00FA64BE" w:rsidP="00FA64BE">
      <w:permStart w:id="900805085" w:edGrp="everyone"/>
      <w:r>
        <w:t>TYPE YOUR TEXT HERE</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lastRenderedPageBreak/>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41DD7553" w14:textId="77777777" w:rsidR="00913491" w:rsidRPr="00913491" w:rsidRDefault="00913491" w:rsidP="00A95912">
      <w:pPr>
        <w:jc w:val="both"/>
        <w:rPr>
          <w:lang w:val="en-US"/>
        </w:rPr>
      </w:pPr>
      <w:permStart w:id="1293448415" w:edGrp="everyone"/>
      <w:r w:rsidRPr="00913491">
        <w:rPr>
          <w:lang w:val="en-US"/>
        </w:rPr>
        <w:t xml:space="preserve">We do not agree with ESMA's assumption that the sustainability indicators proposed will </w:t>
      </w:r>
      <w:proofErr w:type="spellStart"/>
      <w:r w:rsidRPr="00913491">
        <w:rPr>
          <w:lang w:val="en-US"/>
        </w:rPr>
        <w:t>sensitise</w:t>
      </w:r>
      <w:proofErr w:type="spellEnd"/>
      <w:r w:rsidRPr="00913491">
        <w:rPr>
          <w:lang w:val="en-US"/>
        </w:rPr>
        <w:t xml:space="preserve"> potential investors in their investment decisions.</w:t>
      </w:r>
    </w:p>
    <w:p w14:paraId="28DB7A58" w14:textId="77777777" w:rsidR="00A95912" w:rsidRDefault="00913491" w:rsidP="00A95912">
      <w:pPr>
        <w:jc w:val="both"/>
      </w:pPr>
      <w:r w:rsidRPr="00913491">
        <w:t xml:space="preserve">However, we support the idea of creating incentives to raise awareness by means of freely accessible information, so that the investor engages with the issue of sustainability. Furthermore, we believe investors should know about the lack of data availability and that in the end it cannot be specified whether the investor’s transaction in the respective </w:t>
      </w:r>
      <w:proofErr w:type="gramStart"/>
      <w:r w:rsidRPr="00913491">
        <w:t>crypto-asset</w:t>
      </w:r>
      <w:proofErr w:type="gramEnd"/>
      <w:r w:rsidRPr="00913491">
        <w:t xml:space="preserve"> is validated by a note that is run with renewable or fossil energy.</w:t>
      </w:r>
    </w:p>
    <w:permEnd w:id="1293448415"/>
    <w:p w14:paraId="26A16B81" w14:textId="1EF14472"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32D1C08C" w14:textId="70FC595C" w:rsidR="00913491" w:rsidRPr="00913491" w:rsidRDefault="00913491" w:rsidP="001B3A4D">
      <w:pPr>
        <w:pStyle w:val="Textkrper"/>
        <w:jc w:val="both"/>
      </w:pPr>
      <w:permStart w:id="891972062" w:edGrp="everyone"/>
      <w:r w:rsidRPr="00913491">
        <w:t>We do not agree with ESMA's proposal to introduce optional sustainability indicators as we consider the proposed indicators to be sufficient. Further indicators do not offer any added value at the current stage, as they contain redundant information, for example (energy mix vs. carbon intensity).  There is a risk that a focus on a small amount of meaningful sustainability information will be lost, and investors will be confronted with a multitude of indicators. Technological development is rapid and will open new possibilities for the presentation of further sustainability indicators with a more accurate database in three years' time until the planned review.</w:t>
      </w:r>
    </w:p>
    <w:permEnd w:id="891972062"/>
    <w:p w14:paraId="733B8CAE" w14:textId="5EC7D20A"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5B7090E9" w14:textId="77777777" w:rsidR="00FA64BE" w:rsidRDefault="00FA64BE" w:rsidP="00FA64BE">
      <w:permStart w:id="576606981" w:edGrp="everyone"/>
      <w:r>
        <w:t>TYPE YOUR TEXT HERE</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2D0068EC" w14:textId="77777777" w:rsidR="00814993" w:rsidRDefault="00814993" w:rsidP="00814993">
      <w:permStart w:id="48771598" w:edGrp="everyone"/>
      <w:r>
        <w:lastRenderedPageBreak/>
        <w:t>TYPE YOUR TEXT HERE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42358338" w14:textId="77777777" w:rsidR="00FA64BE" w:rsidRDefault="00FA64BE" w:rsidP="00FA64BE">
      <w:permStart w:id="763903754" w:edGrp="everyone"/>
      <w:r>
        <w:t>TYPE YOUR TEXT HERE</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77777777" w:rsidR="00FA64BE" w:rsidRDefault="00FA64BE" w:rsidP="00FA64BE">
      <w:permStart w:id="1236938786" w:edGrp="everyone"/>
      <w:r>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25FBC445" w14:textId="77777777" w:rsidR="001B3A4D" w:rsidRDefault="004A02AA" w:rsidP="001B3A4D">
      <w:pPr>
        <w:jc w:val="both"/>
      </w:pPr>
      <w:permStart w:id="1772099050" w:edGrp="everyone"/>
      <w:r w:rsidRPr="004A02AA">
        <w:t>This makes sense as a general remark and in the case of major foreseeable events (e.g. announced forks). The scope of the communication of such risks should concern CASP operations only. Assessing and specifying the risk (for individuals) is in general beyond the capabilities of a CASP.</w:t>
      </w:r>
    </w:p>
    <w:permEnd w:id="1772099050"/>
    <w:p w14:paraId="665E6678" w14:textId="4E0EB9D3"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52258990" w14:textId="77777777" w:rsidR="001B3A4D" w:rsidRDefault="004A02AA" w:rsidP="001B3A4D">
      <w:pPr>
        <w:jc w:val="both"/>
      </w:pPr>
      <w:permStart w:id="1875469134" w:edGrp="everyone"/>
      <w:r w:rsidRPr="004A02AA">
        <w:t xml:space="preserve">CASPs should ensure business continuity, the implementation however should not be specified. The decision </w:t>
      </w:r>
      <w:proofErr w:type="gramStart"/>
      <w:r w:rsidRPr="004A02AA">
        <w:t>whether or not</w:t>
      </w:r>
      <w:proofErr w:type="gramEnd"/>
      <w:r w:rsidRPr="004A02AA">
        <w:t xml:space="preserve"> a business continuity management function should be established </w:t>
      </w:r>
      <w:r w:rsidRPr="004A02AA">
        <w:lastRenderedPageBreak/>
        <w:t>should be made by the individual CASP. Depending on the size, nature and organisational structure of a CASP this function may not be necessary.</w:t>
      </w:r>
    </w:p>
    <w:permEnd w:id="1875469134"/>
    <w:p w14:paraId="793189A4" w14:textId="46A56521"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035A64BE" w14:textId="77777777" w:rsidR="001B3A4D" w:rsidRDefault="004A02AA" w:rsidP="001B3A4D">
      <w:pPr>
        <w:jc w:val="both"/>
      </w:pPr>
      <w:permStart w:id="943128947" w:edGrp="everyone"/>
      <w:r w:rsidRPr="004A02AA">
        <w:t>Testing of the business continuity plans by internal auditors is a prudent measure. The definition of extent, frequency and content of the testing should be the responsibility of the CASP.</w:t>
      </w:r>
    </w:p>
    <w:permEnd w:id="943128947"/>
    <w:p w14:paraId="79FE107E" w14:textId="051B4CB5"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3EC7CEBD" w:rsidR="00FA64BE" w:rsidRDefault="004A02AA" w:rsidP="00FA64BE">
      <w:permStart w:id="1670274690" w:edGrp="everyone"/>
      <w:r>
        <w:t>Yes.</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t>: Do you agree with the description provided for the different types of CEX and DEX listed?</w:t>
      </w:r>
    </w:p>
    <w:p w14:paraId="7AE59339" w14:textId="77777777" w:rsidR="00FA64BE" w:rsidRDefault="00FA64BE" w:rsidP="00FA64BE">
      <w:r>
        <w:t>&lt;ESMA_QUESTION_MIC2_20&gt;</w:t>
      </w:r>
    </w:p>
    <w:p w14:paraId="544DDEF4" w14:textId="53D5AD12" w:rsidR="00FA64BE" w:rsidRDefault="004A02AA" w:rsidP="00FA64BE">
      <w:permStart w:id="2072316093" w:edGrp="everyone"/>
      <w:r>
        <w:t>Yes.</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lastRenderedPageBreak/>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lastRenderedPageBreak/>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0F420072" w14:textId="77777777" w:rsidR="004A02AA" w:rsidRPr="004A02AA" w:rsidRDefault="004A02AA" w:rsidP="001B3A4D">
      <w:pPr>
        <w:jc w:val="both"/>
        <w:rPr>
          <w:lang w:val="en-US"/>
        </w:rPr>
      </w:pPr>
      <w:permStart w:id="478694635" w:edGrp="everyone"/>
      <w:r w:rsidRPr="004A02AA">
        <w:rPr>
          <w:lang w:val="en-US"/>
        </w:rPr>
        <w:t>It is unclear what the purpose of the ISIN field is. The crypto assets are identified by DTI, and as outlined in the proposal, the ISIN is not suitable for crypto assets.</w:t>
      </w:r>
    </w:p>
    <w:p w14:paraId="7217D76C" w14:textId="77777777" w:rsidR="004A02AA" w:rsidRPr="004A02AA" w:rsidRDefault="004A02AA" w:rsidP="001B3A4D">
      <w:pPr>
        <w:jc w:val="both"/>
        <w:rPr>
          <w:lang w:val="en-US"/>
        </w:rPr>
      </w:pPr>
      <w:r w:rsidRPr="004A02AA">
        <w:rPr>
          <w:lang w:val="en-US"/>
        </w:rPr>
        <w:t xml:space="preserve">It is questionable if the reporting of gas fees and limits will have the desired effect, since both are set by the party executing the blockchain transaction. The values are typically set by the CASP in such a way, that it is least costly for the CASP. Hence, gas fee and limit may not give the indication of </w:t>
      </w:r>
      <w:proofErr w:type="gramStart"/>
      <w:r w:rsidRPr="004A02AA">
        <w:rPr>
          <w:lang w:val="en-US"/>
        </w:rPr>
        <w:t>whether or not</w:t>
      </w:r>
      <w:proofErr w:type="gramEnd"/>
      <w:r w:rsidRPr="004A02AA">
        <w:rPr>
          <w:lang w:val="en-US"/>
        </w:rPr>
        <w:t xml:space="preserve"> a transaction was deemed "important" by the requesting party.</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7F7CAC5" w14:textId="77777777" w:rsidR="004A02AA" w:rsidRDefault="004A02AA" w:rsidP="001B3A4D">
      <w:pPr>
        <w:jc w:val="both"/>
      </w:pPr>
      <w:permStart w:id="712931667" w:edGrp="everyone"/>
      <w:r>
        <w:t xml:space="preserve">The initial quantity (Field 25 of Table 2 Annex II) allows for a maximum number of 18 digits of which a maximum of 17 fraction digits. This may be insufficient and </w:t>
      </w:r>
      <w:proofErr w:type="spellStart"/>
      <w:r>
        <w:t>incurr</w:t>
      </w:r>
      <w:proofErr w:type="spellEnd"/>
      <w:r>
        <w:t xml:space="preserve"> a loss of information, since many assets support </w:t>
      </w:r>
      <w:proofErr w:type="gramStart"/>
      <w:r>
        <w:t>a large number of</w:t>
      </w:r>
      <w:proofErr w:type="gramEnd"/>
      <w:r>
        <w:t xml:space="preserve"> fraction digits - 18 in the case of Ethereum. As an example, the accurate representation of a trade with the size of 123 + 4*10</w:t>
      </w:r>
      <w:proofErr w:type="gramStart"/>
      <w:r>
        <w:t>^(</w:t>
      </w:r>
      <w:proofErr w:type="gramEnd"/>
      <w:r>
        <w:t xml:space="preserve">-18) ETH is not possible using this field. Many systems </w:t>
      </w:r>
      <w:proofErr w:type="gramStart"/>
      <w:r>
        <w:t>aren't capable of handling</w:t>
      </w:r>
      <w:proofErr w:type="gramEnd"/>
      <w:r>
        <w:t xml:space="preserve"> such precision and for this reason such values are often stored as strings in order to retain full precision. Rounding conventions could be used per asset (or underlying DLT) to accommodate this. The convention could be included in the DTI. (Other solutions are possible). This applies to all fields where the quantity of the crypto assets is stored.</w:t>
      </w:r>
    </w:p>
    <w:p w14:paraId="628FEE0D" w14:textId="77777777" w:rsidR="001B3A4D" w:rsidRDefault="004A02AA" w:rsidP="001B3A4D">
      <w:pPr>
        <w:jc w:val="both"/>
      </w:pPr>
      <w:r>
        <w:t xml:space="preserve">Fields 7 and 8 of table 5 (Gas Fee, Gas limit) are fields and terminology that apply only to </w:t>
      </w:r>
      <w:proofErr w:type="gramStart"/>
      <w:r>
        <w:t>particular blockchains</w:t>
      </w:r>
      <w:proofErr w:type="gramEnd"/>
      <w:r>
        <w:t xml:space="preserve">. Bitcoin for example does not have the concept of "Gas". </w:t>
      </w:r>
      <w:proofErr w:type="gramStart"/>
      <w:r>
        <w:t>Instead</w:t>
      </w:r>
      <w:proofErr w:type="gramEnd"/>
      <w:r>
        <w:t xml:space="preserve"> the term Transaction Fee could be used to cover the more general case.</w:t>
      </w:r>
    </w:p>
    <w:permEnd w:id="712931667"/>
    <w:p w14:paraId="580DEF82" w14:textId="63983E03"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lastRenderedPageBreak/>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lastRenderedPageBreak/>
        <w:t>&lt;ESMA_QUESTION_MIC2_36&gt;</w:t>
      </w:r>
    </w:p>
    <w:p w14:paraId="0306C6AF" w14:textId="77777777" w:rsidR="00FA64BE" w:rsidRDefault="00FA64BE" w:rsidP="00FA64BE">
      <w:permStart w:id="1164135930" w:edGrp="everyone"/>
      <w:r>
        <w:t>TYPE YOUR TEXT HERE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4B8CCF48" w14:textId="623B2EBB" w:rsidR="00FA64BE" w:rsidRDefault="004A02AA" w:rsidP="00FA64BE">
      <w:permStart w:id="1238859015" w:edGrp="everyone"/>
      <w:r w:rsidRPr="004A02AA">
        <w:t>Information on a standardized rounding of asset quantities could be included. This could be helpful to avoid storage or reporting issues. See also the answer to Q29.</w:t>
      </w:r>
      <w:r>
        <w:t xml:space="preserve"> </w:t>
      </w:r>
      <w:permEnd w:id="1238859015"/>
      <w:r w:rsidR="00FA64BE">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4B01825F" w14:textId="0A05596B" w:rsidR="004A02AA" w:rsidRDefault="004A02AA" w:rsidP="001B3A4D">
      <w:pPr>
        <w:jc w:val="both"/>
      </w:pPr>
      <w:permStart w:id="1621834718" w:edGrp="everyone"/>
      <w:r>
        <w:t xml:space="preserve">No. It is questionable if the reporting of gas fees and limits will have the desired effect, since both are set by the party executing the blockchain transaction. The values are typically set by the CASP in such a way, that it is least costly for the CASP. Hence, gas fee and limit may not give the indication of </w:t>
      </w:r>
      <w:proofErr w:type="gramStart"/>
      <w:r>
        <w:t>whether or not</w:t>
      </w:r>
      <w:proofErr w:type="gramEnd"/>
      <w:r>
        <w:t xml:space="preserve"> a transaction was deemed "important" by the requesting party.</w:t>
      </w:r>
    </w:p>
    <w:p w14:paraId="13F35AB2" w14:textId="7131EB4D" w:rsidR="004A02AA" w:rsidRDefault="004A02AA" w:rsidP="001B3A4D">
      <w:pPr>
        <w:jc w:val="both"/>
      </w:pPr>
      <w:proofErr w:type="spellStart"/>
      <w:r>
        <w:t>Additionaly</w:t>
      </w:r>
      <w:proofErr w:type="spellEnd"/>
      <w:r>
        <w:t>, it is easy to circumvent this tracking of gas limits for the purpose of identifying transactions with a high computational effort. It can be done by simply creating a relay smart contract that sends the desired funds to the smart contract with a high computational effort. The monitored transaction would not require such high gas limits.</w:t>
      </w:r>
    </w:p>
    <w:p w14:paraId="1A465D6A" w14:textId="77777777" w:rsidR="000306D8" w:rsidRDefault="000306D8" w:rsidP="000306D8">
      <w:pPr>
        <w:jc w:val="both"/>
      </w:pPr>
      <w:r w:rsidRPr="000306D8">
        <w:lastRenderedPageBreak/>
        <w:t xml:space="preserve">The information gain of the field "data size" is unclear and may not provide the desired outcome. Running a transaction on for example Uniswap requires high computational effort. This is however not apparent or </w:t>
      </w:r>
      <w:proofErr w:type="spellStart"/>
      <w:r w:rsidRPr="000306D8">
        <w:t>deductable</w:t>
      </w:r>
      <w:proofErr w:type="spellEnd"/>
      <w:r w:rsidRPr="000306D8">
        <w:t xml:space="preserve"> from the triggering transaction's data. Gas Management and computational effort are managed by the </w:t>
      </w:r>
      <w:proofErr w:type="spellStart"/>
      <w:r w:rsidRPr="000306D8">
        <w:t>DEXes</w:t>
      </w:r>
      <w:proofErr w:type="spellEnd"/>
      <w:r w:rsidRPr="000306D8">
        <w:t xml:space="preserve"> Smart Contract in this case. The creation of a Smart Contract (with a </w:t>
      </w:r>
      <w:proofErr w:type="spellStart"/>
      <w:r w:rsidRPr="000306D8">
        <w:t>comparitatevly</w:t>
      </w:r>
      <w:proofErr w:type="spellEnd"/>
      <w:r w:rsidRPr="000306D8">
        <w:t xml:space="preserve"> large data size) would typically not be a type of transaction a CEX or CASP would typically perform for their clients.</w:t>
      </w:r>
    </w:p>
    <w:permEnd w:id="1621834718"/>
    <w:p w14:paraId="0A5E7D5D" w14:textId="6E3C4C41"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lastRenderedPageBreak/>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4DDDEC04" w14:textId="43F59DC8" w:rsidR="004A02AA" w:rsidRDefault="004A02AA" w:rsidP="001B3A4D">
      <w:pPr>
        <w:jc w:val="both"/>
      </w:pPr>
      <w:permStart w:id="1581865548" w:edGrp="everyone"/>
      <w:r w:rsidRPr="004A02AA">
        <w:t xml:space="preserve">Yes, this could be rather problematic, depending on the desired content. Since this relies heavily on the participation of the 3rd party entity that is not subject to </w:t>
      </w:r>
      <w:proofErr w:type="spellStart"/>
      <w:r w:rsidRPr="004A02AA">
        <w:t>MiCA</w:t>
      </w:r>
      <w:proofErr w:type="spellEnd"/>
      <w:r w:rsidRPr="004A02AA">
        <w:t xml:space="preserve">. Not all data might be available, and the sharing of data is not necessarily in the interest of </w:t>
      </w:r>
      <w:r w:rsidR="00171A3D">
        <w:t>the</w:t>
      </w:r>
      <w:r w:rsidRPr="004A02AA">
        <w:t xml:space="preserve"> 3rd Party.</w:t>
      </w:r>
    </w:p>
    <w:permEnd w:id="1581865548"/>
    <w:p w14:paraId="4309CBAF" w14:textId="31DB872F"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5C9E9C29" w14:textId="5DD2A5B6" w:rsidR="001B3A4D" w:rsidRDefault="004A02AA" w:rsidP="00FA64BE">
      <w:permStart w:id="284979367" w:edGrp="everyone"/>
      <w:r w:rsidRPr="004A02AA">
        <w:t xml:space="preserve">The identification of the buyer / seller may not be available at all. The 3rd Party could be a </w:t>
      </w:r>
      <w:r w:rsidR="00F07A70">
        <w:t>Decentralized Exchange (</w:t>
      </w:r>
      <w:r w:rsidRPr="004A02AA">
        <w:t>DEX</w:t>
      </w:r>
      <w:r w:rsidR="00F07A70">
        <w:t>)</w:t>
      </w:r>
      <w:r w:rsidRPr="004A02AA">
        <w:t>.</w:t>
      </w:r>
    </w:p>
    <w:permEnd w:id="284979367"/>
    <w:p w14:paraId="06C34E93" w14:textId="46AC5751" w:rsidR="00FA64BE" w:rsidRDefault="00FA64BE" w:rsidP="00FA64BE">
      <w:r>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lastRenderedPageBreak/>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33F68643" w14:textId="13898CA3" w:rsidR="00913491" w:rsidRDefault="00913491" w:rsidP="001B3A4D">
      <w:pPr>
        <w:jc w:val="both"/>
        <w:rPr>
          <w:rFonts w:eastAsiaTheme="minorEastAsia"/>
          <w:color w:val="0F0F0F"/>
          <w:lang w:val="en-US"/>
        </w:rPr>
      </w:pPr>
      <w:permStart w:id="1961385165" w:edGrp="everyone"/>
      <w:r w:rsidRPr="00913491">
        <w:rPr>
          <w:rFonts w:eastAsiaTheme="minorEastAsia"/>
          <w:color w:val="0F0F0F"/>
          <w:lang w:val="en-US"/>
        </w:rPr>
        <w:t xml:space="preserve">We support the proposed guidelines to improve the quality of crypto white papers and ensure that they do not contain misleading information. We also believe that the machine readability </w:t>
      </w:r>
      <w:r w:rsidRPr="00913491">
        <w:rPr>
          <w:rFonts w:eastAsiaTheme="minorEastAsia"/>
          <w:color w:val="0F0F0F"/>
          <w:lang w:val="en-US"/>
        </w:rPr>
        <w:lastRenderedPageBreak/>
        <w:t>of the crypto white papers is beneficial. This will help increase investor confidence in the cryptocurrency market and maintain the integrity of this emerging sector</w:t>
      </w:r>
      <w:r>
        <w:rPr>
          <w:rFonts w:eastAsiaTheme="minorEastAsia"/>
          <w:color w:val="0F0F0F"/>
          <w:lang w:val="en-US"/>
        </w:rPr>
        <w:t>.</w:t>
      </w:r>
    </w:p>
    <w:permEnd w:id="1961385165"/>
    <w:p w14:paraId="73FC1DF6" w14:textId="6F233008"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79CDD093" w14:textId="6BAF9F1C" w:rsidR="001B3A4D" w:rsidRDefault="00064E49" w:rsidP="001B3A4D">
      <w:pPr>
        <w:jc w:val="both"/>
        <w:rPr>
          <w:rFonts w:asciiTheme="minorHAnsi" w:eastAsiaTheme="minorEastAsia" w:hAnsiTheme="minorHAnsi" w:cs="Footlight MT Light"/>
          <w:color w:val="0F0F0F"/>
          <w:sz w:val="22"/>
          <w:szCs w:val="22"/>
          <w:lang w:val="en-US"/>
        </w:rPr>
      </w:pPr>
      <w:permStart w:id="700199222" w:edGrp="everyone"/>
      <w:r w:rsidRPr="00064E49">
        <w:rPr>
          <w:rFonts w:eastAsiaTheme="minorEastAsia"/>
          <w:color w:val="0F0F0F"/>
          <w:lang w:val="en-US"/>
        </w:rPr>
        <w:t xml:space="preserve">We agree that a white paper can function as a </w:t>
      </w:r>
      <w:r w:rsidRPr="00064E49">
        <w:rPr>
          <w:color w:val="0F0F0F"/>
          <w:lang w:val="en-US"/>
        </w:rPr>
        <w:t>stand-alone</w:t>
      </w:r>
      <w:r w:rsidRPr="00064E49">
        <w:rPr>
          <w:rFonts w:eastAsiaTheme="minorEastAsia"/>
          <w:color w:val="0F0F0F"/>
          <w:lang w:val="en-US"/>
        </w:rPr>
        <w:t xml:space="preserve"> document. This might draw parallels to the securities prospectus of </w:t>
      </w:r>
      <w:r w:rsidR="00E576CA">
        <w:rPr>
          <w:rFonts w:eastAsiaTheme="minorEastAsia"/>
          <w:color w:val="0F0F0F"/>
          <w:lang w:val="en-US"/>
        </w:rPr>
        <w:t>“traditional” financial instruments</w:t>
      </w:r>
      <w:r w:rsidRPr="00FD0627">
        <w:rPr>
          <w:rFonts w:asciiTheme="minorHAnsi" w:eastAsiaTheme="minorEastAsia" w:hAnsiTheme="minorHAnsi" w:cs="Footlight MT Light"/>
          <w:color w:val="0F0F0F"/>
          <w:sz w:val="22"/>
          <w:szCs w:val="22"/>
          <w:lang w:val="en-US"/>
        </w:rPr>
        <w:t>.</w:t>
      </w:r>
    </w:p>
    <w:permEnd w:id="700199222"/>
    <w:p w14:paraId="1F357EBD" w14:textId="4BD9B3A6"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0990AC37" w14:textId="5DBB2192" w:rsidR="00A95912" w:rsidRDefault="0057275D" w:rsidP="00FA64BE">
      <w:permStart w:id="526270645" w:edGrp="everyone"/>
      <w:r>
        <w:t>TYPE YOUR TEXT HERE</w:t>
      </w:r>
    </w:p>
    <w:permEnd w:id="526270645"/>
    <w:p w14:paraId="6812A84C" w14:textId="2B4ED00F"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71EAFC5" w14:textId="77777777" w:rsidR="00A95912" w:rsidRDefault="00CD5F1A" w:rsidP="00A95912">
      <w:pPr>
        <w:jc w:val="both"/>
        <w:rPr>
          <w:color w:val="0F0F0F"/>
          <w:lang w:val="en-US"/>
        </w:rPr>
      </w:pPr>
      <w:permStart w:id="792558157" w:edGrp="everyone"/>
      <w:r w:rsidRPr="00CD5F1A">
        <w:rPr>
          <w:color w:val="0F0F0F"/>
          <w:lang w:val="en-US"/>
        </w:rPr>
        <w:t xml:space="preserve">The proposed form of the white paper differs from white papers prior to </w:t>
      </w:r>
      <w:proofErr w:type="spellStart"/>
      <w:r w:rsidRPr="00CD5F1A">
        <w:rPr>
          <w:color w:val="0F0F0F"/>
          <w:lang w:val="en-US"/>
        </w:rPr>
        <w:t>MiCA</w:t>
      </w:r>
      <w:proofErr w:type="spellEnd"/>
      <w:r w:rsidRPr="00CD5F1A">
        <w:rPr>
          <w:color w:val="0F0F0F"/>
          <w:lang w:val="en-US"/>
        </w:rPr>
        <w:t xml:space="preserve"> primarily in the standardization. We believe that publishing white papers with standardized information is of great importance as they provide a central source of information for investors and interested parties. White papers should provide a comprehensive overview of projects, describing their goals, technologies and token properties. It is important to ensure that this information contains accurate and complete details </w:t>
      </w:r>
      <w:proofErr w:type="gramStart"/>
      <w:r w:rsidRPr="00CD5F1A">
        <w:rPr>
          <w:color w:val="0F0F0F"/>
          <w:lang w:val="en-US"/>
        </w:rPr>
        <w:t>in order to</w:t>
      </w:r>
      <w:proofErr w:type="gramEnd"/>
      <w:r w:rsidRPr="00CD5F1A">
        <w:rPr>
          <w:color w:val="0F0F0F"/>
          <w:lang w:val="en-US"/>
        </w:rPr>
        <w:t xml:space="preserve"> provide potential investors with the necessary transparency.</w:t>
      </w:r>
    </w:p>
    <w:permEnd w:id="792558157"/>
    <w:p w14:paraId="5A735ECC" w14:textId="5EC56E20"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w:t>
      </w:r>
      <w:r w:rsidRPr="003A287A">
        <w:lastRenderedPageBreak/>
        <w:t>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5FC5FA2A" w:rsidR="00FA64BE" w:rsidRDefault="00364671" w:rsidP="00FA64BE">
      <w:permStart w:id="1645111618" w:edGrp="everyone"/>
      <w:r>
        <w:t>The costs seem reasonable.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0493E56" w14:textId="77777777" w:rsidR="00364671" w:rsidRPr="00364671" w:rsidRDefault="00364671" w:rsidP="00364671">
      <w:pPr>
        <w:rPr>
          <w:lang w:val="en-US"/>
        </w:rPr>
      </w:pPr>
      <w:permStart w:id="614204863" w:edGrp="everyone"/>
      <w:r w:rsidRPr="00364671">
        <w:rPr>
          <w:lang w:val="en-US"/>
        </w:rPr>
        <w:t>We agree with the proposed template and consider the proposed data fields to be appropriate.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7087CEEC" w14:textId="77777777" w:rsidR="00364671" w:rsidRPr="00364671" w:rsidRDefault="00364671" w:rsidP="00364671">
      <w:pPr>
        <w:rPr>
          <w:lang w:val="en-US"/>
        </w:rPr>
      </w:pPr>
      <w:permStart w:id="2049062037" w:edGrp="everyone"/>
      <w:r w:rsidRPr="00364671">
        <w:rPr>
          <w:lang w:val="en-US"/>
        </w:rPr>
        <w:t>Yes, the information provided makes it possible to compare different crypto projects on a more transparent way.</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t>&lt;ESMA_QUESTION_MIC2_65&gt;</w:t>
      </w:r>
    </w:p>
    <w:p w14:paraId="703DB966" w14:textId="77777777" w:rsidR="001B3A4D" w:rsidRDefault="00364671" w:rsidP="00FA64BE">
      <w:pPr>
        <w:rPr>
          <w:lang w:val="en-US"/>
        </w:rPr>
      </w:pPr>
      <w:permStart w:id="1755794706" w:edGrp="everyone"/>
      <w:r w:rsidRPr="00364671">
        <w:rPr>
          <w:lang w:val="en-US"/>
        </w:rPr>
        <w:t>Yes, this might support that all necessary information are provided by the crypto projects.</w:t>
      </w:r>
    </w:p>
    <w:permEnd w:id="1755794706"/>
    <w:p w14:paraId="36790579" w14:textId="67C79F78"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Do you agree with the proposed requirements for publication on the website of the issuer, offeror or person seeking admission to trading? Would you 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3A18" w14:textId="77777777" w:rsidR="00AC4F96" w:rsidRDefault="00AC4F96" w:rsidP="007E7997">
      <w:r>
        <w:separator/>
      </w:r>
    </w:p>
  </w:endnote>
  <w:endnote w:type="continuationSeparator" w:id="0">
    <w:p w14:paraId="626C697A" w14:textId="77777777" w:rsidR="00AC4F96" w:rsidRDefault="00AC4F96" w:rsidP="007E7997">
      <w:r>
        <w:continuationSeparator/>
      </w:r>
    </w:p>
  </w:endnote>
  <w:endnote w:type="continuationNotice" w:id="1">
    <w:p w14:paraId="3CE39820" w14:textId="77777777" w:rsidR="00AC4F96" w:rsidRDefault="00A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C68EC" w14:textId="77777777" w:rsidR="00AC4F96" w:rsidRDefault="00AC4F96" w:rsidP="007E7997">
      <w:r>
        <w:separator/>
      </w:r>
    </w:p>
  </w:footnote>
  <w:footnote w:type="continuationSeparator" w:id="0">
    <w:p w14:paraId="169D1DDF" w14:textId="77777777" w:rsidR="00AC4F96" w:rsidRDefault="00AC4F96" w:rsidP="007E7997">
      <w:r>
        <w:continuationSeparator/>
      </w:r>
    </w:p>
  </w:footnote>
  <w:footnote w:type="continuationNotice" w:id="1">
    <w:p w14:paraId="37EDC301" w14:textId="77777777" w:rsidR="00AC4F96" w:rsidRDefault="00A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Kopfzeile"/>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Kopfzeil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Kopfzeil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fzeile"/>
      <w:jc w:val="right"/>
      <w:rPr>
        <w:rFonts w:asciiTheme="minorHAnsi" w:hAnsiTheme="minorHAnsi" w:cstheme="minorHAnsi"/>
        <w:color w:val="2F5496" w:themeColor="accent5" w:themeShade="BF"/>
        <w:sz w:val="20"/>
      </w:rPr>
    </w:pPr>
  </w:p>
  <w:p w14:paraId="3E983FE8" w14:textId="71D87355" w:rsidR="00FA64BE" w:rsidRDefault="00FA64BE" w:rsidP="00FA64BE">
    <w:pPr>
      <w:pStyle w:val="Kopfzeil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fzeil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7138394C"/>
    <w:multiLevelType w:val="multilevel"/>
    <w:tmpl w:val="A840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5BA4522"/>
    <w:multiLevelType w:val="multilevel"/>
    <w:tmpl w:val="BF3A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8975619">
    <w:abstractNumId w:val="2"/>
  </w:num>
  <w:num w:numId="2" w16cid:durableId="1495532731">
    <w:abstractNumId w:val="2"/>
  </w:num>
  <w:num w:numId="3" w16cid:durableId="994409496">
    <w:abstractNumId w:val="21"/>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8"/>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19"/>
  </w:num>
  <w:num w:numId="19" w16cid:durableId="558588771">
    <w:abstractNumId w:val="24"/>
  </w:num>
  <w:num w:numId="20" w16cid:durableId="1306933315">
    <w:abstractNumId w:val="10"/>
  </w:num>
  <w:num w:numId="21" w16cid:durableId="1623876054">
    <w:abstractNumId w:val="20"/>
  </w:num>
  <w:num w:numId="22" w16cid:durableId="783383837">
    <w:abstractNumId w:val="13"/>
  </w:num>
  <w:num w:numId="23" w16cid:durableId="2112964618">
    <w:abstractNumId w:val="17"/>
  </w:num>
  <w:num w:numId="24" w16cid:durableId="1958565453">
    <w:abstractNumId w:val="0"/>
  </w:num>
  <w:num w:numId="25" w16cid:durableId="1372725395">
    <w:abstractNumId w:val="16"/>
  </w:num>
  <w:num w:numId="26" w16cid:durableId="1686445133">
    <w:abstractNumId w:val="14"/>
  </w:num>
  <w:num w:numId="27" w16cid:durableId="1247768697">
    <w:abstractNumId w:val="9"/>
  </w:num>
  <w:num w:numId="28" w16cid:durableId="954170948">
    <w:abstractNumId w:val="1"/>
  </w:num>
  <w:num w:numId="29" w16cid:durableId="837424337">
    <w:abstractNumId w:val="15"/>
  </w:num>
  <w:num w:numId="30" w16cid:durableId="299657983">
    <w:abstractNumId w:val="4"/>
  </w:num>
  <w:num w:numId="31" w16cid:durableId="728916810">
    <w:abstractNumId w:val="22"/>
  </w:num>
  <w:num w:numId="32" w16cid:durableId="129093974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06D8"/>
    <w:rsid w:val="00033934"/>
    <w:rsid w:val="00036C09"/>
    <w:rsid w:val="000372BF"/>
    <w:rsid w:val="00040A52"/>
    <w:rsid w:val="00044C5A"/>
    <w:rsid w:val="00044E0A"/>
    <w:rsid w:val="00047C57"/>
    <w:rsid w:val="00054E00"/>
    <w:rsid w:val="00061B2B"/>
    <w:rsid w:val="000627C5"/>
    <w:rsid w:val="0006448C"/>
    <w:rsid w:val="0006449B"/>
    <w:rsid w:val="00064E49"/>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1A3D"/>
    <w:rsid w:val="001735B8"/>
    <w:rsid w:val="00177AA7"/>
    <w:rsid w:val="00180917"/>
    <w:rsid w:val="00180E53"/>
    <w:rsid w:val="00181CB7"/>
    <w:rsid w:val="001862A5"/>
    <w:rsid w:val="00186A70"/>
    <w:rsid w:val="00191035"/>
    <w:rsid w:val="001918E5"/>
    <w:rsid w:val="00192A7A"/>
    <w:rsid w:val="00192E91"/>
    <w:rsid w:val="00197AAF"/>
    <w:rsid w:val="001A1EF4"/>
    <w:rsid w:val="001A7046"/>
    <w:rsid w:val="001A710D"/>
    <w:rsid w:val="001A7E6F"/>
    <w:rsid w:val="001B0A77"/>
    <w:rsid w:val="001B1727"/>
    <w:rsid w:val="001B2151"/>
    <w:rsid w:val="001B3A4D"/>
    <w:rsid w:val="001B3CFF"/>
    <w:rsid w:val="001B4957"/>
    <w:rsid w:val="001B4996"/>
    <w:rsid w:val="001C0E59"/>
    <w:rsid w:val="001C2404"/>
    <w:rsid w:val="001C432D"/>
    <w:rsid w:val="001C469E"/>
    <w:rsid w:val="001C56C3"/>
    <w:rsid w:val="001C5D8C"/>
    <w:rsid w:val="001C7E0A"/>
    <w:rsid w:val="001D0112"/>
    <w:rsid w:val="001D19F5"/>
    <w:rsid w:val="001D2F22"/>
    <w:rsid w:val="001D385A"/>
    <w:rsid w:val="001D3AC4"/>
    <w:rsid w:val="001D6B39"/>
    <w:rsid w:val="001E1ECD"/>
    <w:rsid w:val="001E33F8"/>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82"/>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4CB9"/>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3C65"/>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4671"/>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19C"/>
    <w:rsid w:val="0044199E"/>
    <w:rsid w:val="0044206D"/>
    <w:rsid w:val="00444803"/>
    <w:rsid w:val="00445696"/>
    <w:rsid w:val="00446E5F"/>
    <w:rsid w:val="00450C4E"/>
    <w:rsid w:val="00455577"/>
    <w:rsid w:val="00456795"/>
    <w:rsid w:val="0046150E"/>
    <w:rsid w:val="00461CC8"/>
    <w:rsid w:val="00462B2F"/>
    <w:rsid w:val="00462E09"/>
    <w:rsid w:val="00465EAA"/>
    <w:rsid w:val="004705EE"/>
    <w:rsid w:val="004708CA"/>
    <w:rsid w:val="004709E7"/>
    <w:rsid w:val="00470ADE"/>
    <w:rsid w:val="004712C7"/>
    <w:rsid w:val="004759EB"/>
    <w:rsid w:val="00477919"/>
    <w:rsid w:val="00482611"/>
    <w:rsid w:val="00482A27"/>
    <w:rsid w:val="00487DCE"/>
    <w:rsid w:val="00492701"/>
    <w:rsid w:val="004950B7"/>
    <w:rsid w:val="0049534D"/>
    <w:rsid w:val="00497FEA"/>
    <w:rsid w:val="004A02A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5FA4"/>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275D"/>
    <w:rsid w:val="005730B0"/>
    <w:rsid w:val="00575DCC"/>
    <w:rsid w:val="005821B0"/>
    <w:rsid w:val="00586C57"/>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44C1C"/>
    <w:rsid w:val="00654824"/>
    <w:rsid w:val="00661766"/>
    <w:rsid w:val="00662882"/>
    <w:rsid w:val="0066298C"/>
    <w:rsid w:val="00663008"/>
    <w:rsid w:val="00663093"/>
    <w:rsid w:val="00663B5E"/>
    <w:rsid w:val="00663F03"/>
    <w:rsid w:val="00665A7C"/>
    <w:rsid w:val="00665B0B"/>
    <w:rsid w:val="006705CD"/>
    <w:rsid w:val="00671363"/>
    <w:rsid w:val="00671F49"/>
    <w:rsid w:val="00672780"/>
    <w:rsid w:val="00672842"/>
    <w:rsid w:val="00674BCB"/>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55A7"/>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1B78"/>
    <w:rsid w:val="00812BE2"/>
    <w:rsid w:val="00813059"/>
    <w:rsid w:val="00814993"/>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3491"/>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565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5912"/>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4F96"/>
    <w:rsid w:val="00AC70C7"/>
    <w:rsid w:val="00AC79E0"/>
    <w:rsid w:val="00AC7E57"/>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573A"/>
    <w:rsid w:val="00B0014A"/>
    <w:rsid w:val="00B00B50"/>
    <w:rsid w:val="00B00DB2"/>
    <w:rsid w:val="00B016E3"/>
    <w:rsid w:val="00B02B0B"/>
    <w:rsid w:val="00B03817"/>
    <w:rsid w:val="00B04283"/>
    <w:rsid w:val="00B05BA8"/>
    <w:rsid w:val="00B07410"/>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5F1A"/>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576CA"/>
    <w:rsid w:val="00E603DF"/>
    <w:rsid w:val="00E63745"/>
    <w:rsid w:val="00E6699F"/>
    <w:rsid w:val="00E67B40"/>
    <w:rsid w:val="00E703AE"/>
    <w:rsid w:val="00E7129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07A70"/>
    <w:rsid w:val="00F146BE"/>
    <w:rsid w:val="00F20FC7"/>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493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unhideWhenUsed/>
    <w:rsid w:val="00044C5A"/>
  </w:style>
  <w:style w:type="character" w:customStyle="1" w:styleId="TextkrperZchn">
    <w:name w:val="Textkörper Zchn"/>
    <w:basedOn w:val="Absatz-Standardschriftart"/>
    <w:link w:val="Textkrper"/>
    <w:uiPriority w:val="99"/>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7E7997"/>
    <w:pPr>
      <w:tabs>
        <w:tab w:val="center" w:pos="4536"/>
        <w:tab w:val="right" w:pos="9072"/>
      </w:tabs>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Fett"/>
    <w:uiPriority w:val="1"/>
    <w:qFormat/>
    <w:rsid w:val="00FA64BE"/>
    <w:rPr>
      <w:b w:val="0"/>
      <w:bCs/>
      <w:caps/>
      <w:smallCaps w:val="0"/>
      <w:color w:val="70AD47" w:themeColor="accent6"/>
      <w:sz w:val="22"/>
    </w:rPr>
  </w:style>
  <w:style w:type="character" w:customStyle="1" w:styleId="normaltextrun">
    <w:name w:val="normaltextrun"/>
    <w:basedOn w:val="Absatz-Standardschriftart"/>
    <w:rsid w:val="009F5655"/>
  </w:style>
  <w:style w:type="character" w:customStyle="1" w:styleId="eop">
    <w:name w:val="eop"/>
    <w:basedOn w:val="Absatz-Standardschriftart"/>
    <w:rsid w:val="00586C57"/>
  </w:style>
  <w:style w:type="paragraph" w:customStyle="1" w:styleId="paragraph">
    <w:name w:val="paragraph"/>
    <w:basedOn w:val="Standard"/>
    <w:rsid w:val="00586C57"/>
    <w:pPr>
      <w:spacing w:before="100" w:beforeAutospacing="1" w:after="100" w:afterAutospacing="1"/>
    </w:pPr>
    <w:rPr>
      <w:lang w:val="de-DE" w:eastAsia="de-DE"/>
    </w:rPr>
  </w:style>
  <w:style w:type="paragraph" w:styleId="Liste2">
    <w:name w:val="List 2"/>
    <w:basedOn w:val="Standard"/>
    <w:uiPriority w:val="99"/>
    <w:unhideWhenUsed/>
    <w:rsid w:val="004705EE"/>
    <w:pPr>
      <w:spacing w:after="80"/>
      <w:ind w:left="566" w:hanging="283"/>
      <w:contextualSpacing/>
      <w:jc w:val="both"/>
    </w:pPr>
    <w:rPr>
      <w:rFonts w:ascii="Trebuchet MS" w:eastAsiaTheme="minorHAnsi" w:hAnsi="Trebuchet MS"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5548473">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12322916">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8696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3249468">
      <w:bodyDiv w:val="1"/>
      <w:marLeft w:val="0"/>
      <w:marRight w:val="0"/>
      <w:marTop w:val="0"/>
      <w:marBottom w:val="0"/>
      <w:divBdr>
        <w:top w:val="none" w:sz="0" w:space="0" w:color="auto"/>
        <w:left w:val="none" w:sz="0" w:space="0" w:color="auto"/>
        <w:bottom w:val="none" w:sz="0" w:space="0" w:color="auto"/>
        <w:right w:val="none" w:sz="0" w:space="0" w:color="auto"/>
      </w:divBdr>
      <w:divsChild>
        <w:div w:id="1554805352">
          <w:marLeft w:val="0"/>
          <w:marRight w:val="0"/>
          <w:marTop w:val="0"/>
          <w:marBottom w:val="0"/>
          <w:divBdr>
            <w:top w:val="none" w:sz="0" w:space="0" w:color="auto"/>
            <w:left w:val="none" w:sz="0" w:space="0" w:color="auto"/>
            <w:bottom w:val="none" w:sz="0" w:space="0" w:color="auto"/>
            <w:right w:val="none" w:sz="0" w:space="0" w:color="auto"/>
          </w:divBdr>
        </w:div>
        <w:div w:id="814419508">
          <w:marLeft w:val="0"/>
          <w:marRight w:val="0"/>
          <w:marTop w:val="0"/>
          <w:marBottom w:val="0"/>
          <w:divBdr>
            <w:top w:val="none" w:sz="0" w:space="0" w:color="auto"/>
            <w:left w:val="none" w:sz="0" w:space="0" w:color="auto"/>
            <w:bottom w:val="none" w:sz="0" w:space="0" w:color="auto"/>
            <w:right w:val="none" w:sz="0" w:space="0" w:color="auto"/>
          </w:divBdr>
        </w:div>
      </w:divsChild>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70000539">
      <w:bodyDiv w:val="1"/>
      <w:marLeft w:val="0"/>
      <w:marRight w:val="0"/>
      <w:marTop w:val="0"/>
      <w:marBottom w:val="0"/>
      <w:divBdr>
        <w:top w:val="none" w:sz="0" w:space="0" w:color="auto"/>
        <w:left w:val="none" w:sz="0" w:space="0" w:color="auto"/>
        <w:bottom w:val="none" w:sz="0" w:space="0" w:color="auto"/>
        <w:right w:val="none" w:sz="0" w:space="0" w:color="auto"/>
      </w:divBdr>
    </w:div>
    <w:div w:id="1952935862">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75FC2692306141B4DE6FDAF1C16F98" ma:contentTypeVersion="15" ma:contentTypeDescription="Ein neues Dokument erstellen." ma:contentTypeScope="" ma:versionID="4a662c98ad5ddfe504c16a07d0aed290">
  <xsd:schema xmlns:xsd="http://www.w3.org/2001/XMLSchema" xmlns:xs="http://www.w3.org/2001/XMLSchema" xmlns:p="http://schemas.microsoft.com/office/2006/metadata/properties" xmlns:ns2="f3826d73-1ff4-4f1d-a862-66eeb380df06" xmlns:ns3="65932103-11d1-4326-ad86-458c906ebd62" targetNamespace="http://schemas.microsoft.com/office/2006/metadata/properties" ma:root="true" ma:fieldsID="f54a10bd0a23825419c29d60e3aa4bc5" ns2:_="" ns3:_="">
    <xsd:import namespace="f3826d73-1ff4-4f1d-a862-66eeb380df06"/>
    <xsd:import namespace="65932103-11d1-4326-ad86-458c906ebd62"/>
    <xsd:element name="properties">
      <xsd:complexType>
        <xsd:sequence>
          <xsd:element name="documentManagement">
            <xsd:complexType>
              <xsd:all>
                <xsd:element ref="ns2:VerlinkungMonday"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26d73-1ff4-4f1d-a862-66eeb380df06" elementFormDefault="qualified">
    <xsd:import namespace="http://schemas.microsoft.com/office/2006/documentManagement/types"/>
    <xsd:import namespace="http://schemas.microsoft.com/office/infopath/2007/PartnerControls"/>
    <xsd:element name="VerlinkungMonday" ma:index="8" nillable="true" ma:displayName="Verlinkung Monday" ma:format="Hyperlink" ma:internalName="VerlinkungMonday">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5471a5b-2294-4449-88f2-868b68f268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32103-11d1-4326-ad86-458c906ebd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4bcbbe-1123-4764-8ab4-23473bc2588c}" ma:internalName="TaxCatchAll" ma:showField="CatchAllData" ma:web="65932103-11d1-4326-ad86-458c906ebd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932103-11d1-4326-ad86-458c906ebd62" xsi:nil="true"/>
    <VerlinkungMonday xmlns="f3826d73-1ff4-4f1d-a862-66eeb380df06">
      <Url xsi:nil="true"/>
      <Description xsi:nil="true"/>
    </VerlinkungMonday>
    <lcf76f155ced4ddcb4097134ff3c332f xmlns="f3826d73-1ff4-4f1d-a862-66eeb380df0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D0A65DFC-CF74-4CDF-8AC3-57F68BA8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26d73-1ff4-4f1d-a862-66eeb380df06"/>
    <ds:schemaRef ds:uri="65932103-11d1-4326-ad86-458c906eb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65932103-11d1-4326-ad86-458c906ebd62"/>
    <ds:schemaRef ds:uri="f3826d73-1ff4-4f1d-a862-66eeb380df06"/>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0</TotalTime>
  <Pages>21</Pages>
  <Words>5000</Words>
  <Characters>31507</Characters>
  <Application>Microsoft Office Word</Application>
  <DocSecurity>8</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Kirchmayer, Michael</cp:lastModifiedBy>
  <cp:revision>44</cp:revision>
  <cp:lastPrinted>2017-07-24T14:47:00Z</cp:lastPrinted>
  <dcterms:created xsi:type="dcterms:W3CDTF">2023-11-17T14:13:00Z</dcterms:created>
  <dcterms:modified xsi:type="dcterms:W3CDTF">2023-12-13T14:36:00Z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0x010100B775FC2692306141B4DE6FDAF1C16F98</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ediaServiceImageTags">
    <vt:lpwstr/>
  </property>
  <property fmtid="{D5CDD505-2E9C-101B-9397-08002B2CF9AE}" pid="22" name="MSIP_Label_663c6e19-6d75-4015-a09a-aaabec0a16a6_Enabled">
    <vt:lpwstr>true</vt:lpwstr>
  </property>
  <property fmtid="{D5CDD505-2E9C-101B-9397-08002B2CF9AE}" pid="23" name="MSIP_Label_663c6e19-6d75-4015-a09a-aaabec0a16a6_SetDate">
    <vt:lpwstr>2023-12-13T08:06:03Z</vt:lpwstr>
  </property>
  <property fmtid="{D5CDD505-2E9C-101B-9397-08002B2CF9AE}" pid="24" name="MSIP_Label_663c6e19-6d75-4015-a09a-aaabec0a16a6_Method">
    <vt:lpwstr>Privileged</vt:lpwstr>
  </property>
  <property fmtid="{D5CDD505-2E9C-101B-9397-08002B2CF9AE}" pid="25" name="MSIP_Label_663c6e19-6d75-4015-a09a-aaabec0a16a6_Name">
    <vt:lpwstr>Oeffentlich</vt:lpwstr>
  </property>
  <property fmtid="{D5CDD505-2E9C-101B-9397-08002B2CF9AE}" pid="26" name="MSIP_Label_663c6e19-6d75-4015-a09a-aaabec0a16a6_SiteId">
    <vt:lpwstr>b7cf3089-8b45-455a-828d-74b88999d193</vt:lpwstr>
  </property>
  <property fmtid="{D5CDD505-2E9C-101B-9397-08002B2CF9AE}" pid="27" name="MSIP_Label_663c6e19-6d75-4015-a09a-aaabec0a16a6_ActionId">
    <vt:lpwstr>7fffd324-7476-499a-a157-85b6612a0464</vt:lpwstr>
  </property>
  <property fmtid="{D5CDD505-2E9C-101B-9397-08002B2CF9AE}" pid="28" name="MSIP_Label_663c6e19-6d75-4015-a09a-aaabec0a16a6_ContentBits">
    <vt:lpwstr>0</vt:lpwstr>
  </property>
</Properties>
</file>