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6880982" w:rsidR="00C85C8B" w:rsidRPr="00B16706" w:rsidRDefault="00F3530F" w:rsidP="00C85C8B">
                <w:pPr>
                  <w:rPr>
                    <w:rFonts w:ascii="Arial" w:hAnsi="Arial" w:cs="Arial"/>
                    <w:color w:val="808080"/>
                    <w:sz w:val="16"/>
                    <w:szCs w:val="20"/>
                    <w:lang w:eastAsia="de-DE"/>
                  </w:rPr>
                </w:pPr>
                <w:r>
                  <w:rPr>
                    <w:rFonts w:ascii="Arial" w:hAnsi="Arial" w:cs="Arial"/>
                    <w:color w:val="808080"/>
                    <w:sz w:val="16"/>
                    <w:szCs w:val="20"/>
                    <w:lang w:eastAsia="de-DE"/>
                  </w:rPr>
                  <w:t>Deutsche Boerse AG</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2E630A4" w:rsidR="00C85C8B" w:rsidRPr="00B16706" w:rsidRDefault="008C1C0B"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3530F">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53458CF" w:rsidR="00C85C8B" w:rsidRPr="00B16706" w:rsidRDefault="00F3530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6562508" w:rsidR="00C85C8B" w:rsidRPr="00B16706" w:rsidRDefault="00F3530F"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6C3D08D9" w:rsidR="00FA64BE" w:rsidRDefault="00FA64BE" w:rsidP="00FA64BE">
      <w:permStart w:id="212889190" w:edGrp="everyone"/>
      <w:r>
        <w:t>TYPE YOUR TEXT HERE</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lastRenderedPageBreak/>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lastRenderedPageBreak/>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19F7C813" w14:textId="559E6D87" w:rsidR="00FA64BE" w:rsidRDefault="00F3530F" w:rsidP="00FA64BE">
      <w:permStart w:id="763903754" w:edGrp="everyone"/>
      <w:r>
        <w:t>Yes, further clarity and guidance on methodologies and on recommended data sources would be very welcome. In line with ESMA’s statutory mandate to update the RTS in the light of regulatory and technical developments, w</w:t>
      </w:r>
      <w:r>
        <w:rPr>
          <w:rFonts w:ascii="Calibri" w:hAnsi="Calibri" w:cs="Calibri"/>
        </w:rPr>
        <w:t xml:space="preserve">e would also welcome a timely review and consultation after the first application phase of the RTS to reflect the evolving market </w:t>
      </w:r>
      <w:proofErr w:type="gramStart"/>
      <w:r>
        <w:rPr>
          <w:rFonts w:ascii="Calibri" w:hAnsi="Calibri" w:cs="Calibri"/>
        </w:rPr>
        <w:t>practice.</w:t>
      </w:r>
      <w:permEnd w:id="763903754"/>
      <w:r w:rsidR="00FA64BE">
        <w:t>&lt;</w:t>
      </w:r>
      <w:proofErr w:type="gramEnd"/>
      <w:r w:rsidR="00FA64BE">
        <w: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3F6518E4" w14:textId="327FEA2F" w:rsidR="00FA64BE" w:rsidRDefault="00F3530F" w:rsidP="00FA64BE">
      <w:permStart w:id="1363767151" w:edGrp="everyone"/>
      <w:r>
        <w:rPr>
          <w:rFonts w:ascii="Calibri" w:hAnsi="Calibri" w:cs="Calibri"/>
        </w:rPr>
        <w:t xml:space="preserve">We welcome the standard definition of permissionless DLT in line with ISO – this provides consistency and allows industry wide application in a consistent manner. The question of liability remains in case CASPs are impacted by malfunction/disruption of permissionless DLT infrastructure. From our perspective, the answer to liability will evolve over time with experience gained from being involved in transactions based on permissionless DLT </w:t>
      </w:r>
      <w:proofErr w:type="gramStart"/>
      <w:r>
        <w:rPr>
          <w:rFonts w:ascii="Calibri" w:hAnsi="Calibri" w:cs="Calibri"/>
        </w:rPr>
        <w:t>infrastructure.</w:t>
      </w:r>
      <w:permEnd w:id="1363767151"/>
      <w:r w:rsidR="00FA64BE">
        <w:t>&lt;</w:t>
      </w:r>
      <w:proofErr w:type="gramEnd"/>
      <w:r w:rsidR="00FA64BE">
        <w: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2373800B" w14:textId="4F6BE2AA" w:rsidR="00FA64BE" w:rsidRDefault="00F3530F" w:rsidP="00FA64BE">
      <w:permStart w:id="1236938786" w:edGrp="everyone"/>
      <w:r>
        <w:rPr>
          <w:rFonts w:ascii="Calibri" w:hAnsi="Calibri" w:cs="Calibri"/>
        </w:rPr>
        <w:t xml:space="preserve">Yes, we see it as </w:t>
      </w:r>
      <w:proofErr w:type="gramStart"/>
      <w:r>
        <w:rPr>
          <w:rFonts w:ascii="Calibri" w:hAnsi="Calibri" w:cs="Calibri"/>
        </w:rPr>
        <w:t>beneficial  to</w:t>
      </w:r>
      <w:proofErr w:type="gramEnd"/>
      <w:r>
        <w:rPr>
          <w:rFonts w:ascii="Calibri" w:hAnsi="Calibri" w:cs="Calibri"/>
        </w:rPr>
        <w:t xml:space="preserve"> refer to terms like “</w:t>
      </w:r>
      <w:r>
        <w:t>critical or important functions</w:t>
      </w:r>
      <w:r>
        <w:rPr>
          <w:rFonts w:ascii="Calibri" w:hAnsi="Calibri" w:cs="Calibri"/>
        </w:rPr>
        <w:t>” consistently across several regulations. This implies that regulatory compliance can be achieved across several regulations, which creates synergies. It also creates common understanding and reduces misinterpretation. A clear definition on functions which are treated as “</w:t>
      </w:r>
      <w:r>
        <w:t xml:space="preserve">critical or important functions” could reference Article 3, point (22) of Regulation (EU) 2022/2554 (DORA) to ensure a harmonized application of the </w:t>
      </w:r>
      <w:proofErr w:type="gramStart"/>
      <w:r>
        <w:t>term.</w:t>
      </w:r>
      <w:permEnd w:id="1236938786"/>
      <w:r w:rsidR="00FA64BE">
        <w:t>&lt;</w:t>
      </w:r>
      <w:proofErr w:type="gramEnd"/>
      <w:r w:rsidR="00FA64BE">
        <w: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665E6678" w14:textId="4B9F2DD6" w:rsidR="00FA64BE" w:rsidRDefault="00F3530F" w:rsidP="00FA64BE">
      <w:permStart w:id="1772099050" w:edGrp="everyone"/>
      <w:r>
        <w:rPr>
          <w:rFonts w:ascii="Calibri" w:hAnsi="Calibri" w:cs="Calibri"/>
        </w:rPr>
        <w:t xml:space="preserve">Yes, we value the measures described in Article 4(2) subparagraph (e) and consider them as appropriate. A disruption of a </w:t>
      </w:r>
      <w:r>
        <w:t xml:space="preserve">permissionless DLT should not be used to justify own </w:t>
      </w:r>
      <w:r>
        <w:lastRenderedPageBreak/>
        <w:t xml:space="preserve">failure/discontinuity of a CASP, in particular if such failure is attributable to an inappropriate business continuity </w:t>
      </w:r>
      <w:proofErr w:type="gramStart"/>
      <w:r>
        <w:t>framework</w:t>
      </w:r>
      <w:r w:rsidRPr="000E4AD7">
        <w:t>.</w:t>
      </w:r>
      <w:permEnd w:id="1772099050"/>
      <w:r w:rsidR="00FA64BE">
        <w:t>&lt;</w:t>
      </w:r>
      <w:proofErr w:type="gramEnd"/>
      <w:r w:rsidR="00FA64BE">
        <w: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793189A4" w14:textId="14C65B68" w:rsidR="00FA64BE" w:rsidRDefault="00F3530F" w:rsidP="00FA64BE">
      <w:permStart w:id="1875469134" w:edGrp="everyone"/>
      <w:r>
        <w:rPr>
          <w:rFonts w:ascii="Calibri" w:hAnsi="Calibri" w:cs="Calibri"/>
        </w:rPr>
        <w:t>The idea of a dedicated function for business continuity management is supported by us, consistent to other EU regulation. The business continuity management measures, including a “</w:t>
      </w:r>
      <w:r>
        <w:t>dedicated resource for their business continuity arrangements</w:t>
      </w:r>
      <w:r>
        <w:rPr>
          <w:rFonts w:ascii="Calibri" w:hAnsi="Calibri" w:cs="Calibri"/>
        </w:rPr>
        <w:t xml:space="preserve">” ensures a resilient and robust service offering and promotes preventive measures creating standards for all CASPs. One of the main drivers for the development of the crypto assets markets is currently the retail flow with resulting requirements to CASPs. We see the aim to address the needs of such drivers proportionally and set business continuity management requirements </w:t>
      </w:r>
      <w:proofErr w:type="gramStart"/>
      <w:r>
        <w:rPr>
          <w:rFonts w:ascii="Calibri" w:hAnsi="Calibri" w:cs="Calibri"/>
        </w:rPr>
        <w:t>accordingly.</w:t>
      </w:r>
      <w:permEnd w:id="1875469134"/>
      <w:r w:rsidR="00FA64BE">
        <w:t>&lt;</w:t>
      </w:r>
      <w:proofErr w:type="gramEnd"/>
      <w:r w:rsidR="00FA64BE">
        <w: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419FC139" w14:textId="2C662CBB" w:rsidR="00FA64BE" w:rsidRDefault="00F3530F" w:rsidP="00FA64BE">
      <w:permStart w:id="226246536" w:edGrp="everyone"/>
      <w:r>
        <w:rPr>
          <w:rFonts w:ascii="Calibri" w:hAnsi="Calibri" w:cs="Calibri"/>
        </w:rPr>
        <w:t xml:space="preserve">Since </w:t>
      </w:r>
      <w:r>
        <w:t xml:space="preserve">Article 68(10)(a) of MiCA addresses </w:t>
      </w:r>
      <w:r w:rsidRPr="00F10F09">
        <w:t>continuity and regularity in the performance of the crypto-asset services</w:t>
      </w:r>
      <w:proofErr w:type="gramStart"/>
      <w:r>
        <w:t>, ,</w:t>
      </w:r>
      <w:proofErr w:type="gramEnd"/>
      <w:r>
        <w:t xml:space="preserve"> we would not see the need to consider further requirements/measures adapted from traditional finance (</w:t>
      </w:r>
      <w:proofErr w:type="spellStart"/>
      <w:r>
        <w:t>i</w:t>
      </w:r>
      <w:proofErr w:type="spellEnd"/>
      <w:r>
        <w:t>. e. MiFID) beyond those set out in the draft RTS.</w:t>
      </w:r>
      <w:permEnd w:id="226246536"/>
      <w:r w:rsidR="00FA64BE">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9FE107E" w14:textId="0A23687B" w:rsidR="00FA64BE" w:rsidRDefault="00F3530F" w:rsidP="00FA64BE">
      <w:permStart w:id="943128947" w:edGrp="everyone"/>
      <w:r>
        <w:rPr>
          <w:rFonts w:ascii="Calibri" w:hAnsi="Calibri" w:cs="Calibri"/>
        </w:rPr>
        <w:t xml:space="preserve">We welcome this requirement as it creates trust and resilience of the implemented </w:t>
      </w:r>
      <w:r>
        <w:t xml:space="preserve">business continuity requirement and improves effectiveness. </w:t>
      </w:r>
      <w:permEnd w:id="943128947"/>
      <w:r w:rsidR="00FA64BE">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50DE51A4" w14:textId="369E737E" w:rsidR="00FA64BE" w:rsidRDefault="00F3530F" w:rsidP="00FA64BE">
      <w:permStart w:id="1670274690" w:edGrp="everyone"/>
      <w:r>
        <w:rPr>
          <w:rFonts w:ascii="Calibri" w:hAnsi="Calibri" w:cs="Calibri"/>
        </w:rPr>
        <w:t xml:space="preserve">The proportionality principle is supported – with the emphasis that any misuse to avoid requirements by declaring “pseudo-insignificance” should be prevented. The </w:t>
      </w:r>
      <w:proofErr w:type="spellStart"/>
      <w:r>
        <w:rPr>
          <w:rFonts w:ascii="Calibri" w:hAnsi="Calibri" w:cs="Calibri"/>
        </w:rPr>
        <w:t>self assessment</w:t>
      </w:r>
      <w:proofErr w:type="spellEnd"/>
      <w:r>
        <w:rPr>
          <w:rFonts w:ascii="Calibri" w:hAnsi="Calibri" w:cs="Calibri"/>
        </w:rPr>
        <w:t xml:space="preserve"> as laid down under </w:t>
      </w:r>
      <w:r>
        <w:t xml:space="preserve">Article 6(2) and in the Annex of the draft RTS is also supported in its </w:t>
      </w:r>
      <w:r>
        <w:lastRenderedPageBreak/>
        <w:t>complexity as well as considering the goal to identify the scale and significance of the crypto asset business. However, several criteria are qualitative and therefore offer room for interpretation. A small clarification note is missing for the case where criteria is not applicable and how this will be treated e. g.: “(vi) how the private cryptographic keys of clients are secured under safekeeping” – not applicable to an operator of an MTS.</w:t>
      </w:r>
      <w:permEnd w:id="1670274690"/>
      <w:r w:rsidR="00FA64BE">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7BD3B46" w14:textId="77777777" w:rsidR="00F3530F" w:rsidRPr="000E4AD7" w:rsidRDefault="00F3530F" w:rsidP="00F6724A">
      <w:pPr>
        <w:textAlignment w:val="baseline"/>
      </w:pPr>
      <w:permStart w:id="2072316093" w:edGrp="everyone"/>
      <w:r w:rsidRPr="000E4AD7">
        <w:t>Agreed</w:t>
      </w:r>
      <w:r>
        <w:t xml:space="preserve">. Regarding </w:t>
      </w:r>
      <w:r w:rsidRPr="000E4AD7">
        <w:t>transparency in general</w:t>
      </w:r>
      <w:r>
        <w:t>,</w:t>
      </w:r>
      <w:r w:rsidRPr="000E4AD7">
        <w:t xml:space="preserve"> </w:t>
      </w:r>
      <w:r>
        <w:t>t</w:t>
      </w:r>
      <w:r w:rsidRPr="000E4AD7">
        <w:t xml:space="preserve">he trading of crypto assets on a public blockchain inherently provides transparency as per chapter 5.2 </w:t>
      </w:r>
      <w:r>
        <w:t xml:space="preserve">para. </w:t>
      </w:r>
      <w:r w:rsidRPr="000E4AD7">
        <w:t xml:space="preserve">90 of </w:t>
      </w:r>
      <w:r>
        <w:t xml:space="preserve">the Consultation Paper </w:t>
      </w:r>
      <w:r w:rsidRPr="000E4AD7">
        <w:t xml:space="preserve">and therefore would require appropriate transparency rules with the focus on analysis and avoidance of redundancy. However, the transparency rules and specification should account for prevention of market abuse (or any other/similar illegal actions). </w:t>
      </w:r>
    </w:p>
    <w:p w14:paraId="4A6F0A2F" w14:textId="1197C586" w:rsidR="00FA64BE" w:rsidRDefault="00F3530F" w:rsidP="00FA64BE">
      <w:r>
        <w:t>Regarding the</w:t>
      </w:r>
      <w:r w:rsidRPr="000E4AD7">
        <w:t xml:space="preserve"> publication of </w:t>
      </w:r>
      <w:r>
        <w:t xml:space="preserve">information on the operating rules for trading platform, the opinion that these should be published free of charge to create greater transparency towards the market is </w:t>
      </w:r>
      <w:proofErr w:type="gramStart"/>
      <w:r>
        <w:t>supported.</w:t>
      </w:r>
      <w:permEnd w:id="2072316093"/>
      <w:r w:rsidR="00FA64BE">
        <w:t>&lt;</w:t>
      </w:r>
      <w:proofErr w:type="gramEnd"/>
      <w:r w:rsidR="00FA64BE">
        <w: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0797770" w14:textId="77777777" w:rsidR="00F3530F" w:rsidRDefault="00F3530F" w:rsidP="00F3530F">
      <w:pPr>
        <w:pStyle w:val="Default"/>
        <w:numPr>
          <w:ilvl w:val="0"/>
          <w:numId w:val="31"/>
        </w:numPr>
        <w:rPr>
          <w:rFonts w:asciiTheme="minorHAnsi" w:hAnsiTheme="minorHAnsi" w:cstheme="minorBidi"/>
          <w:color w:val="auto"/>
          <w:sz w:val="22"/>
          <w:szCs w:val="22"/>
          <w:lang w:val="en-US"/>
        </w:rPr>
      </w:pPr>
      <w:permStart w:id="1040608394" w:edGrp="everyone"/>
      <w:r>
        <w:rPr>
          <w:rFonts w:asciiTheme="minorHAnsi" w:hAnsiTheme="minorHAnsi" w:cstheme="minorBidi"/>
          <w:color w:val="auto"/>
          <w:sz w:val="22"/>
          <w:szCs w:val="22"/>
          <w:lang w:val="en-US"/>
        </w:rPr>
        <w:t>In</w:t>
      </w:r>
      <w:r w:rsidRPr="000E4AD7">
        <w:rPr>
          <w:rFonts w:asciiTheme="minorHAnsi" w:hAnsiTheme="minorHAnsi" w:cstheme="minorBidi"/>
          <w:color w:val="auto"/>
          <w:sz w:val="22"/>
          <w:szCs w:val="22"/>
          <w:lang w:val="en-US"/>
        </w:rPr>
        <w:t xml:space="preserve"> accord</w:t>
      </w:r>
      <w:r>
        <w:rPr>
          <w:rFonts w:asciiTheme="minorHAnsi" w:hAnsiTheme="minorHAnsi" w:cstheme="minorBidi"/>
          <w:color w:val="auto"/>
          <w:sz w:val="22"/>
          <w:szCs w:val="22"/>
          <w:lang w:val="en-US"/>
        </w:rPr>
        <w:t>ance</w:t>
      </w:r>
      <w:r w:rsidRPr="000E4AD7">
        <w:rPr>
          <w:rFonts w:asciiTheme="minorHAnsi" w:hAnsiTheme="minorHAnsi" w:cstheme="minorBidi"/>
          <w:color w:val="auto"/>
          <w:sz w:val="22"/>
          <w:szCs w:val="22"/>
          <w:lang w:val="en-US"/>
        </w:rPr>
        <w:t xml:space="preserve"> </w:t>
      </w:r>
      <w:r>
        <w:rPr>
          <w:rFonts w:asciiTheme="minorHAnsi" w:hAnsiTheme="minorHAnsi" w:cstheme="minorBidi"/>
          <w:color w:val="auto"/>
          <w:sz w:val="22"/>
          <w:szCs w:val="22"/>
          <w:lang w:val="en-US"/>
        </w:rPr>
        <w:t xml:space="preserve">with </w:t>
      </w:r>
      <w:proofErr w:type="gramStart"/>
      <w:r w:rsidRPr="000E4AD7">
        <w:rPr>
          <w:rFonts w:asciiTheme="minorHAnsi" w:hAnsiTheme="minorHAnsi" w:cstheme="minorBidi"/>
          <w:color w:val="auto"/>
          <w:sz w:val="22"/>
          <w:szCs w:val="22"/>
          <w:lang w:val="en-US"/>
        </w:rPr>
        <w:t>Annex</w:t>
      </w:r>
      <w:proofErr w:type="gramEnd"/>
      <w:r w:rsidRPr="000E4AD7">
        <w:rPr>
          <w:rFonts w:asciiTheme="minorHAnsi" w:hAnsiTheme="minorHAnsi" w:cstheme="minorBidi"/>
          <w:color w:val="auto"/>
          <w:sz w:val="22"/>
          <w:szCs w:val="22"/>
          <w:lang w:val="en-US"/>
        </w:rPr>
        <w:t xml:space="preserve"> I Table 1</w:t>
      </w:r>
      <w:r>
        <w:rPr>
          <w:rFonts w:asciiTheme="minorHAnsi" w:hAnsiTheme="minorHAnsi" w:cstheme="minorBidi"/>
          <w:color w:val="auto"/>
          <w:sz w:val="22"/>
          <w:szCs w:val="22"/>
          <w:lang w:val="en-US"/>
        </w:rPr>
        <w:t>:</w:t>
      </w:r>
      <w:r w:rsidRPr="000E4AD7">
        <w:rPr>
          <w:rFonts w:asciiTheme="minorHAnsi" w:hAnsiTheme="minorHAnsi" w:cstheme="minorBidi"/>
          <w:color w:val="auto"/>
          <w:sz w:val="22"/>
          <w:szCs w:val="22"/>
          <w:lang w:val="en-US"/>
        </w:rPr>
        <w:t xml:space="preserve"> </w:t>
      </w:r>
      <w:r>
        <w:rPr>
          <w:rFonts w:asciiTheme="minorHAnsi" w:hAnsiTheme="minorHAnsi" w:cstheme="minorBidi"/>
          <w:color w:val="auto"/>
          <w:sz w:val="22"/>
          <w:szCs w:val="22"/>
          <w:lang w:val="en-US"/>
        </w:rPr>
        <w:t>“c</w:t>
      </w:r>
      <w:r w:rsidRPr="000E4AD7">
        <w:rPr>
          <w:rFonts w:asciiTheme="minorHAnsi" w:hAnsiTheme="minorHAnsi" w:cstheme="minorBidi"/>
          <w:color w:val="auto"/>
          <w:sz w:val="22"/>
          <w:szCs w:val="22"/>
          <w:lang w:val="en-US"/>
        </w:rPr>
        <w:t>ontinuous auction order book trading system</w:t>
      </w:r>
      <w:r>
        <w:rPr>
          <w:rFonts w:asciiTheme="minorHAnsi" w:hAnsiTheme="minorHAnsi" w:cstheme="minorBidi"/>
          <w:color w:val="auto"/>
          <w:sz w:val="22"/>
          <w:szCs w:val="22"/>
          <w:lang w:val="en-US"/>
        </w:rPr>
        <w:t>” and “any other trading systems.</w:t>
      </w:r>
      <w:r w:rsidRPr="000E4AD7">
        <w:rPr>
          <w:rFonts w:asciiTheme="minorHAnsi" w:hAnsiTheme="minorHAnsi" w:cstheme="minorBidi"/>
          <w:color w:val="auto"/>
          <w:sz w:val="22"/>
          <w:szCs w:val="22"/>
          <w:lang w:val="en-US"/>
        </w:rPr>
        <w:t xml:space="preserve"> </w:t>
      </w:r>
      <w:r>
        <w:rPr>
          <w:rFonts w:asciiTheme="minorHAnsi" w:hAnsiTheme="minorHAnsi" w:cstheme="minorBidi"/>
          <w:color w:val="auto"/>
          <w:sz w:val="22"/>
          <w:szCs w:val="22"/>
          <w:lang w:val="en-US"/>
        </w:rPr>
        <w:t>It is planned to</w:t>
      </w:r>
      <w:r w:rsidRPr="000E4AD7">
        <w:rPr>
          <w:rFonts w:asciiTheme="minorHAnsi" w:hAnsiTheme="minorHAnsi" w:cstheme="minorBidi"/>
          <w:color w:val="auto"/>
          <w:sz w:val="22"/>
          <w:szCs w:val="22"/>
          <w:lang w:val="en-US"/>
        </w:rPr>
        <w:t xml:space="preserve"> operate an MTF </w:t>
      </w:r>
      <w:r>
        <w:rPr>
          <w:rFonts w:asciiTheme="minorHAnsi" w:hAnsiTheme="minorHAnsi" w:cstheme="minorBidi"/>
          <w:color w:val="auto"/>
          <w:sz w:val="22"/>
          <w:szCs w:val="22"/>
          <w:lang w:val="en-US"/>
        </w:rPr>
        <w:t xml:space="preserve">using RfQ mechanism at the beginning of the service and subsequently switch to </w:t>
      </w:r>
      <w:r w:rsidRPr="000E4AD7">
        <w:rPr>
          <w:rFonts w:asciiTheme="minorHAnsi" w:hAnsiTheme="minorHAnsi" w:cstheme="minorBidi"/>
          <w:color w:val="auto"/>
          <w:sz w:val="22"/>
          <w:szCs w:val="22"/>
          <w:lang w:val="en-US"/>
        </w:rPr>
        <w:t>CLOB</w:t>
      </w:r>
      <w:r>
        <w:rPr>
          <w:rFonts w:asciiTheme="minorHAnsi" w:hAnsiTheme="minorHAnsi" w:cstheme="minorBidi"/>
          <w:color w:val="auto"/>
          <w:sz w:val="22"/>
          <w:szCs w:val="22"/>
          <w:lang w:val="en-US"/>
        </w:rPr>
        <w:t>.</w:t>
      </w:r>
    </w:p>
    <w:p w14:paraId="3EE7DD61" w14:textId="77777777" w:rsidR="00F3530F" w:rsidRDefault="00F3530F" w:rsidP="00F3530F">
      <w:pPr>
        <w:pStyle w:val="Default"/>
        <w:numPr>
          <w:ilvl w:val="0"/>
          <w:numId w:val="31"/>
        </w:numPr>
        <w:rPr>
          <w:rFonts w:asciiTheme="minorHAnsi" w:hAnsiTheme="minorHAnsi" w:cstheme="minorBidi"/>
          <w:color w:val="auto"/>
          <w:sz w:val="22"/>
          <w:szCs w:val="22"/>
          <w:lang w:val="en-US"/>
        </w:rPr>
      </w:pPr>
      <w:r w:rsidRPr="000E4AD7">
        <w:rPr>
          <w:rFonts w:asciiTheme="minorHAnsi" w:hAnsiTheme="minorHAnsi" w:cstheme="minorBidi"/>
          <w:color w:val="auto"/>
          <w:sz w:val="22"/>
          <w:szCs w:val="22"/>
          <w:lang w:val="en-US"/>
        </w:rPr>
        <w:t xml:space="preserve">Market-, Limit-, Stop market-, Stop limit/market-, Trailing stop-, One-cancels-other-, Iceberg-, Immediate-or-cancel-, Fill-or-kill-, Book-or-cancel-, Closing/Opening-Auction limit/market-, Auction only limit/market, Intraday auction only-, and quotes in continuous trading and </w:t>
      </w:r>
      <w:r w:rsidRPr="00A72EC6">
        <w:rPr>
          <w:rFonts w:asciiTheme="minorHAnsi" w:hAnsiTheme="minorHAnsi" w:cstheme="minorBidi"/>
          <w:color w:val="auto"/>
          <w:sz w:val="22"/>
          <w:szCs w:val="22"/>
          <w:lang w:val="en-US"/>
        </w:rPr>
        <w:t>auction.</w:t>
      </w:r>
    </w:p>
    <w:p w14:paraId="035496BD" w14:textId="602495F9" w:rsidR="00FA64BE" w:rsidRDefault="00F3530F" w:rsidP="00FA64BE">
      <w:r>
        <w:rPr>
          <w:rFonts w:asciiTheme="minorHAnsi" w:hAnsiTheme="minorHAnsi" w:cstheme="minorBidi"/>
          <w:sz w:val="22"/>
          <w:szCs w:val="22"/>
          <w:lang w:val="en-US"/>
        </w:rPr>
        <w:t xml:space="preserve">The offering of a </w:t>
      </w:r>
      <w:r w:rsidRPr="000E4AD7">
        <w:rPr>
          <w:rFonts w:asciiTheme="minorHAnsi" w:hAnsiTheme="minorHAnsi" w:cstheme="minorBidi"/>
          <w:sz w:val="22"/>
          <w:szCs w:val="22"/>
          <w:lang w:val="en-US"/>
        </w:rPr>
        <w:t xml:space="preserve">spot market with CLOB is a </w:t>
      </w:r>
      <w:r>
        <w:rPr>
          <w:rFonts w:asciiTheme="minorHAnsi" w:hAnsiTheme="minorHAnsi" w:cstheme="minorBidi"/>
          <w:sz w:val="22"/>
          <w:szCs w:val="22"/>
          <w:lang w:val="en-US"/>
        </w:rPr>
        <w:t>CEX as defined in para. 94 of the Consultation Paper.</w:t>
      </w:r>
      <w:r w:rsidRPr="002464EC">
        <w:t xml:space="preserve"> </w:t>
      </w:r>
      <w:permEnd w:id="1040608394"/>
      <w:r w:rsidR="00FA64BE">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4C6A2B90" w14:textId="77777777" w:rsidR="00F3530F" w:rsidRDefault="00F3530F" w:rsidP="00F6724A">
      <w:pPr>
        <w:textAlignment w:val="baseline"/>
      </w:pPr>
      <w:permStart w:id="771500602" w:edGrp="everyone"/>
      <w:r>
        <w:lastRenderedPageBreak/>
        <w:t xml:space="preserve">Publication of “the aggregated number of orders and the </w:t>
      </w:r>
      <w:proofErr w:type="gramStart"/>
      <w:r>
        <w:t>crypto-assets</w:t>
      </w:r>
      <w:proofErr w:type="gramEnd"/>
      <w:r>
        <w:t xml:space="preserve"> that they represent at each price level for at least the five best bid and offer price levels” is considered appropriate and </w:t>
      </w:r>
      <w:r w:rsidRPr="0095570C">
        <w:t xml:space="preserve">applies to </w:t>
      </w:r>
      <w:r>
        <w:t>our set-up</w:t>
      </w:r>
      <w:r w:rsidRPr="000E4AD7">
        <w:t xml:space="preserve">. </w:t>
      </w:r>
    </w:p>
    <w:p w14:paraId="68759634" w14:textId="2015FFE4" w:rsidR="00FA64BE" w:rsidRDefault="00F3530F" w:rsidP="00FA64BE">
      <w:r>
        <w:t>We</w:t>
      </w:r>
      <w:r w:rsidRPr="000E4AD7">
        <w:t xml:space="preserve"> will not offer a trading system which </w:t>
      </w:r>
      <w:r>
        <w:t xml:space="preserve">cannot meet the transparency requirements under the provisions in Table 1 of Annex I of the RTS. </w:t>
      </w:r>
      <w:permEnd w:id="771500602"/>
      <w:r w:rsidR="00FA64BE">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16EE056D" w14:textId="142F0C3B" w:rsidR="00FA64BE" w:rsidRDefault="00F3530F" w:rsidP="00FA64BE">
      <w:permStart w:id="785540877" w:edGrp="everyone"/>
      <w:r>
        <w:rPr>
          <w:rFonts w:ascii="Calibri" w:hAnsi="Calibri" w:cs="Calibri"/>
        </w:rPr>
        <w:t xml:space="preserve">For fair treatment and completeness, we urge to apply the same or </w:t>
      </w:r>
      <w:r w:rsidRPr="009008C4">
        <w:rPr>
          <w:rFonts w:ascii="Calibri" w:hAnsi="Calibri" w:cs="Calibri"/>
        </w:rPr>
        <w:t>by their nature equal</w:t>
      </w:r>
      <w:r>
        <w:rPr>
          <w:rFonts w:ascii="Calibri" w:hAnsi="Calibri" w:cs="Calibri"/>
        </w:rPr>
        <w:t xml:space="preserve"> transparency standards to any kind of offered markets, trading systems or CASPs where crypto assets are traded, valuing each individual characteristic of such market/service and with that the associated transparency </w:t>
      </w:r>
      <w:proofErr w:type="gramStart"/>
      <w:r>
        <w:rPr>
          <w:rFonts w:ascii="Calibri" w:hAnsi="Calibri" w:cs="Calibri"/>
        </w:rPr>
        <w:t>requirement.</w:t>
      </w:r>
      <w:permEnd w:id="785540877"/>
      <w:r w:rsidR="00FA64BE">
        <w:t>&lt;</w:t>
      </w:r>
      <w:proofErr w:type="gramEnd"/>
      <w:r w:rsidR="00FA64BE">
        <w: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2621B492" w14:textId="39A7C53F" w:rsidR="00FA64BE" w:rsidRDefault="00F3530F" w:rsidP="00FA64BE">
      <w:permStart w:id="1719166885" w:edGrp="everyone"/>
      <w:r>
        <w:rPr>
          <w:rFonts w:ascii="Calibri" w:hAnsi="Calibri" w:cs="Calibri"/>
        </w:rPr>
        <w:t xml:space="preserve">We </w:t>
      </w:r>
      <w:r w:rsidRPr="000E4AD7">
        <w:rPr>
          <w:rFonts w:ascii="Calibri" w:hAnsi="Calibri" w:cs="Calibri"/>
        </w:rPr>
        <w:t>welcome standard practice applicable to all market participants without exemption.</w:t>
      </w:r>
      <w:r>
        <w:rPr>
          <w:rFonts w:ascii="Calibri" w:hAnsi="Calibri" w:cs="Calibri"/>
        </w:rPr>
        <w:t xml:space="preserve"> Explicitly stated requirements to pre-trade information and its publication are acknowledged and agreed as proposed. No further amendments or additions to be considered at this stage – we would welcome a possibility to have additional consultations and with that the possibility for change in due course, especially after the first application phase of the </w:t>
      </w:r>
      <w:proofErr w:type="gramStart"/>
      <w:r>
        <w:rPr>
          <w:rFonts w:ascii="Calibri" w:hAnsi="Calibri" w:cs="Calibri"/>
        </w:rPr>
        <w:t>RTS.</w:t>
      </w:r>
      <w:permEnd w:id="1719166885"/>
      <w:r w:rsidR="00FA64BE">
        <w:t>&lt;</w:t>
      </w:r>
      <w:proofErr w:type="gramEnd"/>
      <w:r w:rsidR="00FA64BE">
        <w: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7E77EA71" w14:textId="1BC3E8DA" w:rsidR="00FA64BE" w:rsidRDefault="00F3530F" w:rsidP="00FA64BE">
      <w:permStart w:id="1428117711" w:edGrp="everyone"/>
      <w:r>
        <w:rPr>
          <w:rFonts w:ascii="Calibri" w:hAnsi="Calibri" w:cs="Calibri"/>
        </w:rPr>
        <w:t>We</w:t>
      </w:r>
      <w:r w:rsidRPr="00F95B09">
        <w:rPr>
          <w:rFonts w:ascii="Calibri" w:hAnsi="Calibri" w:cs="Calibri"/>
        </w:rPr>
        <w:t xml:space="preserve"> welcome standard practice applicable to all market participants without exemption.</w:t>
      </w:r>
      <w:r>
        <w:rPr>
          <w:rFonts w:ascii="Calibri" w:hAnsi="Calibri" w:cs="Calibri"/>
        </w:rPr>
        <w:t xml:space="preserve"> It would be helpful and appreciated if </w:t>
      </w:r>
      <w:r>
        <w:t xml:space="preserve">no format requirements for pre-trade information would be introduced. Only functional / content requirement is desired. The existence / use of RfQ models should be reflected. </w:t>
      </w:r>
      <w:proofErr w:type="gramStart"/>
      <w:r w:rsidRPr="008F3CA2">
        <w:rPr>
          <w:rFonts w:ascii="Calibri" w:hAnsi="Calibri" w:cs="Calibri"/>
        </w:rPr>
        <w:t>I</w:t>
      </w:r>
      <w:r w:rsidRPr="00136750">
        <w:rPr>
          <w:rFonts w:ascii="Calibri" w:hAnsi="Calibri" w:cs="Calibri"/>
        </w:rPr>
        <w:t>n particular</w:t>
      </w:r>
      <w:r w:rsidRPr="008F3CA2">
        <w:rPr>
          <w:rFonts w:ascii="Calibri" w:hAnsi="Calibri" w:cs="Calibri"/>
        </w:rPr>
        <w:t xml:space="preserve">, </w:t>
      </w:r>
      <w:r w:rsidRPr="00136750">
        <w:rPr>
          <w:rFonts w:ascii="Calibri" w:hAnsi="Calibri" w:cs="Calibri"/>
        </w:rPr>
        <w:t>a</w:t>
      </w:r>
      <w:proofErr w:type="gramEnd"/>
      <w:r w:rsidRPr="00136750">
        <w:rPr>
          <w:rFonts w:ascii="Calibri" w:hAnsi="Calibri" w:cs="Calibri"/>
        </w:rPr>
        <w:t xml:space="preserve"> way </w:t>
      </w:r>
      <w:r w:rsidRPr="008F3CA2">
        <w:rPr>
          <w:rFonts w:ascii="Calibri" w:hAnsi="Calibri" w:cs="Calibri"/>
        </w:rPr>
        <w:t xml:space="preserve">should </w:t>
      </w:r>
      <w:r w:rsidRPr="00136750">
        <w:rPr>
          <w:rFonts w:ascii="Calibri" w:hAnsi="Calibri" w:cs="Calibri"/>
        </w:rPr>
        <w:t>be found to make a pre-arranged trade facility possible/attractive via similar regulation as in MiFID2. This would increase transparency for off-book transactions, create cost-efficient synergies for trading members</w:t>
      </w:r>
      <w:r w:rsidRPr="00F4333C">
        <w:rPr>
          <w:rFonts w:ascii="Calibri" w:hAnsi="Calibri" w:cs="Calibri"/>
        </w:rPr>
        <w:t xml:space="preserve"> and regulators </w:t>
      </w:r>
      <w:r>
        <w:rPr>
          <w:rFonts w:ascii="Calibri" w:hAnsi="Calibri" w:cs="Calibri"/>
        </w:rPr>
        <w:t xml:space="preserve">with regard to </w:t>
      </w:r>
      <w:r w:rsidRPr="00F4333C">
        <w:rPr>
          <w:rFonts w:ascii="Calibri" w:hAnsi="Calibri" w:cs="Calibri"/>
        </w:rPr>
        <w:t>reporting channels</w:t>
      </w:r>
      <w:r>
        <w:rPr>
          <w:rFonts w:ascii="Calibri" w:hAnsi="Calibri" w:cs="Calibri"/>
        </w:rPr>
        <w:t xml:space="preserve">, and provide </w:t>
      </w:r>
      <w:r w:rsidRPr="00F4333C">
        <w:rPr>
          <w:rFonts w:ascii="Calibri" w:hAnsi="Calibri" w:cs="Calibri"/>
        </w:rPr>
        <w:t xml:space="preserve">scalable access points for CASPS to also perform OTC </w:t>
      </w:r>
      <w:proofErr w:type="gramStart"/>
      <w:r w:rsidRPr="00F4333C">
        <w:rPr>
          <w:rFonts w:ascii="Calibri" w:hAnsi="Calibri" w:cs="Calibri"/>
        </w:rPr>
        <w:t>transactions</w:t>
      </w:r>
      <w:r>
        <w:rPr>
          <w:rFonts w:ascii="Calibri" w:hAnsi="Calibri" w:cs="Calibri"/>
        </w:rPr>
        <w:t>.</w:t>
      </w:r>
      <w:permEnd w:id="1428117711"/>
      <w:r w:rsidR="00FA64BE">
        <w:t>&lt;</w:t>
      </w:r>
      <w:proofErr w:type="gramEnd"/>
      <w:r w:rsidR="00FA64BE">
        <w: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6E421F9F" w14:textId="5037CB14" w:rsidR="00FA64BE" w:rsidRDefault="00F3530F" w:rsidP="00FA64BE">
      <w:permStart w:id="1831950404" w:edGrp="everyone"/>
      <w:r w:rsidRPr="000E4AD7">
        <w:rPr>
          <w:rFonts w:ascii="Calibri" w:hAnsi="Calibri" w:cs="Calibri"/>
        </w:rPr>
        <w:t xml:space="preserve">Agreed and </w:t>
      </w:r>
      <w:r>
        <w:rPr>
          <w:rFonts w:ascii="Calibri" w:hAnsi="Calibri" w:cs="Calibri"/>
        </w:rPr>
        <w:t>we</w:t>
      </w:r>
      <w:r w:rsidRPr="000E4AD7">
        <w:rPr>
          <w:rFonts w:ascii="Calibri" w:hAnsi="Calibri" w:cs="Calibri"/>
        </w:rPr>
        <w:t xml:space="preserve"> welcome the standard practice applicable to all market participants without exemption. </w:t>
      </w:r>
      <w:r>
        <w:rPr>
          <w:rFonts w:ascii="Calibri" w:hAnsi="Calibri" w:cs="Calibri"/>
        </w:rPr>
        <w:t xml:space="preserve">We also </w:t>
      </w:r>
      <w:r w:rsidRPr="000E4AD7">
        <w:rPr>
          <w:rFonts w:ascii="Calibri" w:hAnsi="Calibri" w:cs="Calibri"/>
        </w:rPr>
        <w:t>acknowledge the benefits of embedded order management facilities</w:t>
      </w:r>
      <w:r>
        <w:rPr>
          <w:rFonts w:ascii="Calibri" w:hAnsi="Calibri" w:cs="Calibri"/>
        </w:rPr>
        <w:t xml:space="preserve"> and</w:t>
      </w:r>
      <w:r w:rsidRPr="000E4AD7">
        <w:rPr>
          <w:rFonts w:ascii="Calibri" w:hAnsi="Calibri" w:cs="Calibri"/>
        </w:rPr>
        <w:t xml:space="preserve"> value</w:t>
      </w:r>
      <w:r>
        <w:rPr>
          <w:rFonts w:ascii="Calibri" w:hAnsi="Calibri" w:cs="Calibri"/>
        </w:rPr>
        <w:t xml:space="preserve"> the</w:t>
      </w:r>
      <w:r w:rsidRPr="000E4AD7">
        <w:rPr>
          <w:rFonts w:ascii="Calibri" w:hAnsi="Calibri" w:cs="Calibri"/>
        </w:rPr>
        <w:t xml:space="preserve"> orientation on the existing rules applied within </w:t>
      </w:r>
      <w:proofErr w:type="spellStart"/>
      <w:r w:rsidRPr="000E4AD7">
        <w:rPr>
          <w:rFonts w:ascii="Calibri" w:hAnsi="Calibri" w:cs="Calibri"/>
        </w:rPr>
        <w:t>MiFIR</w:t>
      </w:r>
      <w:proofErr w:type="spellEnd"/>
      <w:r w:rsidRPr="000E4AD7">
        <w:rPr>
          <w:rFonts w:ascii="Calibri" w:hAnsi="Calibri" w:cs="Calibri"/>
        </w:rPr>
        <w:t>.</w:t>
      </w:r>
      <w:r>
        <w:rPr>
          <w:rFonts w:ascii="Calibri" w:hAnsi="Calibri" w:cs="Calibri"/>
        </w:rPr>
        <w:t xml:space="preserve"> In general, this implies that regulatory compliance can be achieved (by fulfilling requirements) to more than one regulation and create synergies. It also creates common understanding and reduces </w:t>
      </w:r>
      <w:proofErr w:type="gramStart"/>
      <w:r>
        <w:rPr>
          <w:rFonts w:ascii="Calibri" w:hAnsi="Calibri" w:cs="Calibri"/>
        </w:rPr>
        <w:t>misinterpretation.</w:t>
      </w:r>
      <w:permEnd w:id="1831950404"/>
      <w:r w:rsidR="00FA64BE">
        <w:t>&lt;</w:t>
      </w:r>
      <w:proofErr w:type="gramEnd"/>
      <w:r w:rsidR="00FA64BE">
        <w: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333299E9" w14:textId="353D2BC1" w:rsidR="00FA64BE" w:rsidRDefault="00F3530F" w:rsidP="00FA64BE">
      <w:permStart w:id="478694635" w:edGrp="everyone"/>
      <w:r w:rsidRPr="000E4AD7">
        <w:t xml:space="preserve">Agreed and </w:t>
      </w:r>
      <w:r>
        <w:t>we</w:t>
      </w:r>
      <w:r w:rsidRPr="000E4AD7">
        <w:t xml:space="preserve"> welcome</w:t>
      </w:r>
      <w:r>
        <w:t xml:space="preserve"> </w:t>
      </w:r>
      <w:r w:rsidRPr="000E4AD7">
        <w:t>the standard practice applicable to all market participants without exemption.</w:t>
      </w:r>
      <w:r>
        <w:t xml:space="preserve"> We would note that the requirement “as close to real time as technically possible” might be subject to interpretation and hence </w:t>
      </w:r>
      <w:r w:rsidRPr="00C93822">
        <w:t>offer</w:t>
      </w:r>
      <w:r>
        <w:t>s</w:t>
      </w:r>
      <w:r w:rsidRPr="00C93822">
        <w:t xml:space="preserve"> room for deviation</w:t>
      </w:r>
      <w:r w:rsidRPr="000E4AD7">
        <w:t>.</w:t>
      </w:r>
      <w:r>
        <w:rPr>
          <w:rFonts w:ascii="Arial" w:hAnsi="Arial" w:cs="Arial"/>
          <w:color w:val="909F00"/>
          <w:shd w:val="clear" w:color="auto" w:fill="FFFFFF"/>
        </w:rPr>
        <w:t xml:space="preserve"> </w:t>
      </w:r>
      <w:r>
        <w:rPr>
          <w:rFonts w:ascii="Calibri" w:hAnsi="Calibri" w:cs="Calibri"/>
        </w:rPr>
        <w:t xml:space="preserve">Explicitly stated requirements to post-trade information and its publication are acknowledged and agreed as proposed. No further amendments, additions to be considered at this stage – we would welcome a possibility to have additional consultations and with that the possibility for change in due course, especially after first the application phase of the </w:t>
      </w:r>
      <w:proofErr w:type="gramStart"/>
      <w:r>
        <w:rPr>
          <w:rFonts w:ascii="Calibri" w:hAnsi="Calibri" w:cs="Calibri"/>
        </w:rPr>
        <w:t>RTS.</w:t>
      </w:r>
      <w:permEnd w:id="478694635"/>
      <w:r w:rsidR="00FA64BE">
        <w:t>&lt;</w:t>
      </w:r>
      <w:proofErr w:type="gramEnd"/>
      <w:r w:rsidR="00FA64BE">
        <w: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20F578C8" w14:textId="1A44BD82" w:rsidR="00FA64BE" w:rsidRDefault="00F3530F" w:rsidP="00FA64BE">
      <w:permStart w:id="564936908" w:edGrp="everyone"/>
      <w:r>
        <w:rPr>
          <w:rFonts w:ascii="Calibri" w:hAnsi="Calibri" w:cs="Calibri"/>
        </w:rPr>
        <w:t>Yes, all relevant and necessary data are specified for transaction identification and distinction of trades/</w:t>
      </w:r>
      <w:proofErr w:type="gramStart"/>
      <w:r>
        <w:rPr>
          <w:rFonts w:ascii="Calibri" w:hAnsi="Calibri" w:cs="Calibri"/>
        </w:rPr>
        <w:t>contracts.</w:t>
      </w:r>
      <w:permEnd w:id="564936908"/>
      <w:r w:rsidR="00FA64BE">
        <w:t>&lt;</w:t>
      </w:r>
      <w:proofErr w:type="gramEnd"/>
      <w:r w:rsidR="00FA64BE">
        <w: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580DEF82" w14:textId="47143F39" w:rsidR="00FA64BE" w:rsidRDefault="00F3530F" w:rsidP="00FA64BE">
      <w:permStart w:id="712931667" w:edGrp="everyone"/>
      <w:r>
        <w:rPr>
          <w:rFonts w:ascii="Calibri" w:hAnsi="Calibri" w:cs="Calibri"/>
        </w:rPr>
        <w:t xml:space="preserve">No, the specified information is sufficient. Post-trade information and its publication are acknowledged and agreed as proposed. No further amendments, additions to be considered at this stage – we would welcome a possibility to have additional consultations and with that the possibility for change in due course, especially after the first application phase of the </w:t>
      </w:r>
      <w:proofErr w:type="gramStart"/>
      <w:r>
        <w:rPr>
          <w:rFonts w:ascii="Calibri" w:hAnsi="Calibri" w:cs="Calibri"/>
        </w:rPr>
        <w:t>RTS.</w:t>
      </w:r>
      <w:permEnd w:id="712931667"/>
      <w:r w:rsidR="00FA64BE">
        <w:t>&lt;</w:t>
      </w:r>
      <w:proofErr w:type="gramEnd"/>
      <w:r w:rsidR="00FA64BE">
        <w:t>ESMA_QUESTION_MIC2_29&gt;</w:t>
      </w:r>
    </w:p>
    <w:p w14:paraId="29AA21D9" w14:textId="77777777" w:rsidR="00FA64BE" w:rsidRDefault="00FA64BE" w:rsidP="00FA64BE"/>
    <w:p w14:paraId="7EE15094" w14:textId="77777777" w:rsidR="00FA64BE" w:rsidRDefault="00FA64BE" w:rsidP="00FA64BE">
      <w:pPr>
        <w:pStyle w:val="Questionstyle"/>
      </w:pPr>
      <w:r w:rsidRPr="003A287A">
        <w:lastRenderedPageBreak/>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16DDC7B2" w14:textId="650A6F32" w:rsidR="00FA64BE" w:rsidRDefault="00F3530F" w:rsidP="00FA64BE">
      <w:permStart w:id="490822152" w:edGrp="everyone"/>
      <w:r>
        <w:rPr>
          <w:rFonts w:ascii="Calibri" w:hAnsi="Calibri" w:cs="Calibri"/>
        </w:rPr>
        <w:t>No, the specified data set is/becomes available while trading and is therefore automatically available. The assumption is that the challenge will become present during the alignment on the format. For that purpose, examples, and constant communication between market operators and the recipients of the data (</w:t>
      </w:r>
      <w:proofErr w:type="spellStart"/>
      <w:r>
        <w:rPr>
          <w:rFonts w:ascii="Calibri" w:hAnsi="Calibri" w:cs="Calibri"/>
        </w:rPr>
        <w:t>i</w:t>
      </w:r>
      <w:proofErr w:type="spellEnd"/>
      <w:r>
        <w:rPr>
          <w:rFonts w:ascii="Calibri" w:hAnsi="Calibri" w:cs="Calibri"/>
        </w:rPr>
        <w:t xml:space="preserve">. e. receiving authorities) together with sufficiently granted time for implementation/improvement will be of significant </w:t>
      </w:r>
      <w:proofErr w:type="gramStart"/>
      <w:r>
        <w:rPr>
          <w:rFonts w:ascii="Calibri" w:hAnsi="Calibri" w:cs="Calibri"/>
        </w:rPr>
        <w:t>importance.</w:t>
      </w:r>
      <w:permEnd w:id="490822152"/>
      <w:r w:rsidR="00FA64BE">
        <w:t>&lt;</w:t>
      </w:r>
      <w:proofErr w:type="gramEnd"/>
      <w:r w:rsidR="00FA64BE">
        <w: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726211B2" w14:textId="6916B2D9" w:rsidR="00FA64BE" w:rsidRDefault="00F3530F" w:rsidP="00FA64BE">
      <w:permStart w:id="814574276" w:edGrp="everyone"/>
      <w:r>
        <w:rPr>
          <w:rFonts w:ascii="Calibri" w:hAnsi="Calibri" w:cs="Calibri"/>
        </w:rPr>
        <w:t xml:space="preserve">We agree with the outlined information in chapter </w:t>
      </w:r>
      <w:r w:rsidRPr="000E4AD7">
        <w:rPr>
          <w:rFonts w:ascii="Calibri" w:hAnsi="Calibri" w:cs="Calibri"/>
        </w:rPr>
        <w:t xml:space="preserve">5.2.2 </w:t>
      </w:r>
      <w:r>
        <w:rPr>
          <w:rFonts w:ascii="Calibri" w:hAnsi="Calibri" w:cs="Calibri"/>
        </w:rPr>
        <w:t>on p</w:t>
      </w:r>
      <w:r w:rsidRPr="000E4AD7">
        <w:rPr>
          <w:rFonts w:ascii="Calibri" w:hAnsi="Calibri" w:cs="Calibri"/>
        </w:rPr>
        <w:t xml:space="preserve">ost-trade transparency </w:t>
      </w:r>
      <w:r>
        <w:rPr>
          <w:rFonts w:ascii="Calibri" w:hAnsi="Calibri" w:cs="Calibri"/>
        </w:rPr>
        <w:t xml:space="preserve">(paras. 126 to 128) and consider the stated time periods for normal market function appropriate. For abnormal market function, the maximum possible delay for post-trade information would be helpful for publication, if specified, and allow a standard application to all participants without </w:t>
      </w:r>
      <w:proofErr w:type="gramStart"/>
      <w:r>
        <w:rPr>
          <w:rFonts w:ascii="Calibri" w:hAnsi="Calibri" w:cs="Calibri"/>
        </w:rPr>
        <w:t>exemption.</w:t>
      </w:r>
      <w:permEnd w:id="814574276"/>
      <w:r w:rsidR="00FA64BE">
        <w:t>&lt;</w:t>
      </w:r>
      <w:proofErr w:type="gramEnd"/>
      <w:r w:rsidR="00FA64BE">
        <w: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64EDEE8F" w14:textId="2E08C7BE" w:rsidR="00FA64BE" w:rsidRDefault="00F3530F" w:rsidP="00FA64BE">
      <w:permStart w:id="603934812" w:edGrp="everyone"/>
      <w:r>
        <w:t>We</w:t>
      </w:r>
      <w:r w:rsidRPr="000E4AD7">
        <w:t xml:space="preserve"> welcome the standard practice applicable to all market participants without exemption</w:t>
      </w:r>
      <w:r>
        <w:t xml:space="preserve"> and agree to ESMA’s proposal for “trading platforms to publish the information on the operating rules for the trading platform free of charge and in a manner that is easily accessible, non-discriminatory, prominent, comprehensible, fair, clear and not misleading”</w:t>
      </w:r>
      <w:r w:rsidRPr="000E4AD7">
        <w:t>.</w:t>
      </w:r>
      <w:r>
        <w:t xml:space="preserve"> We support the opinion that this information should be published free of charge to create greater transparency towards the </w:t>
      </w:r>
      <w:proofErr w:type="gramStart"/>
      <w:r>
        <w:t>market.</w:t>
      </w:r>
      <w:permEnd w:id="603934812"/>
      <w:r w:rsidR="00FA64BE">
        <w:t>&lt;</w:t>
      </w:r>
      <w:proofErr w:type="gramEnd"/>
      <w:r w:rsidR="00FA64BE">
        <w: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41345FB5" w14:textId="186BEB2F" w:rsidR="00FA64BE" w:rsidRDefault="00F3530F" w:rsidP="00FA64BE">
      <w:permStart w:id="585508016" w:edGrp="everyone"/>
      <w:r>
        <w:t>We</w:t>
      </w:r>
      <w:r w:rsidRPr="000E4AD7">
        <w:t xml:space="preserve"> welcome the standard practice applicable to all market participants without exemption providing operators of platform degrees of freedom. This implies a standard ruleset without specific rules regarding operation conditions.</w:t>
      </w:r>
      <w:r>
        <w:t xml:space="preserve"> </w:t>
      </w:r>
      <w:r>
        <w:rPr>
          <w:rFonts w:ascii="Calibri" w:hAnsi="Calibri" w:cs="Calibri"/>
        </w:rPr>
        <w:t xml:space="preserve">The current proposal is sufficient however a possibility for a revisit should be offered and consistent application of all market participants </w:t>
      </w:r>
      <w:proofErr w:type="gramStart"/>
      <w:r>
        <w:rPr>
          <w:rFonts w:ascii="Calibri" w:hAnsi="Calibri" w:cs="Calibri"/>
        </w:rPr>
        <w:t>ensured.</w:t>
      </w:r>
      <w:permEnd w:id="585508016"/>
      <w:r w:rsidR="00FA64BE">
        <w:t>&lt;</w:t>
      </w:r>
      <w:proofErr w:type="gramEnd"/>
      <w:r w:rsidR="00FA64BE">
        <w: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A502F9F" w14:textId="77777777" w:rsidR="00F3530F" w:rsidRDefault="00F3530F" w:rsidP="00F6724A">
      <w:pPr>
        <w:textAlignment w:val="baseline"/>
        <w:rPr>
          <w:rFonts w:ascii="Calibri" w:hAnsi="Calibri" w:cs="Calibri"/>
        </w:rPr>
      </w:pPr>
      <w:permStart w:id="1164135930" w:edGrp="everyone"/>
      <w:r>
        <w:rPr>
          <w:rFonts w:ascii="Calibri" w:hAnsi="Calibri" w:cs="Calibri"/>
        </w:rPr>
        <w:t xml:space="preserve">In general, an effective but also efficient access to data is highly important for a crypto asset ecosystem. Internal management but </w:t>
      </w:r>
      <w:proofErr w:type="gramStart"/>
      <w:r>
        <w:rPr>
          <w:rFonts w:ascii="Calibri" w:hAnsi="Calibri" w:cs="Calibri"/>
        </w:rPr>
        <w:t>in particular external</w:t>
      </w:r>
      <w:proofErr w:type="gramEnd"/>
      <w:r>
        <w:rPr>
          <w:rFonts w:ascii="Calibri" w:hAnsi="Calibri" w:cs="Calibri"/>
        </w:rPr>
        <w:t xml:space="preserve"> supervision is depending on reliable and qualitative data. This issue is </w:t>
      </w:r>
      <w:proofErr w:type="gramStart"/>
      <w:r>
        <w:rPr>
          <w:rFonts w:ascii="Calibri" w:hAnsi="Calibri" w:cs="Calibri"/>
        </w:rPr>
        <w:t>not only valid</w:t>
      </w:r>
      <w:proofErr w:type="gramEnd"/>
      <w:r>
        <w:rPr>
          <w:rFonts w:ascii="Calibri" w:hAnsi="Calibri" w:cs="Calibri"/>
        </w:rPr>
        <w:t xml:space="preserve"> for CASP. Even in the developed financial markets, fragmented data is an issue. Therefore, it would </w:t>
      </w:r>
      <w:proofErr w:type="gramStart"/>
      <w:r>
        <w:rPr>
          <w:rFonts w:ascii="Calibri" w:hAnsi="Calibri" w:cs="Calibri"/>
        </w:rPr>
        <w:t>be  overly</w:t>
      </w:r>
      <w:proofErr w:type="gramEnd"/>
      <w:r>
        <w:rPr>
          <w:rFonts w:ascii="Calibri" w:hAnsi="Calibri" w:cs="Calibri"/>
        </w:rPr>
        <w:t xml:space="preserve"> burdensome to set strict rules rather than a common guidance that CASPs can follow. </w:t>
      </w:r>
    </w:p>
    <w:p w14:paraId="3600E970" w14:textId="413FB01E" w:rsidR="00FA64BE" w:rsidRDefault="00F3530F" w:rsidP="00FA64BE">
      <w:r>
        <w:rPr>
          <w:rFonts w:ascii="Calibri" w:hAnsi="Calibri" w:cs="Calibri"/>
        </w:rPr>
        <w:t xml:space="preserve">We agree with the statement in para. 164 of the </w:t>
      </w:r>
      <w:proofErr w:type="spellStart"/>
      <w:r>
        <w:rPr>
          <w:rFonts w:ascii="Calibri" w:hAnsi="Calibri" w:cs="Calibri"/>
        </w:rPr>
        <w:t>Consulation</w:t>
      </w:r>
      <w:proofErr w:type="spellEnd"/>
      <w:r>
        <w:rPr>
          <w:rFonts w:ascii="Calibri" w:hAnsi="Calibri" w:cs="Calibri"/>
        </w:rPr>
        <w:t xml:space="preserve"> Paper that the set of characteristics should follow/be set similar set to MIFIR </w:t>
      </w:r>
      <w:proofErr w:type="gramStart"/>
      <w:r>
        <w:rPr>
          <w:rFonts w:ascii="Calibri" w:hAnsi="Calibri" w:cs="Calibri"/>
        </w:rPr>
        <w:t>requirements.</w:t>
      </w:r>
      <w:permEnd w:id="1164135930"/>
      <w:r w:rsidR="00FA64BE">
        <w:t>&lt;</w:t>
      </w:r>
      <w:proofErr w:type="gramEnd"/>
      <w:r w:rsidR="00FA64BE">
        <w: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E10A853" w14:textId="184178D4" w:rsidR="00FA64BE" w:rsidRDefault="00F3530F" w:rsidP="00FA64BE">
      <w:permStart w:id="1190932617" w:edGrp="everyone"/>
      <w:r w:rsidRPr="00466380">
        <w:t>We would urge to rely on existing field such as ISIN/ITIN so that DTI will remain to be a field in the white paper only</w:t>
      </w:r>
      <w:r>
        <w:t xml:space="preserve"> or can be based on existing and used trade identifiers</w:t>
      </w:r>
      <w:r w:rsidRPr="00466380">
        <w:t xml:space="preserve">, but </w:t>
      </w:r>
      <w:r>
        <w:t xml:space="preserve">at least </w:t>
      </w:r>
      <w:r w:rsidRPr="00466380">
        <w:t xml:space="preserve">do </w:t>
      </w:r>
      <w:r>
        <w:t xml:space="preserve">not </w:t>
      </w:r>
      <w:r w:rsidRPr="00466380">
        <w:t xml:space="preserve">have to be included in any transaction reporting.  </w:t>
      </w:r>
      <w:r>
        <w:t>T</w:t>
      </w:r>
      <w:r w:rsidRPr="00466380">
        <w:t>o create new field in the trading and surrounding systems</w:t>
      </w:r>
      <w:r>
        <w:t xml:space="preserve"> is treated/seen as creation of </w:t>
      </w:r>
      <w:proofErr w:type="gramStart"/>
      <w:r>
        <w:t>redundancy.</w:t>
      </w:r>
      <w:permEnd w:id="1190932617"/>
      <w:r w:rsidR="00FA64BE">
        <w:t>&lt;</w:t>
      </w:r>
      <w:proofErr w:type="gramEnd"/>
      <w:r w:rsidR="00FA64BE">
        <w:t>ESMA_QUESTION_MIC2_37&gt;</w:t>
      </w:r>
    </w:p>
    <w:p w14:paraId="10166075" w14:textId="77777777" w:rsidR="00FA64BE" w:rsidRDefault="00FA64BE" w:rsidP="00FA64BE"/>
    <w:p w14:paraId="457F15FC" w14:textId="77777777" w:rsidR="00FA64BE" w:rsidRDefault="00FA64BE" w:rsidP="00FA64BE">
      <w:pPr>
        <w:pStyle w:val="Questionstyle"/>
      </w:pPr>
      <w:r w:rsidRPr="003A287A">
        <w:lastRenderedPageBreak/>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4B8CCF48" w14:textId="351AF521" w:rsidR="00FA64BE" w:rsidRDefault="00F3530F" w:rsidP="00FA64BE">
      <w:permStart w:id="1238859015" w:edGrp="everyone"/>
      <w:r>
        <w:t xml:space="preserve">No, parameters are </w:t>
      </w:r>
      <w:proofErr w:type="gramStart"/>
      <w:r>
        <w:t>agreed.</w:t>
      </w:r>
      <w:permEnd w:id="1238859015"/>
      <w:r w:rsidR="00FA64BE">
        <w:t>&lt;</w:t>
      </w:r>
      <w:proofErr w:type="gramEnd"/>
      <w:r w:rsidR="00FA64BE">
        <w: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415F293C" w14:textId="7A6A37C1" w:rsidR="00FA64BE" w:rsidRDefault="00F3530F" w:rsidP="00FA64BE">
      <w:permStart w:id="713520583" w:edGrp="everyone"/>
      <w:r>
        <w:t xml:space="preserve">We agree as long as it is fulfilled that the hash has finality and integrity is not in </w:t>
      </w:r>
      <w:proofErr w:type="gramStart"/>
      <w:r>
        <w:t>question.</w:t>
      </w:r>
      <w:permEnd w:id="713520583"/>
      <w:r w:rsidR="00FA64BE">
        <w:t>&lt;</w:t>
      </w:r>
      <w:proofErr w:type="gramEnd"/>
      <w:r w:rsidR="00FA64BE">
        <w: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54EEBCEC" w14:textId="77777777" w:rsidR="00F3530F" w:rsidRDefault="00F3530F" w:rsidP="00F3530F">
      <w:pPr>
        <w:textAlignment w:val="baseline"/>
      </w:pPr>
      <w:bookmarkStart w:id="1" w:name="_Hlk153361012"/>
      <w:permStart w:id="1621834718" w:edGrp="everyone"/>
      <w:r>
        <w:t>We see the advantage of this separate field, although we are not of the opinion that it is a must-have. In our opinion, it could be overly burdensome to assess this data as it might not be readily available.</w:t>
      </w:r>
    </w:p>
    <w:bookmarkEnd w:id="1"/>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59CDB7C1" w14:textId="6AEBB16C" w:rsidR="00FA64BE" w:rsidRDefault="00F3530F" w:rsidP="00FA64BE">
      <w:permStart w:id="245909215" w:edGrp="everyone"/>
      <w:r>
        <w:t xml:space="preserve">We </w:t>
      </w:r>
      <w:proofErr w:type="gramStart"/>
      <w:r>
        <w:t>agree</w:t>
      </w:r>
      <w:r>
        <w:t>.</w:t>
      </w:r>
      <w:permEnd w:id="245909215"/>
      <w:r w:rsidR="00FA64BE">
        <w:t>&lt;</w:t>
      </w:r>
      <w:proofErr w:type="gramEnd"/>
      <w:r w:rsidR="00FA64BE">
        <w: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1319D82" w14:textId="7A74C535" w:rsidR="00FA64BE" w:rsidRDefault="00F3530F" w:rsidP="00FA64BE">
      <w:permStart w:id="748044046" w:edGrp="everyone"/>
      <w:r>
        <w:t xml:space="preserve">Yes, we agree - not only the block creation but also the trade execution must be </w:t>
      </w:r>
      <w:proofErr w:type="gramStart"/>
      <w:r>
        <w:t>added.</w:t>
      </w:r>
      <w:permEnd w:id="748044046"/>
      <w:r w:rsidR="00FA64BE">
        <w:t>&lt;</w:t>
      </w:r>
      <w:proofErr w:type="gramEnd"/>
      <w:r w:rsidR="00FA64BE">
        <w: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94D6203" w14:textId="3F2DA42F" w:rsidR="00FA64BE" w:rsidRDefault="00F3530F" w:rsidP="00FA64BE">
      <w:permStart w:id="1824078617" w:edGrp="everyone"/>
      <w:r>
        <w:t>See answer to Q43</w:t>
      </w:r>
      <w:permEnd w:id="1824078617"/>
      <w:r w:rsidR="00FA64BE">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BE9B368" w14:textId="77777777" w:rsidR="00F3530F" w:rsidRDefault="00F3530F" w:rsidP="00F3530F">
      <w:pPr>
        <w:textAlignment w:val="baseline"/>
      </w:pPr>
      <w:permStart w:id="1153519239" w:edGrp="everyone"/>
      <w:r>
        <w:t>Yes, it is clear enough.</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6651690" w14:textId="4BAD5841" w:rsidR="00FA64BE" w:rsidRDefault="00F3530F" w:rsidP="00FA64BE">
      <w:permStart w:id="1600871976" w:edGrp="everyone"/>
      <w:r>
        <w:t>No.</w:t>
      </w:r>
      <w:permEnd w:id="1600871976"/>
      <w:r w:rsidR="00FA64BE">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06C34E93" w14:textId="5D0541D3" w:rsidR="00FA64BE" w:rsidRDefault="00F3530F" w:rsidP="00FA64BE">
      <w:permStart w:id="284979367" w:edGrp="everyone"/>
      <w:r>
        <w:t xml:space="preserve">We appreciate ESMA’s approach outlined in para. 198. If transactions are executed on a third country platform, the same transaction information compared to EU27 trades must be retrieved in order to establish a level playing </w:t>
      </w:r>
      <w:proofErr w:type="gramStart"/>
      <w:r>
        <w:t>field.</w:t>
      </w:r>
      <w:permEnd w:id="284979367"/>
      <w:r w:rsidR="00FA64BE">
        <w:t>&lt;</w:t>
      </w:r>
      <w:proofErr w:type="gramEnd"/>
      <w:r w:rsidR="00FA64BE">
        <w: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6BD9EAE8" w14:textId="1303EB1C" w:rsidR="00FA64BE" w:rsidRDefault="00F3530F" w:rsidP="00FA64BE">
      <w:permStart w:id="1583566084" w:edGrp="everyone"/>
      <w:r>
        <w:t xml:space="preserve">In general no, although it can happen that data from certain jurisdictions cannot be retrieved. Nevertheless, this should not hinder the proposed </w:t>
      </w:r>
      <w:proofErr w:type="gramStart"/>
      <w:r>
        <w:t>rules.</w:t>
      </w:r>
      <w:permEnd w:id="1583566084"/>
      <w:r w:rsidR="00FA64BE">
        <w:t>&lt;</w:t>
      </w:r>
      <w:proofErr w:type="gramEnd"/>
      <w:r w:rsidR="00FA64BE">
        <w: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lastRenderedPageBreak/>
        <w:t>&lt;ESMA_QUESTION_MIC2_50&gt;</w:t>
      </w:r>
    </w:p>
    <w:p w14:paraId="0E363826" w14:textId="4A8595D1" w:rsidR="00FA64BE" w:rsidRDefault="00F3530F" w:rsidP="00FA64BE">
      <w:permStart w:id="1269643049" w:edGrp="everyone"/>
      <w:r>
        <w:t xml:space="preserve">We see the clear necessity of solid KYC processes for </w:t>
      </w:r>
      <w:proofErr w:type="gramStart"/>
      <w:r>
        <w:t>CASPs,</w:t>
      </w:r>
      <w:proofErr w:type="gramEnd"/>
      <w:r>
        <w:t xml:space="preserve"> therefore we agree with the implementation of the methods for client identification that are used under </w:t>
      </w:r>
      <w:proofErr w:type="spellStart"/>
      <w:r>
        <w:t>MiFIR</w:t>
      </w:r>
      <w:proofErr w:type="spellEnd"/>
      <w:r>
        <w:t xml:space="preserve"> to be applied within MiCA and associated with these RTS. As always, proportionality must be applied in the operational </w:t>
      </w:r>
      <w:proofErr w:type="gramStart"/>
      <w:r>
        <w:t>implementation.</w:t>
      </w:r>
      <w:permEnd w:id="1269643049"/>
      <w:r w:rsidR="00FA64BE">
        <w:t>&lt;</w:t>
      </w:r>
      <w:proofErr w:type="gramEnd"/>
      <w:r w:rsidR="00FA64BE">
        <w: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510C9527" w14:textId="5C889419" w:rsidR="00FA64BE" w:rsidRDefault="00F3530F" w:rsidP="00FA64BE">
      <w:permStart w:id="1884648141" w:edGrp="everyone"/>
      <w:r>
        <w:t xml:space="preserve">We </w:t>
      </w:r>
      <w:proofErr w:type="gramStart"/>
      <w:r>
        <w:t>agree.</w:t>
      </w:r>
      <w:permEnd w:id="1884648141"/>
      <w:r w:rsidR="00FA64BE">
        <w:t>&lt;</w:t>
      </w:r>
      <w:proofErr w:type="gramEnd"/>
      <w:r w:rsidR="00FA64BE">
        <w: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05900B97" w14:textId="0DF20211" w:rsidR="00FA64BE" w:rsidRDefault="00F3530F" w:rsidP="00FA64BE">
      <w:permStart w:id="1823158968" w:edGrp="everyone"/>
      <w:r>
        <w:t xml:space="preserve">We consider the set of data as appropriate. As outlined in the proposal, we consider common formats as essential for a functioning record keeping and all associated </w:t>
      </w:r>
      <w:proofErr w:type="gramStart"/>
      <w:r>
        <w:t>processes.</w:t>
      </w:r>
      <w:permEnd w:id="1823158968"/>
      <w:r w:rsidR="00FA64BE">
        <w:t>&lt;</w:t>
      </w:r>
      <w:proofErr w:type="gramEnd"/>
      <w:r w:rsidR="00FA64BE">
        <w: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0F6A2709" w14:textId="4EC995E0" w:rsidR="00FA64BE" w:rsidRDefault="00F3530F" w:rsidP="00FA64BE">
      <w:permStart w:id="614867547" w:edGrp="everyone"/>
      <w:r>
        <w:t xml:space="preserve">No, there is no need for further data requirements for trading venues. Irrespective of that, additional data requirements might be identified at a later point in time and might be tackled in a refit </w:t>
      </w:r>
      <w:proofErr w:type="gramStart"/>
      <w:r>
        <w:t>process.</w:t>
      </w:r>
      <w:permEnd w:id="614867547"/>
      <w:r w:rsidR="00FA64BE">
        <w:t>&lt;</w:t>
      </w:r>
      <w:proofErr w:type="gramEnd"/>
      <w:r w:rsidR="00FA64BE">
        <w: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3B4120F0" w14:textId="3F10FAAC" w:rsidR="00FA64BE" w:rsidRDefault="00F3530F" w:rsidP="00FA64BE">
      <w:permStart w:id="1818041014" w:edGrp="everyone"/>
      <w:r>
        <w:t>In general, we welcome clear and specific definitions. From our perspective, also on-chain exchanges should be covered in order to set a level-playing-</w:t>
      </w:r>
      <w:proofErr w:type="gramStart"/>
      <w:r>
        <w:t>field.</w:t>
      </w:r>
      <w:permEnd w:id="1818041014"/>
      <w:r w:rsidR="00FA64BE">
        <w:t>&lt;</w:t>
      </w:r>
      <w:proofErr w:type="gramEnd"/>
      <w:r w:rsidR="00FA64BE">
        <w: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28E0F441" w14:textId="1AE68356" w:rsidR="00FA64BE" w:rsidRDefault="00F3530F" w:rsidP="00FA64BE">
      <w:permStart w:id="1636631957" w:edGrp="everyone"/>
      <w:r>
        <w:t xml:space="preserve">Yes, we also see the possibility of fill-or-kill strategies, which therefore should be </w:t>
      </w:r>
      <w:proofErr w:type="gramStart"/>
      <w:r>
        <w:t>included.</w:t>
      </w:r>
      <w:permEnd w:id="1636631957"/>
      <w:r w:rsidR="00FA64BE">
        <w:t>&lt;</w:t>
      </w:r>
      <w:proofErr w:type="gramEnd"/>
      <w:r w:rsidR="00FA64BE">
        <w:t>ESMA_QUESTION_MIC2_55&gt;</w:t>
      </w:r>
    </w:p>
    <w:p w14:paraId="590736A8" w14:textId="77777777" w:rsidR="00FA64BE" w:rsidRDefault="00FA64BE" w:rsidP="00FA64BE"/>
    <w:p w14:paraId="04C8AB18" w14:textId="77777777" w:rsidR="00FA64BE" w:rsidRDefault="00FA64BE" w:rsidP="00FA64BE">
      <w:pPr>
        <w:pStyle w:val="Questionstyle"/>
      </w:pPr>
      <w:r w:rsidRPr="003A287A">
        <w:lastRenderedPageBreak/>
        <w:t>: Do you agree with using messages based on the ISO 20022 methodology for sharing information with competent authorities?</w:t>
      </w:r>
    </w:p>
    <w:p w14:paraId="215865F4" w14:textId="77777777" w:rsidR="00FA64BE" w:rsidRDefault="00FA64BE" w:rsidP="00FA64BE">
      <w:r>
        <w:t>&lt;ESMA_QUESTION_MIC2_56&gt;</w:t>
      </w:r>
    </w:p>
    <w:p w14:paraId="1871ACCA" w14:textId="3D5EF2FA" w:rsidR="00FA64BE" w:rsidRDefault="00F3530F" w:rsidP="00FA64BE">
      <w:permStart w:id="727980254" w:edGrp="everyone"/>
      <w:r>
        <w:t xml:space="preserve">Yes, we promote a consistent messaging format already used by traditional finance as this supports the crypto asset </w:t>
      </w:r>
      <w:proofErr w:type="gramStart"/>
      <w:r>
        <w:t>adoption.</w:t>
      </w:r>
      <w:permEnd w:id="727980254"/>
      <w:r w:rsidR="00FA64BE">
        <w:t>&lt;</w:t>
      </w:r>
      <w:proofErr w:type="gramEnd"/>
      <w:r w:rsidR="00FA64BE">
        <w: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73FC1DF6" w14:textId="4C1B64B4" w:rsidR="00FA64BE" w:rsidRDefault="00F3530F" w:rsidP="00FA64BE">
      <w:permStart w:id="1961385165" w:edGrp="everyone"/>
      <w:r>
        <w:rPr>
          <w:rFonts w:ascii="Calibri" w:hAnsi="Calibri" w:cs="Calibri"/>
        </w:rPr>
        <w:t>We find it helpful</w:t>
      </w:r>
      <w:r w:rsidRPr="008C130C">
        <w:rPr>
          <w:rFonts w:ascii="Calibri" w:hAnsi="Calibri" w:cs="Calibri"/>
        </w:rPr>
        <w:t xml:space="preserve"> to </w:t>
      </w:r>
      <w:r>
        <w:rPr>
          <w:rFonts w:ascii="Calibri" w:hAnsi="Calibri" w:cs="Calibri"/>
        </w:rPr>
        <w:t xml:space="preserve">analyse views and consider feedback </w:t>
      </w:r>
      <w:r w:rsidRPr="008C130C">
        <w:rPr>
          <w:rFonts w:ascii="Calibri" w:hAnsi="Calibri" w:cs="Calibri"/>
        </w:rPr>
        <w:t>as to whether th</w:t>
      </w:r>
      <w:r>
        <w:rPr>
          <w:rFonts w:ascii="Calibri" w:hAnsi="Calibri" w:cs="Calibri"/>
        </w:rPr>
        <w:t>e simplicity</w:t>
      </w:r>
      <w:r w:rsidRPr="00EF4765">
        <w:rPr>
          <w:rFonts w:ascii="Calibri" w:hAnsi="Calibri" w:cs="Calibri"/>
        </w:rPr>
        <w:t xml:space="preserve"> </w:t>
      </w:r>
      <w:r>
        <w:rPr>
          <w:rFonts w:ascii="Calibri" w:hAnsi="Calibri" w:cs="Calibri"/>
        </w:rPr>
        <w:t xml:space="preserve">of </w:t>
      </w:r>
      <w:r w:rsidRPr="00EF4765">
        <w:rPr>
          <w:rFonts w:ascii="Calibri" w:hAnsi="Calibri" w:cs="Calibri"/>
        </w:rPr>
        <w:t>the process of</w:t>
      </w:r>
      <w:r>
        <w:rPr>
          <w:rFonts w:ascii="Calibri" w:hAnsi="Calibri" w:cs="Calibri"/>
        </w:rPr>
        <w:t xml:space="preserve"> </w:t>
      </w:r>
      <w:r w:rsidRPr="00EF4765">
        <w:rPr>
          <w:rFonts w:ascii="Calibri" w:hAnsi="Calibri" w:cs="Calibri"/>
        </w:rPr>
        <w:t xml:space="preserve">preparing a MiCA white paper in </w:t>
      </w:r>
      <w:proofErr w:type="spellStart"/>
      <w:r w:rsidRPr="00EF4765">
        <w:rPr>
          <w:rFonts w:ascii="Calibri" w:hAnsi="Calibri" w:cs="Calibri"/>
        </w:rPr>
        <w:t>iXBRL</w:t>
      </w:r>
      <w:proofErr w:type="spellEnd"/>
      <w:r w:rsidRPr="00EF4765">
        <w:rPr>
          <w:rFonts w:ascii="Calibri" w:hAnsi="Calibri" w:cs="Calibri"/>
        </w:rPr>
        <w:t xml:space="preserve"> would </w:t>
      </w:r>
      <w:r w:rsidRPr="008C130C">
        <w:rPr>
          <w:rFonts w:ascii="Calibri" w:hAnsi="Calibri" w:cs="Calibri"/>
        </w:rPr>
        <w:t>be desirable and usable</w:t>
      </w:r>
      <w:r>
        <w:rPr>
          <w:rFonts w:ascii="Calibri" w:hAnsi="Calibri" w:cs="Calibri"/>
        </w:rPr>
        <w:t xml:space="preserve"> </w:t>
      </w:r>
      <w:r w:rsidRPr="008C130C">
        <w:rPr>
          <w:rFonts w:ascii="Calibri" w:hAnsi="Calibri" w:cs="Calibri"/>
        </w:rPr>
        <w:t xml:space="preserve">for </w:t>
      </w:r>
      <w:r>
        <w:rPr>
          <w:rFonts w:ascii="Calibri" w:hAnsi="Calibri" w:cs="Calibri"/>
        </w:rPr>
        <w:t>white paper creators</w:t>
      </w:r>
      <w:r w:rsidRPr="008C130C">
        <w:rPr>
          <w:rFonts w:ascii="Calibri" w:hAnsi="Calibri" w:cs="Calibri"/>
        </w:rPr>
        <w:t xml:space="preserve"> if </w:t>
      </w:r>
      <w:proofErr w:type="spellStart"/>
      <w:r w:rsidRPr="008C130C">
        <w:rPr>
          <w:rFonts w:ascii="Calibri" w:hAnsi="Calibri" w:cs="Calibri"/>
        </w:rPr>
        <w:t>iXBRL</w:t>
      </w:r>
      <w:proofErr w:type="spellEnd"/>
      <w:r w:rsidRPr="008C130C">
        <w:rPr>
          <w:rFonts w:ascii="Calibri" w:hAnsi="Calibri" w:cs="Calibri"/>
        </w:rPr>
        <w:t xml:space="preserve"> is mandated as the required format of MiCA white </w:t>
      </w:r>
      <w:proofErr w:type="gramStart"/>
      <w:r w:rsidRPr="008C130C">
        <w:rPr>
          <w:rFonts w:ascii="Calibri" w:hAnsi="Calibri" w:cs="Calibri"/>
        </w:rPr>
        <w:t>papers</w:t>
      </w:r>
      <w:r>
        <w:rPr>
          <w:rFonts w:ascii="Calibri" w:hAnsi="Calibri" w:cs="Calibri"/>
        </w:rPr>
        <w:t>.</w:t>
      </w:r>
      <w:permEnd w:id="1961385165"/>
      <w:r w:rsidR="00FA64BE">
        <w:t>&lt;</w:t>
      </w:r>
      <w:proofErr w:type="gramEnd"/>
      <w:r w:rsidR="00FA64BE">
        <w: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xml:space="preserve">: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w:t>
      </w:r>
      <w:r w:rsidRPr="003A287A">
        <w:lastRenderedPageBreak/>
        <w:t>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52D4CFD2" w14:textId="77777777" w:rsidR="00F3530F" w:rsidRPr="008F3CA2" w:rsidRDefault="00F3530F" w:rsidP="00F6724A">
      <w:pPr>
        <w:autoSpaceDE w:val="0"/>
        <w:autoSpaceDN w:val="0"/>
        <w:adjustRightInd w:val="0"/>
      </w:pPr>
      <w:permStart w:id="614204863" w:edGrp="everyone"/>
      <w:r>
        <w:t>In addition to the envisaged information/fields presented in “ANNEX - Data necessary for the classification of crypto-asset white papers” w</w:t>
      </w:r>
      <w:r w:rsidRPr="008F3CA2">
        <w:t xml:space="preserve">hite paper related information/field should be enhanced by fields providing last update date/time and version as well auditing firm’s name. In 9.2.8 - ANNEX II: Table 2 - Disclosure templates for white papers for crypto-assets other than asset-referenced tokens or e-money tokens </w:t>
      </w:r>
      <w:r w:rsidRPr="008F3CA2">
        <w:sym w:font="Wingdings" w:char="F0E0"/>
      </w:r>
      <w:r w:rsidRPr="008F3CA2">
        <w:t xml:space="preserve"> N </w:t>
      </w:r>
      <w:r>
        <w:t xml:space="preserve">I.01 Date of notification, </w:t>
      </w:r>
      <w:r w:rsidRPr="008F3CA2">
        <w:t xml:space="preserve">add fields for last update date/time and version; N </w:t>
      </w:r>
      <w:r>
        <w:t xml:space="preserve">I.09: </w:t>
      </w:r>
      <w:r w:rsidRPr="008F3CA2">
        <w:t xml:space="preserve">How can this be relevant to Utility </w:t>
      </w:r>
      <w:proofErr w:type="gramStart"/>
      <w:r w:rsidRPr="008F3CA2">
        <w:t>Tokens?;</w:t>
      </w:r>
      <w:proofErr w:type="gramEnd"/>
      <w:r w:rsidRPr="008F3CA2">
        <w:t xml:space="preserve"> </w:t>
      </w:r>
    </w:p>
    <w:p w14:paraId="6B0401FF" w14:textId="493595D6" w:rsidR="00FA64BE" w:rsidRDefault="00F3530F" w:rsidP="00FA64BE">
      <w:r w:rsidRPr="008F3CA2">
        <w:rPr>
          <w:rFonts w:asciiTheme="minorHAnsi" w:hAnsiTheme="minorHAnsi" w:cstheme="minorBidi"/>
          <w:sz w:val="22"/>
          <w:szCs w:val="22"/>
          <w:lang w:val="en-US"/>
        </w:rPr>
        <w:t xml:space="preserve">Part G - Information on the rights and obligations attached to the crypto-assets – G.6 and G.7 </w:t>
      </w:r>
      <w:r w:rsidRPr="008F3CA2">
        <w:rPr>
          <w:rFonts w:asciiTheme="minorHAnsi" w:hAnsiTheme="minorHAnsi" w:cstheme="minorBidi"/>
          <w:sz w:val="22"/>
          <w:szCs w:val="22"/>
          <w:lang w:val="en-US"/>
        </w:rPr>
        <w:sym w:font="Wingdings" w:char="F0E0"/>
      </w:r>
      <w:r w:rsidRPr="008F3CA2">
        <w:rPr>
          <w:rFonts w:asciiTheme="minorHAnsi" w:hAnsiTheme="minorHAnsi" w:cstheme="minorBidi"/>
          <w:sz w:val="22"/>
          <w:szCs w:val="22"/>
          <w:lang w:val="en-US"/>
        </w:rPr>
        <w:t xml:space="preserve"> Both fields already listed in Part D</w:t>
      </w:r>
      <w:r>
        <w:rPr>
          <w:rFonts w:asciiTheme="minorHAnsi" w:hAnsiTheme="minorHAnsi" w:cstheme="minorBidi"/>
          <w:sz w:val="22"/>
          <w:szCs w:val="22"/>
          <w:lang w:val="en-US"/>
        </w:rPr>
        <w:t xml:space="preserve">; </w:t>
      </w:r>
      <w:r w:rsidRPr="008F3CA2">
        <w:rPr>
          <w:rFonts w:asciiTheme="minorHAnsi" w:hAnsiTheme="minorHAnsi" w:cstheme="minorBidi"/>
          <w:sz w:val="22"/>
          <w:szCs w:val="22"/>
          <w:lang w:val="en-US"/>
        </w:rPr>
        <w:t>Part H – information on the underlying technology – H.8 and H.9</w:t>
      </w:r>
      <w:r w:rsidRPr="008F3CA2">
        <w:rPr>
          <w:rFonts w:asciiTheme="minorHAnsi" w:hAnsiTheme="minorHAnsi" w:cstheme="minorBidi"/>
          <w:sz w:val="22"/>
          <w:szCs w:val="22"/>
          <w:lang w:val="en-US"/>
        </w:rPr>
        <w:sym w:font="Wingdings" w:char="F0E0"/>
      </w:r>
      <w:r w:rsidRPr="008F3CA2">
        <w:rPr>
          <w:rFonts w:asciiTheme="minorHAnsi" w:hAnsiTheme="minorHAnsi" w:cstheme="minorBidi"/>
          <w:sz w:val="22"/>
          <w:szCs w:val="22"/>
          <w:lang w:val="en-US"/>
        </w:rPr>
        <w:t xml:space="preserve"> please add "Auditing firm" ?</w:t>
      </w:r>
      <w:r>
        <w:rPr>
          <w:b/>
          <w:bCs/>
          <w:sz w:val="22"/>
          <w:szCs w:val="22"/>
        </w:rPr>
        <w:t xml:space="preserve"> </w:t>
      </w:r>
      <w:permEnd w:id="614204863"/>
      <w:r w:rsidR="00FA64BE">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lastRenderedPageBreak/>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36790579" w14:textId="2521B600" w:rsidR="00FA64BE" w:rsidRDefault="00F3530F" w:rsidP="00FA64BE">
      <w:permStart w:id="1755794706" w:edGrp="everyone"/>
      <w:r>
        <w:t>Y</w:t>
      </w:r>
      <w:r w:rsidRPr="008F3CA2">
        <w:t>es please</w:t>
      </w:r>
      <w:r>
        <w:t xml:space="preserve">, as it would be </w:t>
      </w:r>
      <w:proofErr w:type="gramStart"/>
      <w:r>
        <w:rPr>
          <w:rFonts w:ascii="Segoe UI" w:hAnsi="Segoe UI" w:cs="Segoe UI"/>
          <w:color w:val="000000"/>
          <w:sz w:val="20"/>
          <w:szCs w:val="20"/>
        </w:rPr>
        <w:t>helpful.</w:t>
      </w:r>
      <w:permEnd w:id="1755794706"/>
      <w:r w:rsidR="00FA64BE">
        <w:t>&lt;</w:t>
      </w:r>
      <w:proofErr w:type="gramEnd"/>
      <w:r w:rsidR="00FA64BE">
        <w: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28982E8F" w14:textId="4CAC27B4" w:rsidR="00FA64BE" w:rsidRDefault="00F3530F" w:rsidP="00FA64BE">
      <w:permStart w:id="577381131" w:edGrp="everyone"/>
      <w:r>
        <w:t xml:space="preserve">In addition to the envisaged information/fields presented in “ANNEX - Data necessary for the classification of crypto-asset white papers” white paper related information/field should be enhanced by fields providing last update date/time and version as well auditing firm’s </w:t>
      </w:r>
      <w:proofErr w:type="gramStart"/>
      <w:r>
        <w:t>name.</w:t>
      </w:r>
      <w:permEnd w:id="577381131"/>
      <w:r w:rsidR="00FA64BE">
        <w:t>&lt;</w:t>
      </w:r>
      <w:proofErr w:type="gramEnd"/>
      <w:r w:rsidR="00FA64BE">
        <w: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59AA3F39" w14:textId="50C6B20B" w:rsidR="00FA64BE" w:rsidRDefault="00F3530F" w:rsidP="00FA64BE">
      <w:permStart w:id="645483075" w:edGrp="everyone"/>
      <w:r>
        <w:rPr>
          <w:rFonts w:ascii="Calibri" w:hAnsi="Calibri" w:cs="Calibri"/>
        </w:rPr>
        <w:lastRenderedPageBreak/>
        <w:t>We wel</w:t>
      </w:r>
      <w:r w:rsidRPr="65D4A1F1">
        <w:rPr>
          <w:rFonts w:ascii="Calibri" w:hAnsi="Calibri" w:cs="Calibri"/>
        </w:rPr>
        <w:t>come</w:t>
      </w:r>
      <w:r>
        <w:rPr>
          <w:rFonts w:ascii="Calibri" w:hAnsi="Calibri" w:cs="Calibri"/>
        </w:rPr>
        <w:t xml:space="preserve"> </w:t>
      </w:r>
      <w:r w:rsidRPr="65D4A1F1">
        <w:rPr>
          <w:rFonts w:ascii="Calibri" w:hAnsi="Calibri" w:cs="Calibri"/>
        </w:rPr>
        <w:t xml:space="preserve">the rules on the inside information disclosure. In particular, the consistence to MAR and its </w:t>
      </w:r>
      <w:proofErr w:type="spellStart"/>
      <w:r w:rsidRPr="65D4A1F1">
        <w:rPr>
          <w:rFonts w:ascii="Calibri" w:hAnsi="Calibri" w:cs="Calibri"/>
        </w:rPr>
        <w:t>ITS</w:t>
      </w:r>
      <w:proofErr w:type="spellEnd"/>
      <w:r w:rsidRPr="65D4A1F1">
        <w:rPr>
          <w:rFonts w:ascii="Calibri" w:hAnsi="Calibri" w:cs="Calibri"/>
        </w:rPr>
        <w:t xml:space="preserve"> is seen beneficial. This allows an appropriate and consistent market wide approach for disclosure of confidential information for all CASPs and trading </w:t>
      </w:r>
      <w:proofErr w:type="gramStart"/>
      <w:r w:rsidRPr="65D4A1F1">
        <w:rPr>
          <w:rFonts w:ascii="Calibri" w:hAnsi="Calibri" w:cs="Calibri"/>
        </w:rPr>
        <w:t>platforms.</w:t>
      </w:r>
      <w:permEnd w:id="645483075"/>
      <w:r w:rsidR="00FA64BE">
        <w:t>&lt;</w:t>
      </w:r>
      <w:proofErr w:type="gramEnd"/>
      <w:r w:rsidR="00FA64BE">
        <w: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0AFFD6F" w14:textId="11791982" w:rsidR="00FA64BE" w:rsidRDefault="00F3530F" w:rsidP="00FA64BE">
      <w:permStart w:id="2000565227" w:edGrp="everyone"/>
      <w:r w:rsidRPr="009E10BB">
        <w:t xml:space="preserve">The publication on the website in conjunction with the rule of disclosure of inside information in accordance with MAR provides the exact level of requirements for inside information or necessary treatment. </w:t>
      </w:r>
      <w:r>
        <w:t>We</w:t>
      </w:r>
      <w:r w:rsidRPr="009E10BB">
        <w:t xml:space="preserve"> also welcome the requirement on the disclosure of information “about facts regarding them directly” only and the important dissemination requirements in this </w:t>
      </w:r>
      <w:proofErr w:type="gramStart"/>
      <w:r w:rsidRPr="009E10BB">
        <w:t>context.</w:t>
      </w:r>
      <w:permEnd w:id="2000565227"/>
      <w:r w:rsidR="00FA64BE">
        <w:t>&lt;</w:t>
      </w:r>
      <w:proofErr w:type="gramEnd"/>
      <w:r w:rsidR="00FA64BE">
        <w: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1E2361AB" w14:textId="5E6178BB" w:rsidR="00FA64BE" w:rsidRDefault="00F3530F" w:rsidP="00FA64BE">
      <w:permStart w:id="972051028" w:edGrp="everyone"/>
      <w:r>
        <w:t xml:space="preserve">In the very digital sphere of crypto assets, websites and functionalities around are seen as an effective mean </w:t>
      </w:r>
      <w:proofErr w:type="spellStart"/>
      <w:r>
        <w:t>incl</w:t>
      </w:r>
      <w:proofErr w:type="spellEnd"/>
      <w:r>
        <w:t xml:space="preserve"> alerts e. g. in form of website feeds without any obstacles other than force majeure (or massive disruption of information and communication infrastructure</w:t>
      </w:r>
      <w:proofErr w:type="gramStart"/>
      <w:r>
        <w:t>).</w:t>
      </w:r>
      <w:permEnd w:id="972051028"/>
      <w:r w:rsidR="00FA64BE">
        <w:t>&lt;</w:t>
      </w:r>
      <w:proofErr w:type="gramEnd"/>
      <w:r w:rsidR="00FA64BE">
        <w: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405481A9" w14:textId="20F1A33D" w:rsidR="00FA64BE" w:rsidRDefault="00F3530F" w:rsidP="00FA64BE">
      <w:permStart w:id="155347688" w:edGrp="everyone"/>
      <w:r>
        <w:t>We</w:t>
      </w:r>
      <w:r w:rsidRPr="00060C7E">
        <w:t xml:space="preserve"> rel</w:t>
      </w:r>
      <w:r>
        <w:t>y</w:t>
      </w:r>
      <w:r w:rsidRPr="00060C7E">
        <w:t xml:space="preserve"> on information made publicly available via internet verified by its source/internet homepage of the relevant source. The described chains in the RTS reflect the communications schemes</w:t>
      </w:r>
      <w:r>
        <w:t>,</w:t>
      </w:r>
      <w:r w:rsidRPr="00060C7E">
        <w:t xml:space="preserve"> comple</w:t>
      </w:r>
      <w:r>
        <w:t>men</w:t>
      </w:r>
      <w:r w:rsidRPr="00060C7E">
        <w:t xml:space="preserve">ted by email and MS teams. These are well accepted and available consistently on CASPs and client side and allow easy </w:t>
      </w:r>
      <w:proofErr w:type="gramStart"/>
      <w:r w:rsidRPr="00060C7E">
        <w:t>connection</w:t>
      </w:r>
      <w:r>
        <w:t>.</w:t>
      </w:r>
      <w:permEnd w:id="155347688"/>
      <w:r w:rsidR="00FA64BE">
        <w:t>&lt;</w:t>
      </w:r>
      <w:proofErr w:type="gramEnd"/>
      <w:r w:rsidR="00FA64BE">
        <w: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2910C07C" w14:textId="3EA56052" w:rsidR="00FA64BE" w:rsidRDefault="00F3530F" w:rsidP="00FA64BE">
      <w:permStart w:id="522736265" w:edGrp="everyone"/>
      <w:r>
        <w:lastRenderedPageBreak/>
        <w:t xml:space="preserve">The new media channels offer additional information flows, especially on decentralized topics. </w:t>
      </w:r>
      <w:r w:rsidRPr="003572BD">
        <w:t>Obviously, the</w:t>
      </w:r>
      <w:r>
        <w:t>re is a</w:t>
      </w:r>
      <w:r w:rsidRPr="003572BD">
        <w:t xml:space="preserve"> risk </w:t>
      </w:r>
      <w:r>
        <w:t xml:space="preserve">of </w:t>
      </w:r>
      <w:r w:rsidRPr="003572BD">
        <w:t>incorrect/fake information disseminated on such platforms. However</w:t>
      </w:r>
      <w:r>
        <w:t>, one should not</w:t>
      </w:r>
      <w:r w:rsidRPr="003572BD">
        <w:t xml:space="preserve"> rely on only one source. Therefore, </w:t>
      </w:r>
      <w:r>
        <w:t>we</w:t>
      </w:r>
      <w:r w:rsidRPr="003572BD">
        <w:t xml:space="preserve"> see the advantage of different communication channels and the addressed possibility for information verification by its combination. The regulatory landscape </w:t>
      </w:r>
      <w:r>
        <w:t xml:space="preserve">and its requirements could facilitate reliability on the information </w:t>
      </w:r>
      <w:r w:rsidRPr="003572BD">
        <w:t xml:space="preserve">and foster </w:t>
      </w:r>
      <w:proofErr w:type="gramStart"/>
      <w:r w:rsidRPr="003572BD">
        <w:t>integrity</w:t>
      </w:r>
      <w:r>
        <w:t>.</w:t>
      </w:r>
      <w:permEnd w:id="522736265"/>
      <w:r w:rsidR="00FA64BE">
        <w:t>&lt;</w:t>
      </w:r>
      <w:proofErr w:type="gramEnd"/>
      <w:r w:rsidR="00FA64BE">
        <w: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2F7E3B8" w14:textId="77777777" w:rsidR="00F3530F" w:rsidRDefault="00F3530F" w:rsidP="00F3530F">
      <w:pPr>
        <w:textAlignment w:val="baseline"/>
      </w:pPr>
      <w:permStart w:id="505832041" w:edGrp="everyone"/>
      <w:r w:rsidRPr="00BF7588">
        <w:t>No, the discussed means are sufficient and address at the right level the aspired solution for disclosure of inside information.</w:t>
      </w:r>
      <w:r>
        <w:t xml:space="preserve"> Recommendation would be to </w:t>
      </w:r>
      <w:proofErr w:type="gramStart"/>
      <w:r>
        <w:t>take into account</w:t>
      </w:r>
      <w:proofErr w:type="gramEnd"/>
      <w:r>
        <w:t xml:space="preserve"> already existing measures to prevent insider information issues </w:t>
      </w:r>
      <w:proofErr w:type="spellStart"/>
      <w:r>
        <w:t>i</w:t>
      </w:r>
      <w:proofErr w:type="spellEnd"/>
      <w:r>
        <w:t xml:space="preserve">. </w:t>
      </w:r>
      <w:proofErr w:type="spellStart"/>
      <w:r>
        <w:t>e</w:t>
      </w:r>
      <w:proofErr w:type="spellEnd"/>
      <w:r>
        <w:t xml:space="preserve"> need to know principle and the i</w:t>
      </w:r>
      <w:r w:rsidRPr="007A2A41">
        <w:rPr>
          <w:rFonts w:asciiTheme="minorHAnsi" w:hAnsiTheme="minorHAnsi" w:cstheme="minorBidi"/>
          <w:sz w:val="22"/>
          <w:szCs w:val="22"/>
        </w:rPr>
        <w:t xml:space="preserve">nstrument of a </w:t>
      </w:r>
      <w:r>
        <w:t>“</w:t>
      </w:r>
      <w:r w:rsidRPr="007A2A41">
        <w:rPr>
          <w:rFonts w:asciiTheme="minorHAnsi" w:hAnsiTheme="minorHAnsi" w:cstheme="minorBidi"/>
          <w:sz w:val="22"/>
          <w:szCs w:val="22"/>
        </w:rPr>
        <w:t>Restricted List</w:t>
      </w:r>
      <w:r>
        <w:t>”</w:t>
      </w:r>
      <w:r w:rsidRPr="007A2A41">
        <w:rPr>
          <w:rFonts w:asciiTheme="minorHAnsi" w:hAnsiTheme="minorHAnsi" w:cstheme="minorBidi"/>
          <w:sz w:val="22"/>
          <w:szCs w:val="22"/>
        </w:rPr>
        <w:t>. </w:t>
      </w:r>
      <w:r>
        <w:t xml:space="preserve"> </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06074D2" w14:textId="23A61FE4" w:rsidR="00FA64BE" w:rsidRDefault="00F3530F" w:rsidP="00FA64BE">
      <w:permStart w:id="447955519" w:edGrp="everyone"/>
      <w:r>
        <w:t xml:space="preserve">Agreed and approved as adequate for its </w:t>
      </w:r>
      <w:proofErr w:type="gramStart"/>
      <w:r>
        <w:t>purpose</w:t>
      </w:r>
      <w:r>
        <w:t>.</w:t>
      </w:r>
      <w:permEnd w:id="447955519"/>
      <w:r w:rsidR="00FA64BE">
        <w:t>&lt;</w:t>
      </w:r>
      <w:proofErr w:type="gramEnd"/>
      <w:r w:rsidR="00FA64BE">
        <w: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1"/>
      <w:footerReference w:type="even" r:id="rId22"/>
      <w:footerReference w:type="default" r:id="rId23"/>
      <w:footerReference w:type="firs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B191" w14:textId="77777777" w:rsidR="00404ED5" w:rsidRDefault="00404ED5" w:rsidP="007E7997">
      <w:r>
        <w:separator/>
      </w:r>
    </w:p>
  </w:endnote>
  <w:endnote w:type="continuationSeparator" w:id="0">
    <w:p w14:paraId="20E0BB44" w14:textId="77777777" w:rsidR="00404ED5" w:rsidRDefault="00404ED5" w:rsidP="007E7997">
      <w:r>
        <w:continuationSeparator/>
      </w:r>
    </w:p>
  </w:endnote>
  <w:endnote w:type="continuationNotice" w:id="1">
    <w:p w14:paraId="1BA99040" w14:textId="77777777" w:rsidR="00404ED5" w:rsidRDefault="00404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2914" w14:textId="77777777" w:rsidR="00F3530F" w:rsidRDefault="00F3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0E33" w14:textId="77777777" w:rsidR="00F3530F" w:rsidRDefault="00F353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76AE" w14:textId="77777777" w:rsidR="00F3530F" w:rsidRDefault="00F3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07DE" w14:textId="77777777" w:rsidR="00404ED5" w:rsidRDefault="00404ED5" w:rsidP="007E7997">
      <w:r>
        <w:separator/>
      </w:r>
    </w:p>
  </w:footnote>
  <w:footnote w:type="continuationSeparator" w:id="0">
    <w:p w14:paraId="74E223E9" w14:textId="77777777" w:rsidR="00404ED5" w:rsidRDefault="00404ED5" w:rsidP="007E7997">
      <w:r>
        <w:continuationSeparator/>
      </w:r>
    </w:p>
  </w:footnote>
  <w:footnote w:type="continuationNotice" w:id="1">
    <w:p w14:paraId="6CA4EB5F" w14:textId="77777777" w:rsidR="00404ED5" w:rsidRDefault="00404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35477"/>
    <w:multiLevelType w:val="hybridMultilevel"/>
    <w:tmpl w:val="88F20C80"/>
    <w:lvl w:ilvl="0" w:tplc="F43EAE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8"/>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4"/>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 w:numId="31" w16cid:durableId="35207700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1C0B"/>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530F"/>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Default">
    <w:name w:val="Default"/>
    <w:rsid w:val="00F3530F"/>
    <w:pPr>
      <w:autoSpaceDE w:val="0"/>
      <w:autoSpaceDN w:val="0"/>
      <w:adjustRightInd w:val="0"/>
      <w:spacing w:after="0" w:line="240" w:lineRule="auto"/>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8f2b6c72-d077-4751-b14d-2e2e385300bb"/>
    <ds:schemaRef ds:uri="http://schemas.microsoft.com/sharepoint/v4"/>
    <ds:schemaRef ds:uri="http://purl.org/dc/terms/"/>
    <ds:schemaRef ds:uri="http://www.w3.org/XML/1998/namespace"/>
    <ds:schemaRef ds:uri="http://schemas.microsoft.com/office/2006/documentManagement/types"/>
    <ds:schemaRef ds:uri="http://schemas.microsoft.com/office/2006/metadata/properties"/>
    <ds:schemaRef ds:uri="54127999-3348-4351-a1b7-d1a6c30af8a6"/>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21</Pages>
  <Words>5780</Words>
  <Characters>32951</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Anton Jahn</cp:lastModifiedBy>
  <cp:revision>2</cp:revision>
  <cp:lastPrinted>2017-07-24T14:47:00Z</cp:lastPrinted>
  <dcterms:created xsi:type="dcterms:W3CDTF">2023-12-13T11:04:00Z</dcterms:created>
  <dcterms:modified xsi:type="dcterms:W3CDTF">2023-12-13T11:04:00Z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4dc17b74-b5f6-430d-82e3-3dabdd474fec_Enabled">
    <vt:lpwstr>true</vt:lpwstr>
  </property>
  <property fmtid="{D5CDD505-2E9C-101B-9397-08002B2CF9AE}" pid="22" name="MSIP_Label_4dc17b74-b5f6-430d-82e3-3dabdd474fec_SetDate">
    <vt:lpwstr>2023-12-13T11:04:18Z</vt:lpwstr>
  </property>
  <property fmtid="{D5CDD505-2E9C-101B-9397-08002B2CF9AE}" pid="23" name="MSIP_Label_4dc17b74-b5f6-430d-82e3-3dabdd474fec_Method">
    <vt:lpwstr>Privileged</vt:lpwstr>
  </property>
  <property fmtid="{D5CDD505-2E9C-101B-9397-08002B2CF9AE}" pid="24" name="MSIP_Label_4dc17b74-b5f6-430d-82e3-3dabdd474fec_Name">
    <vt:lpwstr>Public – FAX – No Marking</vt:lpwstr>
  </property>
  <property fmtid="{D5CDD505-2E9C-101B-9397-08002B2CF9AE}" pid="25" name="MSIP_Label_4dc17b74-b5f6-430d-82e3-3dabdd474fec_SiteId">
    <vt:lpwstr>e00ddcdf-1e0f-4be5-a37a-894a4731986a</vt:lpwstr>
  </property>
  <property fmtid="{D5CDD505-2E9C-101B-9397-08002B2CF9AE}" pid="26" name="MSIP_Label_4dc17b74-b5f6-430d-82e3-3dabdd474fec_ActionId">
    <vt:lpwstr>92fb16d7-8554-4a6a-a545-73de2d47be6d</vt:lpwstr>
  </property>
  <property fmtid="{D5CDD505-2E9C-101B-9397-08002B2CF9AE}" pid="27" name="MSIP_Label_4dc17b74-b5f6-430d-82e3-3dabdd474fec_ContentBits">
    <vt:lpwstr>0</vt:lpwstr>
  </property>
</Properties>
</file>