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olo"/>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olo"/>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Titolo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Titolo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Paragrafoelenco"/>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Paragrafoelenco"/>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Titolo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681CCBAF" w:rsidR="00C85C8B" w:rsidRPr="00B16706" w:rsidRDefault="008525C8" w:rsidP="00C85C8B">
                <w:pPr>
                  <w:rPr>
                    <w:rFonts w:ascii="Arial" w:hAnsi="Arial" w:cs="Arial"/>
                    <w:color w:val="808080"/>
                    <w:sz w:val="16"/>
                    <w:szCs w:val="20"/>
                    <w:lang w:eastAsia="de-DE"/>
                  </w:rPr>
                </w:pPr>
                <w:r>
                  <w:rPr>
                    <w:rFonts w:ascii="Arial" w:hAnsi="Arial" w:cs="Arial"/>
                    <w:color w:val="808080"/>
                    <w:sz w:val="16"/>
                    <w:szCs w:val="20"/>
                    <w:lang w:eastAsia="de-DE"/>
                  </w:rPr>
                  <w:t>Blockchain &amp; Climate Institute</w:t>
                </w:r>
                <w:r w:rsidR="00163E3A">
                  <w:rPr>
                    <w:rFonts w:ascii="Arial" w:hAnsi="Arial" w:cs="Arial"/>
                    <w:color w:val="808080"/>
                    <w:sz w:val="16"/>
                    <w:szCs w:val="20"/>
                    <w:lang w:eastAsia="de-DE"/>
                  </w:rPr>
                  <w:t xml:space="preserve"> (BCI) </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3DCF150" w:rsidR="00C85C8B" w:rsidRPr="00B16706" w:rsidRDefault="00146491"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525C8">
                  <w:rPr>
                    <w:rFonts w:ascii="Arial" w:hAnsi="Arial" w:cs="Arial"/>
                    <w:sz w:val="16"/>
                    <w:szCs w:val="20"/>
                    <w:lang w:eastAsia="de-DE"/>
                  </w:rPr>
                  <w:t>Non-financial counterparty</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B9BCBEA" w:rsidR="00C85C8B" w:rsidRPr="00B16706" w:rsidRDefault="008525C8"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53163ACC" w14:textId="16BD8232" w:rsidR="00FA64BE" w:rsidRPr="008525C8" w:rsidRDefault="008525C8" w:rsidP="008525C8">
      <w:pPr>
        <w:jc w:val="both"/>
        <w:rPr>
          <w:rFonts w:ascii="Calibri" w:eastAsia="Calibri" w:hAnsi="Calibri" w:cs="Calibri"/>
        </w:rPr>
      </w:pPr>
      <w:permStart w:id="212889190" w:edGrp="everyone"/>
      <w:r w:rsidRPr="085D245D">
        <w:rPr>
          <w:rFonts w:ascii="Calibri" w:eastAsia="Calibri" w:hAnsi="Calibri" w:cs="Calibri"/>
        </w:rPr>
        <w:t>B</w:t>
      </w:r>
      <w:r>
        <w:rPr>
          <w:rFonts w:ascii="Calibri" w:eastAsia="Calibri" w:hAnsi="Calibri" w:cs="Calibri"/>
        </w:rPr>
        <w:t>lockchain &amp; Climate Institute (BCI)</w:t>
      </w:r>
      <w:r w:rsidRPr="085D245D">
        <w:rPr>
          <w:rFonts w:ascii="Calibri" w:eastAsia="Calibri" w:hAnsi="Calibri" w:cs="Calibri"/>
        </w:rPr>
        <w:t xml:space="preserve"> believes the ESMA mandate </w:t>
      </w:r>
      <w:r>
        <w:rPr>
          <w:rFonts w:ascii="Calibri" w:eastAsia="Calibri" w:hAnsi="Calibri" w:cs="Calibri"/>
        </w:rPr>
        <w:t>should</w:t>
      </w:r>
      <w:r w:rsidRPr="085D245D">
        <w:rPr>
          <w:rFonts w:ascii="Calibri" w:eastAsia="Calibri" w:hAnsi="Calibri" w:cs="Calibri"/>
        </w:rPr>
        <w:t xml:space="preserve"> consider the legal consequences related to establishing the RTS. To this extent, the accountability for the </w:t>
      </w:r>
      <w:proofErr w:type="spellStart"/>
      <w:r>
        <w:rPr>
          <w:rFonts w:ascii="Calibri" w:eastAsia="Calibri" w:hAnsi="Calibri" w:cs="Calibri"/>
        </w:rPr>
        <w:t>MiCA</w:t>
      </w:r>
      <w:proofErr w:type="spellEnd"/>
      <w:r>
        <w:rPr>
          <w:rFonts w:ascii="Calibri" w:eastAsia="Calibri" w:hAnsi="Calibri" w:cs="Calibri"/>
        </w:rPr>
        <w:t>-regulated</w:t>
      </w:r>
      <w:r w:rsidRPr="085D245D">
        <w:rPr>
          <w:rFonts w:ascii="Calibri" w:eastAsia="Calibri" w:hAnsi="Calibri" w:cs="Calibri"/>
        </w:rPr>
        <w:t xml:space="preserve"> entities </w:t>
      </w:r>
      <w:r>
        <w:rPr>
          <w:rFonts w:ascii="Calibri" w:eastAsia="Calibri" w:hAnsi="Calibri" w:cs="Calibri"/>
        </w:rPr>
        <w:t>should</w:t>
      </w:r>
      <w:r w:rsidRPr="085D245D">
        <w:rPr>
          <w:rFonts w:ascii="Calibri" w:eastAsia="Calibri" w:hAnsi="Calibri" w:cs="Calibri"/>
        </w:rPr>
        <w:t xml:space="preserve"> be addressed from a legal point of view. A DLT network is fragmented by design as the infrastructure is distributed across the globe and run by multiple operators, not always identified, and that may not be in direct contact with each other. </w:t>
      </w:r>
      <w:r>
        <w:rPr>
          <w:rFonts w:ascii="Calibri" w:eastAsia="Calibri" w:hAnsi="Calibri" w:cs="Calibri"/>
        </w:rPr>
        <w:t xml:space="preserve">For example, in 2023 the global Bitcoin network comprised over 10,000 nodes and the global Ethereum Network over 341,000 validators. </w:t>
      </w:r>
      <w:r w:rsidRPr="085D245D">
        <w:rPr>
          <w:rFonts w:ascii="Calibri" w:eastAsia="Calibri" w:hAnsi="Calibri" w:cs="Calibri"/>
        </w:rPr>
        <w:t xml:space="preserve">This feature could represent an obstacle for the </w:t>
      </w:r>
      <w:proofErr w:type="spellStart"/>
      <w:r>
        <w:rPr>
          <w:rFonts w:ascii="Calibri" w:eastAsia="Calibri" w:hAnsi="Calibri" w:cs="Calibri"/>
        </w:rPr>
        <w:t>MiCA</w:t>
      </w:r>
      <w:proofErr w:type="spellEnd"/>
      <w:r>
        <w:rPr>
          <w:rFonts w:ascii="Calibri" w:eastAsia="Calibri" w:hAnsi="Calibri" w:cs="Calibri"/>
        </w:rPr>
        <w:t>-regulated</w:t>
      </w:r>
      <w:r w:rsidRPr="085D245D">
        <w:rPr>
          <w:rFonts w:ascii="Calibri" w:eastAsia="Calibri" w:hAnsi="Calibri" w:cs="Calibri"/>
        </w:rPr>
        <w:t xml:space="preserve"> entities to obtain comprehensive and reliable data; therefore, the </w:t>
      </w:r>
      <w:proofErr w:type="spellStart"/>
      <w:r>
        <w:rPr>
          <w:rFonts w:ascii="Calibri" w:eastAsia="Calibri" w:hAnsi="Calibri" w:cs="Calibri"/>
        </w:rPr>
        <w:t>MiCA</w:t>
      </w:r>
      <w:proofErr w:type="spellEnd"/>
      <w:r>
        <w:rPr>
          <w:rFonts w:ascii="Calibri" w:eastAsia="Calibri" w:hAnsi="Calibri" w:cs="Calibri"/>
        </w:rPr>
        <w:t>-regulated</w:t>
      </w:r>
      <w:r w:rsidRPr="085D245D">
        <w:rPr>
          <w:rFonts w:ascii="Calibri" w:eastAsia="Calibri" w:hAnsi="Calibri" w:cs="Calibri"/>
        </w:rPr>
        <w:t xml:space="preserve"> entities cannot be held accountable for the completeness and reliability of the relevant data. The relationship between the </w:t>
      </w:r>
      <w:proofErr w:type="spellStart"/>
      <w:r>
        <w:rPr>
          <w:rFonts w:ascii="Calibri" w:eastAsia="Calibri" w:hAnsi="Calibri" w:cs="Calibri"/>
        </w:rPr>
        <w:t>MiCA</w:t>
      </w:r>
      <w:proofErr w:type="spellEnd"/>
      <w:r>
        <w:rPr>
          <w:rFonts w:ascii="Calibri" w:eastAsia="Calibri" w:hAnsi="Calibri" w:cs="Calibri"/>
        </w:rPr>
        <w:t>-regulated</w:t>
      </w:r>
      <w:r w:rsidRPr="085D245D">
        <w:rPr>
          <w:rFonts w:ascii="Calibri" w:eastAsia="Calibri" w:hAnsi="Calibri" w:cs="Calibri"/>
        </w:rPr>
        <w:t xml:space="preserve"> entity and the DLT network operators (i.e., node operators</w:t>
      </w:r>
      <w:r>
        <w:rPr>
          <w:rFonts w:ascii="Calibri" w:eastAsia="Calibri" w:hAnsi="Calibri" w:cs="Calibri"/>
        </w:rPr>
        <w:t xml:space="preserve"> for </w:t>
      </w:r>
      <w:proofErr w:type="spellStart"/>
      <w:r>
        <w:rPr>
          <w:rFonts w:ascii="Calibri" w:eastAsia="Calibri" w:hAnsi="Calibri" w:cs="Calibri"/>
        </w:rPr>
        <w:t>PoW</w:t>
      </w:r>
      <w:proofErr w:type="spellEnd"/>
      <w:r>
        <w:rPr>
          <w:rFonts w:ascii="Calibri" w:eastAsia="Calibri" w:hAnsi="Calibri" w:cs="Calibri"/>
        </w:rPr>
        <w:t xml:space="preserve"> protocol</w:t>
      </w:r>
      <w:r w:rsidRPr="085D245D">
        <w:rPr>
          <w:rFonts w:ascii="Calibri" w:eastAsia="Calibri" w:hAnsi="Calibri" w:cs="Calibri"/>
        </w:rPr>
        <w:t xml:space="preserve">, </w:t>
      </w:r>
      <w:r>
        <w:rPr>
          <w:rFonts w:ascii="Calibri" w:eastAsia="Calibri" w:hAnsi="Calibri" w:cs="Calibri"/>
        </w:rPr>
        <w:t xml:space="preserve">and validators for </w:t>
      </w:r>
      <w:proofErr w:type="spellStart"/>
      <w:r>
        <w:rPr>
          <w:rFonts w:ascii="Calibri" w:eastAsia="Calibri" w:hAnsi="Calibri" w:cs="Calibri"/>
        </w:rPr>
        <w:t>PoS</w:t>
      </w:r>
      <w:proofErr w:type="spellEnd"/>
      <w:r>
        <w:rPr>
          <w:rFonts w:ascii="Calibri" w:eastAsia="Calibri" w:hAnsi="Calibri" w:cs="Calibri"/>
        </w:rPr>
        <w:t xml:space="preserve"> protocol</w:t>
      </w:r>
      <w:r w:rsidRPr="085D245D">
        <w:rPr>
          <w:rFonts w:ascii="Calibri" w:eastAsia="Calibri" w:hAnsi="Calibri" w:cs="Calibri"/>
        </w:rPr>
        <w:t xml:space="preserve">), that are the subjects having the information required by the RTS, is governed by the software code only, whilst there is no legal obligation nor framework to define their relationship. For this reason, the </w:t>
      </w:r>
      <w:proofErr w:type="spellStart"/>
      <w:r>
        <w:rPr>
          <w:rFonts w:ascii="Calibri" w:eastAsia="Calibri" w:hAnsi="Calibri" w:cs="Calibri"/>
        </w:rPr>
        <w:t>MiCA</w:t>
      </w:r>
      <w:proofErr w:type="spellEnd"/>
      <w:r>
        <w:rPr>
          <w:rFonts w:ascii="Calibri" w:eastAsia="Calibri" w:hAnsi="Calibri" w:cs="Calibri"/>
        </w:rPr>
        <w:t>-regulated</w:t>
      </w:r>
      <w:r w:rsidRPr="085D245D">
        <w:rPr>
          <w:rFonts w:ascii="Calibri" w:eastAsia="Calibri" w:hAnsi="Calibri" w:cs="Calibri"/>
        </w:rPr>
        <w:t xml:space="preserve"> entities cannot claim any right to obtain certain information from the network operators if these data are not public and, hence, the </w:t>
      </w:r>
      <w:proofErr w:type="spellStart"/>
      <w:r>
        <w:rPr>
          <w:rFonts w:ascii="Calibri" w:eastAsia="Calibri" w:hAnsi="Calibri" w:cs="Calibri"/>
        </w:rPr>
        <w:t>MiCA</w:t>
      </w:r>
      <w:proofErr w:type="spellEnd"/>
      <w:r>
        <w:rPr>
          <w:rFonts w:ascii="Calibri" w:eastAsia="Calibri" w:hAnsi="Calibri" w:cs="Calibri"/>
        </w:rPr>
        <w:t>-regulated</w:t>
      </w:r>
      <w:r w:rsidRPr="085D245D">
        <w:rPr>
          <w:rFonts w:ascii="Calibri" w:eastAsia="Calibri" w:hAnsi="Calibri" w:cs="Calibri"/>
        </w:rPr>
        <w:t xml:space="preserve"> entities </w:t>
      </w:r>
      <w:r>
        <w:rPr>
          <w:rFonts w:ascii="Calibri" w:eastAsia="Calibri" w:hAnsi="Calibri" w:cs="Calibri"/>
        </w:rPr>
        <w:t>should not</w:t>
      </w:r>
      <w:r w:rsidRPr="085D245D">
        <w:rPr>
          <w:rFonts w:ascii="Calibri" w:eastAsia="Calibri" w:hAnsi="Calibri" w:cs="Calibri"/>
        </w:rPr>
        <w:t xml:space="preserve"> be responsible for providing the required information. Therefore, ESMA </w:t>
      </w:r>
      <w:r>
        <w:rPr>
          <w:rFonts w:ascii="Calibri" w:eastAsia="Calibri" w:hAnsi="Calibri" w:cs="Calibri"/>
        </w:rPr>
        <w:t>should</w:t>
      </w:r>
      <w:r w:rsidRPr="085D245D">
        <w:rPr>
          <w:rFonts w:ascii="Calibri" w:eastAsia="Calibri" w:hAnsi="Calibri" w:cs="Calibri"/>
        </w:rPr>
        <w:t xml:space="preserve"> consider these limitations when setting the content, </w:t>
      </w:r>
      <w:proofErr w:type="gramStart"/>
      <w:r w:rsidRPr="085D245D">
        <w:rPr>
          <w:rFonts w:ascii="Calibri" w:eastAsia="Calibri" w:hAnsi="Calibri" w:cs="Calibri"/>
        </w:rPr>
        <w:t>methodologies</w:t>
      </w:r>
      <w:proofErr w:type="gramEnd"/>
      <w:r w:rsidRPr="085D245D">
        <w:rPr>
          <w:rFonts w:ascii="Calibri" w:eastAsia="Calibri" w:hAnsi="Calibri" w:cs="Calibri"/>
        </w:rPr>
        <w:t xml:space="preserve"> and presentation of sustainability indicators.</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60275CA9" w14:textId="77777777" w:rsidR="008525C8" w:rsidRDefault="008525C8" w:rsidP="008525C8">
      <w:pPr>
        <w:jc w:val="both"/>
        <w:rPr>
          <w:rFonts w:ascii="Calibri" w:eastAsia="Calibri" w:hAnsi="Calibri" w:cs="Calibri"/>
        </w:rPr>
      </w:pPr>
      <w:permStart w:id="1220439445" w:edGrp="everyone"/>
      <w:r w:rsidRPr="085D245D">
        <w:rPr>
          <w:rFonts w:ascii="Calibri" w:eastAsia="Calibri" w:hAnsi="Calibri" w:cs="Calibri"/>
        </w:rPr>
        <w:t>A consensus mechanism is a program used in DLT systems to achieve distributed agreement about the ledger’s state without relying on a central authority. The DLT architecture, thanks to the use of cryptographic techniques for validating transactions, enables interactions where users trust the software and algorithms instead of any other internal or external entity (algorithmic trust). Each type of consensus mechanism is run by a certain algorithm which determines the participation rules in the network. Thus, the algorithm provides security and reliability for the entire network, as well as incentives for the nodes</w:t>
      </w:r>
      <w:r>
        <w:rPr>
          <w:rFonts w:ascii="Calibri" w:eastAsia="Calibri" w:hAnsi="Calibri" w:cs="Calibri"/>
        </w:rPr>
        <w:t>/validators</w:t>
      </w:r>
      <w:r w:rsidRPr="085D245D">
        <w:rPr>
          <w:rFonts w:ascii="Calibri" w:eastAsia="Calibri" w:hAnsi="Calibri" w:cs="Calibri"/>
        </w:rPr>
        <w:t xml:space="preserve"> to participate in the consensus process. </w:t>
      </w:r>
      <w:r>
        <w:rPr>
          <w:rFonts w:ascii="Calibri" w:eastAsia="Calibri" w:hAnsi="Calibri" w:cs="Calibri"/>
        </w:rPr>
        <w:t>C</w:t>
      </w:r>
      <w:r w:rsidRPr="085D245D">
        <w:rPr>
          <w:rFonts w:ascii="Calibri" w:eastAsia="Calibri" w:hAnsi="Calibri" w:cs="Calibri"/>
        </w:rPr>
        <w:t xml:space="preserve">onsensus mechanism algorithms </w:t>
      </w:r>
      <w:r>
        <w:rPr>
          <w:rFonts w:ascii="Calibri" w:eastAsia="Calibri" w:hAnsi="Calibri" w:cs="Calibri"/>
        </w:rPr>
        <w:t xml:space="preserve">are </w:t>
      </w:r>
      <w:r w:rsidRPr="085D245D">
        <w:rPr>
          <w:rFonts w:ascii="Calibri" w:eastAsia="Calibri" w:hAnsi="Calibri" w:cs="Calibri"/>
        </w:rPr>
        <w:t>encoded into a software program</w:t>
      </w:r>
      <w:r>
        <w:rPr>
          <w:rFonts w:ascii="Calibri" w:eastAsia="Calibri" w:hAnsi="Calibri" w:cs="Calibri"/>
        </w:rPr>
        <w:t>.</w:t>
      </w:r>
      <w:r w:rsidRPr="085D245D">
        <w:rPr>
          <w:rFonts w:ascii="Calibri" w:eastAsia="Calibri" w:hAnsi="Calibri" w:cs="Calibri"/>
        </w:rPr>
        <w:t xml:space="preserve"> </w:t>
      </w:r>
      <w:r>
        <w:rPr>
          <w:rFonts w:ascii="Calibri" w:eastAsia="Calibri" w:hAnsi="Calibri" w:cs="Calibri"/>
        </w:rPr>
        <w:t xml:space="preserve">Being an algorithm, a </w:t>
      </w:r>
      <w:r w:rsidRPr="085D245D">
        <w:rPr>
          <w:rFonts w:ascii="Calibri" w:eastAsia="Calibri" w:hAnsi="Calibri" w:cs="Calibri"/>
        </w:rPr>
        <w:t xml:space="preserve">consensus mechanism cannot have an environmental impact </w:t>
      </w:r>
      <w:r w:rsidRPr="085D245D">
        <w:rPr>
          <w:rFonts w:ascii="Calibri" w:eastAsia="Calibri" w:hAnsi="Calibri" w:cs="Calibri"/>
          <w:i/>
          <w:iCs/>
        </w:rPr>
        <w:t>per se.</w:t>
      </w:r>
      <w:r w:rsidRPr="085D245D">
        <w:rPr>
          <w:rFonts w:ascii="Calibri" w:eastAsia="Calibri" w:hAnsi="Calibri" w:cs="Calibri"/>
        </w:rPr>
        <w:t xml:space="preserve"> For this reason, it is necessary to distinguish the consensus mechanism, as software, from the actual functioning of a certain network that is governed by that consensus </w:t>
      </w:r>
      <w:r w:rsidRPr="085D245D">
        <w:rPr>
          <w:rFonts w:ascii="Calibri" w:eastAsia="Calibri" w:hAnsi="Calibri" w:cs="Calibri"/>
        </w:rPr>
        <w:lastRenderedPageBreak/>
        <w:t>mechanism. Therefore, it is the effective application of the software that shall be considered in determining the sustainability impact.</w:t>
      </w:r>
    </w:p>
    <w:p w14:paraId="29BF78EA" w14:textId="64D395AE" w:rsidR="00FA64BE" w:rsidRPr="008525C8" w:rsidRDefault="008525C8" w:rsidP="008525C8">
      <w:pPr>
        <w:jc w:val="both"/>
        <w:rPr>
          <w:rFonts w:cstheme="minorHAnsi"/>
          <w:i/>
          <w:iCs/>
          <w:color w:val="1F1F1F"/>
          <w:kern w:val="36"/>
          <w:lang w:val="en-US"/>
        </w:rPr>
      </w:pPr>
      <w:r>
        <w:rPr>
          <w:rFonts w:ascii="Calibri" w:eastAsia="Calibri" w:hAnsi="Calibri" w:cs="Calibri"/>
        </w:rPr>
        <w:t>The energy efficiency of any DLT network largely depends on its architecture and on the quality of the hardware equipment. Particularly for non-</w:t>
      </w:r>
      <w:proofErr w:type="spellStart"/>
      <w:r>
        <w:rPr>
          <w:rFonts w:ascii="Calibri" w:eastAsia="Calibri" w:hAnsi="Calibri" w:cs="Calibri"/>
        </w:rPr>
        <w:t>PoW</w:t>
      </w:r>
      <w:proofErr w:type="spellEnd"/>
      <w:r>
        <w:rPr>
          <w:rFonts w:ascii="Calibri" w:eastAsia="Calibri" w:hAnsi="Calibri" w:cs="Calibri"/>
        </w:rPr>
        <w:t xml:space="preserve"> networks, academics have noted that redundant network traffic might reduce energy efficiency. </w:t>
      </w:r>
      <w:r>
        <w:rPr>
          <w:rFonts w:cstheme="minorHAnsi"/>
          <w:kern w:val="36"/>
          <w:lang w:val="en-US"/>
        </w:rPr>
        <w:t>R</w:t>
      </w:r>
      <w:r w:rsidRPr="009735E5">
        <w:rPr>
          <w:rFonts w:cstheme="minorHAnsi"/>
          <w:kern w:val="36"/>
          <w:lang w:val="en-US"/>
        </w:rPr>
        <w:t xml:space="preserve">edundancy in the network arises from the </w:t>
      </w:r>
      <w:r>
        <w:rPr>
          <w:rFonts w:cstheme="minorHAnsi"/>
          <w:kern w:val="36"/>
          <w:lang w:val="en-US"/>
        </w:rPr>
        <w:t xml:space="preserve">network size, </w:t>
      </w:r>
      <w:r w:rsidRPr="009735E5">
        <w:rPr>
          <w:rFonts w:cstheme="minorHAnsi"/>
          <w:kern w:val="36"/>
          <w:lang w:val="en-US"/>
        </w:rPr>
        <w:t xml:space="preserve">the workload on each node, and </w:t>
      </w:r>
      <w:r>
        <w:rPr>
          <w:rFonts w:cstheme="minorHAnsi"/>
          <w:kern w:val="36"/>
          <w:lang w:val="en-US"/>
        </w:rPr>
        <w:t xml:space="preserve">the </w:t>
      </w:r>
      <w:r w:rsidRPr="009735E5">
        <w:rPr>
          <w:rFonts w:cstheme="minorHAnsi"/>
          <w:kern w:val="36"/>
          <w:lang w:val="en-US"/>
        </w:rPr>
        <w:t>routing length</w:t>
      </w:r>
      <w:r>
        <w:rPr>
          <w:rFonts w:cstheme="minorHAnsi"/>
          <w:kern w:val="36"/>
          <w:lang w:val="en-US"/>
        </w:rPr>
        <w:t>.</w:t>
      </w:r>
      <w:r w:rsidRPr="009735E5">
        <w:rPr>
          <w:rFonts w:cstheme="minorHAnsi"/>
          <w:kern w:val="36"/>
          <w:lang w:val="en-US"/>
        </w:rPr>
        <w:t xml:space="preserve"> </w:t>
      </w:r>
      <w:r>
        <w:rPr>
          <w:rFonts w:ascii="Calibri" w:eastAsia="Calibri" w:hAnsi="Calibri" w:cs="Calibri"/>
        </w:rPr>
        <w:t>(</w:t>
      </w:r>
      <w:r w:rsidRPr="009406EB">
        <w:rPr>
          <w:rFonts w:ascii="Calibri" w:eastAsia="Calibri" w:hAnsi="Calibri" w:cs="Calibri"/>
          <w:i/>
          <w:iCs/>
        </w:rPr>
        <w:t xml:space="preserve">Kohli et al, </w:t>
      </w:r>
      <w:r w:rsidRPr="009406EB">
        <w:rPr>
          <w:rFonts w:cstheme="minorHAnsi"/>
          <w:i/>
          <w:iCs/>
          <w:kern w:val="36"/>
        </w:rPr>
        <w:t>An analysis of energy consumption and carbon footprints of cryptocurrencies and possible solutions</w:t>
      </w:r>
      <w:r w:rsidRPr="009406EB">
        <w:rPr>
          <w:rFonts w:cstheme="minorHAnsi"/>
          <w:i/>
          <w:iCs/>
          <w:kern w:val="36"/>
          <w:lang w:val="en-US"/>
        </w:rPr>
        <w:t>, 2023</w:t>
      </w:r>
      <w:r w:rsidRPr="009406EB">
        <w:rPr>
          <w:rFonts w:cstheme="minorHAnsi"/>
          <w:kern w:val="36"/>
          <w:lang w:val="en-US"/>
        </w:rPr>
        <w:t xml:space="preserve">). </w:t>
      </w:r>
      <w:r>
        <w:rPr>
          <w:rFonts w:cstheme="minorHAnsi"/>
          <w:kern w:val="36"/>
          <w:lang w:val="en-US"/>
        </w:rPr>
        <w:t xml:space="preserve">Therefore, </w:t>
      </w:r>
      <w:r>
        <w:rPr>
          <w:rFonts w:ascii="Calibri" w:eastAsia="Calibri" w:hAnsi="Calibri" w:cs="Calibri"/>
        </w:rPr>
        <w:t>scalability considerations may influence the energy consumption of the DLT network. For this reason, it shall be explored how potential scalability efforts may occur without increasing the energy requirements.</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28D2A8B5" w14:textId="141E7695" w:rsidR="00FA64BE" w:rsidRPr="008525C8" w:rsidRDefault="008525C8" w:rsidP="008525C8">
      <w:pPr>
        <w:jc w:val="both"/>
        <w:rPr>
          <w:rFonts w:ascii="Calibri" w:eastAsia="Calibri" w:hAnsi="Calibri" w:cs="Calibri"/>
        </w:rPr>
      </w:pPr>
      <w:permStart w:id="731276388" w:edGrp="everyone"/>
      <w:r w:rsidRPr="085D245D">
        <w:rPr>
          <w:rFonts w:ascii="Calibri" w:eastAsia="Calibri" w:hAnsi="Calibri" w:cs="Calibri"/>
        </w:rPr>
        <w:t xml:space="preserve">The ESMA approach </w:t>
      </w:r>
      <w:r>
        <w:rPr>
          <w:rFonts w:ascii="Calibri" w:eastAsia="Calibri" w:hAnsi="Calibri" w:cs="Calibri"/>
        </w:rPr>
        <w:t>should</w:t>
      </w:r>
      <w:r w:rsidRPr="085D245D">
        <w:rPr>
          <w:rFonts w:ascii="Calibri" w:eastAsia="Calibri" w:hAnsi="Calibri" w:cs="Calibri"/>
        </w:rPr>
        <w:t xml:space="preserve"> follow the principle of technological neutrality, as widely adopted in the EU since Directive 2002/21 on a common regulatory framework for electronic communications networks and services (Framework Directive 2002). According to this principle, different technology offering essentially similar services and functions should be regulated in similar manners. It is necessary to avoid the risk that the RTS could lead to dependency on specific manufacturers, developers, suppliers, or distributors of technology. Technical regulations </w:t>
      </w:r>
      <w:r>
        <w:rPr>
          <w:rFonts w:ascii="Calibri" w:eastAsia="Calibri" w:hAnsi="Calibri" w:cs="Calibri"/>
        </w:rPr>
        <w:t>should</w:t>
      </w:r>
      <w:r w:rsidRPr="085D245D">
        <w:rPr>
          <w:rFonts w:ascii="Calibri" w:eastAsia="Calibri" w:hAnsi="Calibri" w:cs="Calibri"/>
        </w:rPr>
        <w:t xml:space="preserve"> not require the use of any specific technology and </w:t>
      </w:r>
      <w:r>
        <w:rPr>
          <w:rFonts w:ascii="Calibri" w:eastAsia="Calibri" w:hAnsi="Calibri" w:cs="Calibri"/>
        </w:rPr>
        <w:t>should</w:t>
      </w:r>
      <w:r w:rsidRPr="085D245D">
        <w:rPr>
          <w:rFonts w:ascii="Calibri" w:eastAsia="Calibri" w:hAnsi="Calibri" w:cs="Calibri"/>
        </w:rPr>
        <w:t xml:space="preserve"> not favour nor discriminate against any technology.</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4F159A2C" w14:textId="18425721" w:rsidR="00FA64BE" w:rsidRPr="008525C8" w:rsidRDefault="008525C8" w:rsidP="008525C8">
      <w:pPr>
        <w:jc w:val="both"/>
        <w:rPr>
          <w:rFonts w:ascii="Calibri" w:eastAsia="Calibri" w:hAnsi="Calibri" w:cs="Calibri"/>
        </w:rPr>
      </w:pPr>
      <w:permStart w:id="1601982568" w:edGrp="everyone"/>
      <w:r w:rsidRPr="085D245D">
        <w:rPr>
          <w:rFonts w:ascii="Calibri" w:eastAsia="Calibri" w:hAnsi="Calibri" w:cs="Calibri"/>
        </w:rPr>
        <w:t xml:space="preserve">The disclosure requirements </w:t>
      </w:r>
      <w:r>
        <w:rPr>
          <w:rFonts w:ascii="Calibri" w:eastAsia="Calibri" w:hAnsi="Calibri" w:cs="Calibri"/>
        </w:rPr>
        <w:t>should</w:t>
      </w:r>
      <w:r w:rsidRPr="085D245D">
        <w:rPr>
          <w:rFonts w:ascii="Calibri" w:eastAsia="Calibri" w:hAnsi="Calibri" w:cs="Calibri"/>
        </w:rPr>
        <w:t xml:space="preserve"> be aligned with the ESMA approach to ensure coherence, complementarity, </w:t>
      </w:r>
      <w:proofErr w:type="gramStart"/>
      <w:r w:rsidRPr="085D245D">
        <w:rPr>
          <w:rFonts w:ascii="Calibri" w:eastAsia="Calibri" w:hAnsi="Calibri" w:cs="Calibri"/>
        </w:rPr>
        <w:t>consistency</w:t>
      </w:r>
      <w:proofErr w:type="gramEnd"/>
      <w:r w:rsidRPr="085D245D">
        <w:rPr>
          <w:rFonts w:ascii="Calibri" w:eastAsia="Calibri" w:hAnsi="Calibri" w:cs="Calibri"/>
        </w:rPr>
        <w:t xml:space="preserve"> and proportionality. However, disclosure requirements that are too extensive risk to violate the principle of technological neutrality.</w:t>
      </w:r>
      <w:r>
        <w:rPr>
          <w:rFonts w:ascii="Calibri" w:eastAsia="Calibri" w:hAnsi="Calibri" w:cs="Calibri"/>
        </w:rPr>
        <w:t xml:space="preserve"> Estimates might serve as a useful measure in certain instances, for example where data is unavailable for the entirety of a calendar year. Nevertheless, the problem of data availability might remain in cases of generally unavailable or unreliable data. </w:t>
      </w:r>
      <w:r w:rsidRPr="00AA73E6">
        <w:rPr>
          <w:rFonts w:ascii="Calibri" w:eastAsia="Calibri" w:hAnsi="Calibri" w:cs="Calibri"/>
        </w:rPr>
        <w:t xml:space="preserve">The inclusion of a “best effort clause” in cases of limited data should arguably serve the principle of proportionality. However, the best effort clause does not in and of itself address the concern of limited available data or potentially limited or difficult access to reliable data, particularly during the early stages of </w:t>
      </w:r>
      <w:proofErr w:type="spellStart"/>
      <w:r w:rsidRPr="00AA73E6">
        <w:rPr>
          <w:rFonts w:ascii="Calibri" w:eastAsia="Calibri" w:hAnsi="Calibri" w:cs="Calibri"/>
        </w:rPr>
        <w:t>MiCA</w:t>
      </w:r>
      <w:proofErr w:type="spellEnd"/>
      <w:r w:rsidRPr="00AA73E6">
        <w:rPr>
          <w:rFonts w:ascii="Calibri" w:eastAsia="Calibri" w:hAnsi="Calibri" w:cs="Calibri"/>
        </w:rPr>
        <w:t xml:space="preserve"> application.</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lastRenderedPageBreak/>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47EA467F" w14:textId="77777777" w:rsidR="008525C8" w:rsidRDefault="008525C8" w:rsidP="008525C8">
      <w:pPr>
        <w:jc w:val="both"/>
        <w:rPr>
          <w:rFonts w:ascii="Calibri" w:eastAsia="Calibri" w:hAnsi="Calibri" w:cs="Calibri"/>
        </w:rPr>
      </w:pPr>
      <w:permStart w:id="480602896" w:edGrp="everyone"/>
      <w:r>
        <w:rPr>
          <w:rFonts w:ascii="Calibri" w:eastAsia="Calibri" w:hAnsi="Calibri" w:cs="Calibri"/>
        </w:rPr>
        <w:t xml:space="preserve">In general, there are challenges to accessing reliable and comprehensive data relating to sustainability metrics. Commentators noted the lack of empirical data and published information on the energy consumption of several consensus mechanisms studied. Because of the lack of empirical data, academics have mainly used theoretical study of the consensus mechanisms and their underlying computational overheads to estimate the energy consumption </w:t>
      </w:r>
      <w:r w:rsidRPr="009406EB">
        <w:rPr>
          <w:rFonts w:ascii="Calibri" w:eastAsia="Calibri" w:hAnsi="Calibri" w:cs="Calibri"/>
        </w:rPr>
        <w:t>(</w:t>
      </w:r>
      <w:proofErr w:type="spellStart"/>
      <w:r w:rsidRPr="009406EB">
        <w:rPr>
          <w:rFonts w:ascii="Calibri" w:eastAsia="Calibri" w:hAnsi="Calibri" w:cs="Calibri"/>
          <w:i/>
          <w:iCs/>
        </w:rPr>
        <w:t>Katos</w:t>
      </w:r>
      <w:proofErr w:type="spellEnd"/>
      <w:r w:rsidRPr="009406EB">
        <w:rPr>
          <w:rFonts w:ascii="Calibri" w:eastAsia="Calibri" w:hAnsi="Calibri" w:cs="Calibri"/>
          <w:i/>
          <w:iCs/>
        </w:rPr>
        <w:t xml:space="preserve"> et al, Towards a Green Blockchain: A Review of Consensus Mechanisms and their Energy Consumption</w:t>
      </w:r>
      <w:r>
        <w:rPr>
          <w:rFonts w:ascii="Calibri" w:eastAsia="Calibri" w:hAnsi="Calibri" w:cs="Calibri"/>
          <w:i/>
          <w:iCs/>
        </w:rPr>
        <w:t>, 2021</w:t>
      </w:r>
      <w:r w:rsidRPr="009406EB">
        <w:rPr>
          <w:rFonts w:ascii="Calibri" w:eastAsia="Calibri" w:hAnsi="Calibri" w:cs="Calibri"/>
        </w:rPr>
        <w:t xml:space="preserve">). </w:t>
      </w:r>
      <w:r>
        <w:rPr>
          <w:rFonts w:ascii="Calibri" w:eastAsia="Calibri" w:hAnsi="Calibri" w:cs="Calibri"/>
        </w:rPr>
        <w:t xml:space="preserve">Therefore, the availability of data and the development of best industry practices are paramount to the publication of reliable sustainability indicators. </w:t>
      </w:r>
    </w:p>
    <w:p w14:paraId="019F41E2" w14:textId="77777777" w:rsidR="008525C8" w:rsidRDefault="008525C8" w:rsidP="008525C8">
      <w:pPr>
        <w:jc w:val="both"/>
        <w:rPr>
          <w:rFonts w:ascii="Calibri" w:eastAsia="Calibri" w:hAnsi="Calibri" w:cs="Calibri"/>
          <w:b/>
          <w:bCs/>
        </w:rPr>
      </w:pPr>
      <w:r w:rsidRPr="085D245D">
        <w:rPr>
          <w:rFonts w:ascii="Calibri" w:eastAsia="Calibri" w:hAnsi="Calibri" w:cs="Calibri"/>
        </w:rPr>
        <w:t>The BCI views on the mandatory disclosures are listed separately as follows:</w:t>
      </w:r>
    </w:p>
    <w:p w14:paraId="55AF37CB" w14:textId="77777777" w:rsidR="008525C8" w:rsidRDefault="008525C8" w:rsidP="008525C8">
      <w:pPr>
        <w:jc w:val="both"/>
        <w:rPr>
          <w:rFonts w:ascii="Calibri" w:eastAsia="Calibri" w:hAnsi="Calibri" w:cs="Calibri"/>
          <w:i/>
          <w:iCs/>
        </w:rPr>
      </w:pPr>
      <w:proofErr w:type="spellStart"/>
      <w:r w:rsidRPr="085D245D">
        <w:rPr>
          <w:rFonts w:ascii="Calibri" w:eastAsia="Calibri" w:hAnsi="Calibri" w:cs="Calibri"/>
          <w:i/>
          <w:iCs/>
        </w:rPr>
        <w:t>i</w:t>
      </w:r>
      <w:proofErr w:type="spellEnd"/>
      <w:r w:rsidRPr="085D245D">
        <w:rPr>
          <w:rFonts w:ascii="Calibri" w:eastAsia="Calibri" w:hAnsi="Calibri" w:cs="Calibri"/>
          <w:i/>
          <w:iCs/>
        </w:rPr>
        <w:t xml:space="preserve">. </w:t>
      </w:r>
      <w:bookmarkStart w:id="1" w:name="_Hlk153199594"/>
      <w:r w:rsidRPr="085D245D">
        <w:rPr>
          <w:rFonts w:ascii="Calibri" w:eastAsia="Calibri" w:hAnsi="Calibri" w:cs="Calibri"/>
          <w:i/>
          <w:iCs/>
        </w:rPr>
        <w:t xml:space="preserve">consumption of energy of the DLT network nodes </w:t>
      </w:r>
      <w:bookmarkEnd w:id="1"/>
      <w:r w:rsidRPr="085D245D">
        <w:rPr>
          <w:rFonts w:ascii="Calibri" w:eastAsia="Calibri" w:hAnsi="Calibri" w:cs="Calibri"/>
          <w:i/>
          <w:iCs/>
        </w:rPr>
        <w:t>used to validate transactions</w:t>
      </w:r>
    </w:p>
    <w:p w14:paraId="3DFC4588" w14:textId="77777777" w:rsidR="008525C8" w:rsidRDefault="008525C8" w:rsidP="008525C8">
      <w:pPr>
        <w:jc w:val="both"/>
      </w:pPr>
      <w:r w:rsidRPr="085D245D">
        <w:rPr>
          <w:rFonts w:ascii="Calibri" w:eastAsia="Calibri" w:hAnsi="Calibri" w:cs="Calibri"/>
        </w:rPr>
        <w:t>Consensus mechanisms, network nodes</w:t>
      </w:r>
      <w:r>
        <w:rPr>
          <w:rFonts w:ascii="Calibri" w:eastAsia="Calibri" w:hAnsi="Calibri" w:cs="Calibri"/>
        </w:rPr>
        <w:t>/validators</w:t>
      </w:r>
      <w:r w:rsidRPr="085D245D">
        <w:rPr>
          <w:rFonts w:ascii="Calibri" w:eastAsia="Calibri" w:hAnsi="Calibri" w:cs="Calibri"/>
        </w:rPr>
        <w:t>, and the transaction validation system (</w:t>
      </w:r>
      <w:proofErr w:type="gramStart"/>
      <w:r w:rsidRPr="085D245D">
        <w:rPr>
          <w:rFonts w:ascii="Calibri" w:eastAsia="Calibri" w:hAnsi="Calibri" w:cs="Calibri"/>
        </w:rPr>
        <w:t>e.g.</w:t>
      </w:r>
      <w:proofErr w:type="gramEnd"/>
      <w:r w:rsidRPr="085D245D">
        <w:rPr>
          <w:rFonts w:ascii="Calibri" w:eastAsia="Calibri" w:hAnsi="Calibri" w:cs="Calibri"/>
        </w:rPr>
        <w:t xml:space="preserve"> mining</w:t>
      </w:r>
      <w:r>
        <w:rPr>
          <w:rFonts w:ascii="Calibri" w:eastAsia="Calibri" w:hAnsi="Calibri" w:cs="Calibri"/>
        </w:rPr>
        <w:t xml:space="preserve"> in the case of the </w:t>
      </w:r>
      <w:proofErr w:type="spellStart"/>
      <w:r>
        <w:rPr>
          <w:rFonts w:ascii="Calibri" w:eastAsia="Calibri" w:hAnsi="Calibri" w:cs="Calibri"/>
        </w:rPr>
        <w:t>PoW</w:t>
      </w:r>
      <w:proofErr w:type="spellEnd"/>
      <w:r>
        <w:rPr>
          <w:rFonts w:ascii="Calibri" w:eastAsia="Calibri" w:hAnsi="Calibri" w:cs="Calibri"/>
        </w:rPr>
        <w:t xml:space="preserve"> protocol and validators for </w:t>
      </w:r>
      <w:proofErr w:type="spellStart"/>
      <w:r>
        <w:rPr>
          <w:rFonts w:ascii="Calibri" w:eastAsia="Calibri" w:hAnsi="Calibri" w:cs="Calibri"/>
        </w:rPr>
        <w:t>PoS</w:t>
      </w:r>
      <w:proofErr w:type="spellEnd"/>
      <w:r>
        <w:rPr>
          <w:rFonts w:ascii="Calibri" w:eastAsia="Calibri" w:hAnsi="Calibri" w:cs="Calibri"/>
        </w:rPr>
        <w:t xml:space="preserve"> protocol</w:t>
      </w:r>
      <w:r w:rsidRPr="085D245D">
        <w:rPr>
          <w:rFonts w:ascii="Calibri" w:eastAsia="Calibri" w:hAnsi="Calibri" w:cs="Calibri"/>
        </w:rPr>
        <w:t xml:space="preserve">) </w:t>
      </w:r>
      <w:r>
        <w:rPr>
          <w:rFonts w:ascii="Calibri" w:eastAsia="Calibri" w:hAnsi="Calibri" w:cs="Calibri"/>
        </w:rPr>
        <w:t>should</w:t>
      </w:r>
      <w:r w:rsidRPr="085D245D">
        <w:rPr>
          <w:rFonts w:ascii="Calibri" w:eastAsia="Calibri" w:hAnsi="Calibri" w:cs="Calibri"/>
        </w:rPr>
        <w:t xml:space="preserve"> be considered separately for the purpose of identifying energy consumption. Consensus mechanisms are software codes, while the nodes host the entire updated ledger, and the transaction validation system ensures the transactions in the blockchain are validated and included in the ledger according to the criteria set in the consensus mechanism. It shall be highlighted that entities running the nodes do not always coincide with the entities part of the transaction validation system. Additionally, it shall be pointed out that the proposed calculation of energy consumption of the nodes depends on their number</w:t>
      </w:r>
      <w:r>
        <w:rPr>
          <w:rFonts w:ascii="Calibri" w:eastAsia="Calibri" w:hAnsi="Calibri" w:cs="Calibri"/>
        </w:rPr>
        <w:t xml:space="preserve">, while, as outlined in the answer to Q2, a lower number of nodes may affect the energy inefficiency of the network. </w:t>
      </w:r>
      <w:r w:rsidRPr="085D245D">
        <w:rPr>
          <w:rFonts w:ascii="Calibri" w:eastAsia="Calibri" w:hAnsi="Calibri" w:cs="Calibri"/>
        </w:rPr>
        <w:t xml:space="preserve">By using </w:t>
      </w:r>
      <w:r>
        <w:rPr>
          <w:rFonts w:ascii="Calibri" w:eastAsia="Calibri" w:hAnsi="Calibri" w:cs="Calibri"/>
        </w:rPr>
        <w:t>the</w:t>
      </w:r>
      <w:r w:rsidRPr="085D245D">
        <w:rPr>
          <w:rFonts w:ascii="Calibri" w:eastAsia="Calibri" w:hAnsi="Calibri" w:cs="Calibri"/>
        </w:rPr>
        <w:t xml:space="preserve"> parameter</w:t>
      </w:r>
      <w:r>
        <w:rPr>
          <w:rFonts w:ascii="Calibri" w:eastAsia="Calibri" w:hAnsi="Calibri" w:cs="Calibri"/>
        </w:rPr>
        <w:t xml:space="preserve"> of the </w:t>
      </w:r>
      <w:r w:rsidRPr="00AD1B73">
        <w:rPr>
          <w:rFonts w:ascii="Calibri" w:eastAsia="Calibri" w:hAnsi="Calibri" w:cs="Calibri"/>
        </w:rPr>
        <w:t>consumption of energy of the DLT network nodes</w:t>
      </w:r>
      <w:r w:rsidRPr="085D245D">
        <w:rPr>
          <w:rFonts w:ascii="Calibri" w:eastAsia="Calibri" w:hAnsi="Calibri" w:cs="Calibri"/>
        </w:rPr>
        <w:t xml:space="preserve">, it might appear more </w:t>
      </w:r>
      <w:r>
        <w:rPr>
          <w:rFonts w:ascii="Calibri" w:eastAsia="Calibri" w:hAnsi="Calibri" w:cs="Calibri"/>
        </w:rPr>
        <w:t xml:space="preserve">environmentally </w:t>
      </w:r>
      <w:r w:rsidRPr="085D245D">
        <w:rPr>
          <w:rFonts w:ascii="Calibri" w:eastAsia="Calibri" w:hAnsi="Calibri" w:cs="Calibri"/>
        </w:rPr>
        <w:t>sustainable a network relying on few nodes instead of a more distributed network with a larger number of nodes. This could lead to indirect discrimination in violation of the technological neutrality principle.</w:t>
      </w:r>
      <w:r>
        <w:rPr>
          <w:rFonts w:ascii="Calibri" w:eastAsia="Calibri" w:hAnsi="Calibri" w:cs="Calibri"/>
        </w:rPr>
        <w:t xml:space="preserve"> </w:t>
      </w:r>
    </w:p>
    <w:p w14:paraId="12044F18" w14:textId="77777777" w:rsidR="008525C8" w:rsidRDefault="008525C8" w:rsidP="008525C8">
      <w:pPr>
        <w:jc w:val="both"/>
        <w:rPr>
          <w:rFonts w:ascii="Calibri" w:eastAsia="Calibri" w:hAnsi="Calibri" w:cs="Calibri"/>
          <w:i/>
          <w:iCs/>
        </w:rPr>
      </w:pPr>
      <w:r w:rsidRPr="085D245D">
        <w:rPr>
          <w:rFonts w:ascii="Calibri" w:eastAsia="Calibri" w:hAnsi="Calibri" w:cs="Calibri"/>
          <w:i/>
          <w:iCs/>
        </w:rPr>
        <w:t>ii. energy sources owned and controlled, or purchased by these DLT network nodes, based on the location of the DLT network nodes</w:t>
      </w:r>
    </w:p>
    <w:p w14:paraId="4A5B19A5" w14:textId="77777777" w:rsidR="008525C8" w:rsidRDefault="008525C8" w:rsidP="008525C8">
      <w:pPr>
        <w:jc w:val="both"/>
        <w:rPr>
          <w:rFonts w:ascii="Calibri" w:eastAsia="Calibri" w:hAnsi="Calibri" w:cs="Calibri"/>
        </w:rPr>
      </w:pPr>
      <w:r w:rsidRPr="085D245D">
        <w:rPr>
          <w:rFonts w:ascii="Calibri" w:eastAsia="Calibri" w:hAnsi="Calibri" w:cs="Calibri"/>
        </w:rPr>
        <w:t>This parameter requires the disclosure of information not necessarily available and subject to fast changes due to the relocation of nodes and the variation in their number.</w:t>
      </w:r>
    </w:p>
    <w:p w14:paraId="23F3A530" w14:textId="77777777" w:rsidR="008525C8" w:rsidRDefault="008525C8" w:rsidP="008525C8">
      <w:pPr>
        <w:jc w:val="both"/>
        <w:rPr>
          <w:rFonts w:ascii="Calibri" w:eastAsia="Calibri" w:hAnsi="Calibri" w:cs="Calibri"/>
          <w:i/>
          <w:iCs/>
        </w:rPr>
      </w:pPr>
      <w:r w:rsidRPr="085D245D">
        <w:rPr>
          <w:rFonts w:ascii="Calibri" w:eastAsia="Calibri" w:hAnsi="Calibri" w:cs="Calibri"/>
          <w:i/>
          <w:iCs/>
        </w:rPr>
        <w:t>iii. waste and the use of natural resources from an analysis of the production, use and disposal of the devices of the DLT network nodes</w:t>
      </w:r>
    </w:p>
    <w:p w14:paraId="3BBAE091" w14:textId="02013045" w:rsidR="00FA64BE" w:rsidRPr="008525C8" w:rsidRDefault="008525C8" w:rsidP="008525C8">
      <w:pPr>
        <w:jc w:val="both"/>
        <w:rPr>
          <w:rFonts w:ascii="Calibri" w:eastAsia="Calibri" w:hAnsi="Calibri" w:cs="Calibri"/>
        </w:rPr>
      </w:pPr>
      <w:r w:rsidRPr="085D245D">
        <w:rPr>
          <w:rFonts w:ascii="Calibri" w:eastAsia="Calibri" w:hAnsi="Calibri" w:cs="Calibri"/>
        </w:rPr>
        <w:t xml:space="preserve">This data disclosure shall replicate the information made publicly available by the device manufacturer; if no information of this kind is available, the obligation reporting shall be adjusted accordingly. Moreover, it shall be noted that there are a limited number of producers of devices that can be used to operate the DLT network. Therefore, the production of waste and the energy consumption, depending on the devices, is impacted by this limited number of manufacturers as the actual possibility to move towards </w:t>
      </w:r>
      <w:r>
        <w:rPr>
          <w:rFonts w:ascii="Calibri" w:eastAsia="Calibri" w:hAnsi="Calibri" w:cs="Calibri"/>
        </w:rPr>
        <w:t xml:space="preserve">a </w:t>
      </w:r>
      <w:r w:rsidRPr="085D245D">
        <w:rPr>
          <w:rFonts w:ascii="Calibri" w:eastAsia="Calibri" w:hAnsi="Calibri" w:cs="Calibri"/>
        </w:rPr>
        <w:t>more sustainable DLT network</w:t>
      </w:r>
      <w:r>
        <w:rPr>
          <w:rFonts w:ascii="Calibri" w:eastAsia="Calibri" w:hAnsi="Calibri" w:cs="Calibri"/>
        </w:rPr>
        <w:t>s</w:t>
      </w:r>
      <w:r w:rsidRPr="085D245D">
        <w:rPr>
          <w:rFonts w:ascii="Calibri" w:eastAsia="Calibri" w:hAnsi="Calibri" w:cs="Calibri"/>
        </w:rPr>
        <w:t xml:space="preserve"> used for certain </w:t>
      </w:r>
      <w:proofErr w:type="gramStart"/>
      <w:r w:rsidRPr="085D245D">
        <w:rPr>
          <w:rFonts w:ascii="Calibri" w:eastAsia="Calibri" w:hAnsi="Calibri" w:cs="Calibri"/>
        </w:rPr>
        <w:t>crypto</w:t>
      </w:r>
      <w:r>
        <w:rPr>
          <w:rFonts w:ascii="Calibri" w:eastAsia="Calibri" w:hAnsi="Calibri" w:cs="Calibri"/>
        </w:rPr>
        <w:t>-</w:t>
      </w:r>
      <w:r w:rsidRPr="085D245D">
        <w:rPr>
          <w:rFonts w:ascii="Calibri" w:eastAsia="Calibri" w:hAnsi="Calibri" w:cs="Calibri"/>
        </w:rPr>
        <w:t>assets</w:t>
      </w:r>
      <w:proofErr w:type="gramEnd"/>
      <w:r w:rsidRPr="085D245D">
        <w:rPr>
          <w:rFonts w:ascii="Calibri" w:eastAsia="Calibri" w:hAnsi="Calibri" w:cs="Calibri"/>
        </w:rPr>
        <w:t xml:space="preserve"> could be restricted.</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lastRenderedPageBreak/>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0FBEA900" w14:textId="27B34C55" w:rsidR="00FA64BE" w:rsidRPr="008525C8" w:rsidRDefault="008525C8" w:rsidP="008525C8">
      <w:pPr>
        <w:jc w:val="both"/>
        <w:rPr>
          <w:rFonts w:ascii="Calibri" w:eastAsia="Calibri" w:hAnsi="Calibri" w:cs="Calibri"/>
        </w:rPr>
      </w:pPr>
      <w:permStart w:id="74328323" w:edGrp="everyone"/>
      <w:r w:rsidRPr="085D245D">
        <w:rPr>
          <w:rFonts w:ascii="Calibri" w:eastAsia="Calibri" w:hAnsi="Calibri" w:cs="Calibri"/>
        </w:rPr>
        <w:t>As specified for the answers to Q1 and Q2, consensus mechanisms cannot be directly linked to any sustainability impact.</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0338FAF5" w:rsidR="00FA64BE" w:rsidRPr="008525C8" w:rsidRDefault="008525C8" w:rsidP="008525C8">
      <w:pPr>
        <w:jc w:val="both"/>
        <w:rPr>
          <w:rFonts w:ascii="Calibri" w:eastAsia="Calibri" w:hAnsi="Calibri" w:cs="Calibri"/>
        </w:rPr>
      </w:pPr>
      <w:permStart w:id="900805085" w:edGrp="everyone"/>
      <w:r w:rsidRPr="085D245D">
        <w:rPr>
          <w:rFonts w:ascii="Calibri" w:eastAsia="Calibri" w:hAnsi="Calibri" w:cs="Calibri"/>
        </w:rPr>
        <w:t>As specified for the answers to Q1 and Q2, the incentives in the definition are related to the consensus mechanism algorithms that are environmentally neutral.</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75BE7528" w14:textId="3F23387E" w:rsidR="00FA64BE" w:rsidRPr="008525C8" w:rsidRDefault="008525C8" w:rsidP="008525C8">
      <w:pPr>
        <w:jc w:val="both"/>
        <w:rPr>
          <w:rFonts w:ascii="Calibri" w:eastAsia="Calibri" w:hAnsi="Calibri" w:cs="Calibri"/>
        </w:rPr>
      </w:pPr>
      <w:permStart w:id="1293448415" w:edGrp="everyone"/>
      <w:r w:rsidRPr="085D245D">
        <w:rPr>
          <w:rFonts w:ascii="Calibri" w:eastAsia="Calibri" w:hAnsi="Calibri" w:cs="Calibri"/>
        </w:rPr>
        <w:t xml:space="preserve">The sustainability indicators will have regard to the adverse impact on the climate and other environment‐related adverse impacts, and these should cover the use of energy, renewable energy and natural resources, the production of waste and greenhouse gas emissions. ESMA is proposing to bundle all mandates </w:t>
      </w:r>
      <w:r>
        <w:rPr>
          <w:rFonts w:ascii="Calibri" w:eastAsia="Calibri" w:hAnsi="Calibri" w:cs="Calibri"/>
        </w:rPr>
        <w:t>in</w:t>
      </w:r>
      <w:r w:rsidRPr="085D245D">
        <w:rPr>
          <w:rFonts w:ascii="Calibri" w:eastAsia="Calibri" w:hAnsi="Calibri" w:cs="Calibri"/>
        </w:rPr>
        <w:t>to a single RTS, which could foster a more coherent disclosure. Sustainability disclosures can serve as a powerful incentive for boosting investor awareness. However, their effectiveness hinges on ensuring the comparability of the disclosures, as it is key for investors to understand and evaluate sustainability efforts across different entities. When disclosures are comparable, investors can make informed decisions, fostering an easier path to green investment. This will require a nuanced approach. It is then essential to determine which indicators are most conducive to investor awareness, which ultimately leads to their mandatory inclusion. The criteria required to meet the threshold to be ‘conducive to investor awareness’ needs to be set out in clear terms, and that they remain universally applicable. In this sense, it seems adequate that ESMA proposes a general proportionality principle in Art. 6 that translates to a mandatory self-assessment to be completed by the</w:t>
      </w:r>
      <w:r>
        <w:rPr>
          <w:rFonts w:ascii="Calibri" w:eastAsia="Calibri" w:hAnsi="Calibri" w:cs="Calibri"/>
        </w:rPr>
        <w:t xml:space="preserve"> </w:t>
      </w:r>
      <w:proofErr w:type="spellStart"/>
      <w:r>
        <w:rPr>
          <w:rFonts w:ascii="Calibri" w:eastAsia="Calibri" w:hAnsi="Calibri" w:cs="Calibri"/>
        </w:rPr>
        <w:t>MiCA</w:t>
      </w:r>
      <w:proofErr w:type="spellEnd"/>
      <w:r>
        <w:rPr>
          <w:rFonts w:ascii="Calibri" w:eastAsia="Calibri" w:hAnsi="Calibri" w:cs="Calibri"/>
        </w:rPr>
        <w:t>-regulated entities</w:t>
      </w:r>
      <w:r w:rsidRPr="085D245D">
        <w:rPr>
          <w:rFonts w:ascii="Calibri" w:eastAsia="Calibri" w:hAnsi="Calibri" w:cs="Calibri"/>
        </w:rPr>
        <w:t>, which relates to the need for sustainability indicators to be sufficiently standardised to ensure investor awareness.</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lastRenderedPageBreak/>
        <w:t>&lt;ESMA_QUESTION_MIC2_9&gt;</w:t>
      </w:r>
    </w:p>
    <w:p w14:paraId="1FBB65C2" w14:textId="7E0CFD82" w:rsidR="00FA64BE" w:rsidRDefault="00DF0705" w:rsidP="00DF0705">
      <w:pPr>
        <w:jc w:val="both"/>
      </w:pPr>
      <w:permStart w:id="891972062" w:edGrp="everyone"/>
      <w:r>
        <w:rPr>
          <w:rFonts w:ascii="Calibri" w:eastAsia="Calibri" w:hAnsi="Calibri" w:cs="Calibri"/>
        </w:rPr>
        <w:t xml:space="preserve">To determine whether the optional indicators should be made mandatory in the medium run, the feasibility and cost of </w:t>
      </w:r>
      <w:proofErr w:type="spellStart"/>
      <w:r>
        <w:rPr>
          <w:rFonts w:ascii="Calibri" w:eastAsia="Calibri" w:hAnsi="Calibri" w:cs="Calibri"/>
        </w:rPr>
        <w:t>MiCA</w:t>
      </w:r>
      <w:proofErr w:type="spellEnd"/>
      <w:r>
        <w:rPr>
          <w:rFonts w:ascii="Calibri" w:eastAsia="Calibri" w:hAnsi="Calibri" w:cs="Calibri"/>
        </w:rPr>
        <w:t>-regulated entities for obtaining and publishing such data should be assessed. This will depend on the industry availability of data, the production of quality data, and whether the mandatory nature of these criteria would still be able to meet the proportionality standard.</w:t>
      </w:r>
      <w:r>
        <w:t xml:space="preserve"> </w:t>
      </w:r>
      <w:proofErr w:type="spellStart"/>
      <w:r>
        <w:rPr>
          <w:rFonts w:ascii="Calibri" w:eastAsia="Calibri" w:hAnsi="Calibri" w:cs="Calibri"/>
        </w:rPr>
        <w:t>MiCA</w:t>
      </w:r>
      <w:proofErr w:type="spellEnd"/>
      <w:r>
        <w:rPr>
          <w:rFonts w:ascii="Calibri" w:eastAsia="Calibri" w:hAnsi="Calibri" w:cs="Calibri"/>
        </w:rPr>
        <w:t>-regulated entities should</w:t>
      </w:r>
      <w:r w:rsidRPr="2BC4D2F9">
        <w:rPr>
          <w:rFonts w:ascii="Calibri" w:eastAsia="Calibri" w:hAnsi="Calibri" w:cs="Calibri"/>
        </w:rPr>
        <w:t xml:space="preserve"> be granted the possibility to</w:t>
      </w:r>
      <w:r w:rsidRPr="2BC4D2F9">
        <w:rPr>
          <w:rFonts w:ascii="Calibri" w:eastAsia="Calibri" w:hAnsi="Calibri" w:cs="Calibri"/>
          <w:b/>
          <w:bCs/>
        </w:rPr>
        <w:t xml:space="preserve"> </w:t>
      </w:r>
      <w:r w:rsidRPr="2BC4D2F9">
        <w:rPr>
          <w:rFonts w:ascii="Calibri" w:eastAsia="Calibri" w:hAnsi="Calibri" w:cs="Calibri"/>
        </w:rPr>
        <w:t xml:space="preserve">provide optional sustainability indicators which can be useful to be conducive to investor awareness. These optional indicators </w:t>
      </w:r>
      <w:r>
        <w:rPr>
          <w:rFonts w:ascii="Calibri" w:eastAsia="Calibri" w:hAnsi="Calibri" w:cs="Calibri"/>
        </w:rPr>
        <w:t>should</w:t>
      </w:r>
      <w:r w:rsidRPr="2BC4D2F9">
        <w:rPr>
          <w:rFonts w:ascii="Calibri" w:eastAsia="Calibri" w:hAnsi="Calibri" w:cs="Calibri"/>
        </w:rPr>
        <w:t xml:space="preserve"> be left open to be filled in with the metrics currently available to operators.</w:t>
      </w:r>
      <w:r>
        <w:rPr>
          <w:rFonts w:ascii="Calibri" w:eastAsia="Calibri" w:hAnsi="Calibri" w:cs="Calibri"/>
        </w:rPr>
        <w:t xml:space="preserve"> The sustainability indicators must be measurable. Noting Peter Drucker’s now famous statement: “</w:t>
      </w:r>
      <w:r w:rsidRPr="009406EB">
        <w:rPr>
          <w:rFonts w:ascii="Calibri" w:eastAsia="Calibri" w:hAnsi="Calibri" w:cs="Calibri"/>
          <w:i/>
          <w:iCs/>
        </w:rPr>
        <w:t>If you cannot measure it then you cannot manage it</w:t>
      </w:r>
      <w:r>
        <w:rPr>
          <w:rFonts w:ascii="Calibri" w:eastAsia="Calibri" w:hAnsi="Calibri" w:cs="Calibri"/>
        </w:rPr>
        <w:t>”.</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B872444" w:rsidR="00FA64BE" w:rsidRPr="00DF0705" w:rsidRDefault="00DF0705" w:rsidP="00DF0705">
      <w:pPr>
        <w:jc w:val="both"/>
        <w:rPr>
          <w:rFonts w:ascii="Calibri" w:eastAsia="Calibri" w:hAnsi="Calibri" w:cs="Calibri"/>
        </w:rPr>
      </w:pPr>
      <w:permStart w:id="576606981" w:edGrp="everyone"/>
      <w:r w:rsidRPr="2DEC8CA3">
        <w:rPr>
          <w:rFonts w:ascii="Calibri" w:eastAsia="Calibri" w:hAnsi="Calibri" w:cs="Calibri"/>
        </w:rPr>
        <w:t>ESMA suggests incorporating general principles into the draft RTS regarding how information is displayed on CASPs' websites and introducing a standardized sustainability disclosure template in the RTS annex. This aims to promote comparability among CASPs and enhance investor comprehension. It is crucial to ensure the template is machine</w:t>
      </w:r>
      <w:r>
        <w:rPr>
          <w:rFonts w:ascii="Calibri" w:eastAsia="Calibri" w:hAnsi="Calibri" w:cs="Calibri"/>
        </w:rPr>
        <w:t>-</w:t>
      </w:r>
      <w:r w:rsidRPr="2DEC8CA3">
        <w:rPr>
          <w:rFonts w:ascii="Calibri" w:eastAsia="Calibri" w:hAnsi="Calibri" w:cs="Calibri"/>
        </w:rPr>
        <w:t>readable to enhance data accessibility and use. Implementing measures towards machine readability of the template for sustainability disclosure not only enhances accessibility but promotes transparency and informed decision-making among stakeholders.</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7210D921" w14:textId="051A59CB" w:rsidR="00DF0705" w:rsidRDefault="00DF0705" w:rsidP="00DF0705">
      <w:pPr>
        <w:jc w:val="both"/>
        <w:rPr>
          <w:rFonts w:eastAsiaTheme="minorEastAsia"/>
          <w:color w:val="000000" w:themeColor="text1"/>
        </w:rPr>
      </w:pPr>
      <w:permStart w:id="48771598" w:edGrp="everyone"/>
      <w:r w:rsidRPr="085D245D">
        <w:rPr>
          <w:rFonts w:eastAsiaTheme="minorEastAsia"/>
        </w:rPr>
        <w:t xml:space="preserve">By reason of the peculiarity of the DLT industry, BCI suggests the adoption of step-by-step procedures for implementing methodology and key performance indicators which shall be applicable with specific reference to </w:t>
      </w:r>
      <w:proofErr w:type="gramStart"/>
      <w:r w:rsidRPr="085D245D">
        <w:rPr>
          <w:rFonts w:eastAsiaTheme="minorEastAsia"/>
        </w:rPr>
        <w:t>crypto</w:t>
      </w:r>
      <w:r>
        <w:rPr>
          <w:rFonts w:eastAsiaTheme="minorEastAsia"/>
        </w:rPr>
        <w:t>-</w:t>
      </w:r>
      <w:r w:rsidRPr="085D245D">
        <w:rPr>
          <w:rFonts w:eastAsiaTheme="minorEastAsia"/>
        </w:rPr>
        <w:t>assets</w:t>
      </w:r>
      <w:proofErr w:type="gramEnd"/>
      <w:r w:rsidRPr="085D245D">
        <w:rPr>
          <w:rFonts w:eastAsiaTheme="minorEastAsia"/>
        </w:rPr>
        <w:t>. Regardless of the methodology adopted, the d</w:t>
      </w:r>
      <w:r w:rsidRPr="085D245D">
        <w:rPr>
          <w:rFonts w:eastAsiaTheme="minorEastAsia"/>
          <w:color w:val="000000" w:themeColor="text1"/>
        </w:rPr>
        <w:t>efinitions of terms and acronyms used in the methodology, the applicability conditions, the GHG boundary, as well as the correct identification of a plausible baseline scenario, need to be appropriate for the project type.</w:t>
      </w:r>
    </w:p>
    <w:permEnd w:id="48771598"/>
    <w:p w14:paraId="06FB84B3" w14:textId="0B66BFB4"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lastRenderedPageBreak/>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3C59E4E8" w14:textId="77777777" w:rsidR="00DF0705" w:rsidRDefault="00DF0705" w:rsidP="00DF0705">
      <w:pPr>
        <w:jc w:val="both"/>
        <w:rPr>
          <w:rFonts w:ascii="Calibri" w:eastAsia="Calibri" w:hAnsi="Calibri" w:cs="Calibri"/>
        </w:rPr>
      </w:pPr>
      <w:permStart w:id="763903754" w:edGrp="everyone"/>
      <w:r w:rsidRPr="085D245D">
        <w:rPr>
          <w:rFonts w:ascii="Calibri" w:eastAsia="Calibri" w:hAnsi="Calibri" w:cs="Calibri"/>
        </w:rPr>
        <w:t>Providing further clarity and guidance from ESMA on methodologies and preferred data sources could prove incredibly valuable in the recollection of reliable information. BCI supports the establishment of an observatory to enhance best practices by the direct experience of operators</w:t>
      </w:r>
      <w:r>
        <w:rPr>
          <w:rFonts w:ascii="Calibri" w:eastAsia="Calibri" w:hAnsi="Calibri" w:cs="Calibri"/>
        </w:rPr>
        <w:t xml:space="preserve"> in the sector</w:t>
      </w:r>
      <w:r w:rsidRPr="085D245D">
        <w:rPr>
          <w:rFonts w:ascii="Calibri" w:eastAsia="Calibri" w:hAnsi="Calibri" w:cs="Calibri"/>
        </w:rPr>
        <w:t xml:space="preserve">. </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lastRenderedPageBreak/>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lastRenderedPageBreak/>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lastRenderedPageBreak/>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lastRenderedPageBreak/>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w:t>
      </w:r>
      <w:r w:rsidRPr="003A287A">
        <w:lastRenderedPageBreak/>
        <w:t xml:space="preserve">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lastRenderedPageBreak/>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lastRenderedPageBreak/>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lastRenderedPageBreak/>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lastRenderedPageBreak/>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lastRenderedPageBreak/>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C9D7" w14:textId="77777777" w:rsidR="00146491" w:rsidRDefault="00146491" w:rsidP="007E7997">
      <w:r>
        <w:separator/>
      </w:r>
    </w:p>
  </w:endnote>
  <w:endnote w:type="continuationSeparator" w:id="0">
    <w:p w14:paraId="58ED4A88" w14:textId="77777777" w:rsidR="00146491" w:rsidRDefault="00146491" w:rsidP="007E7997">
      <w:r>
        <w:continuationSeparator/>
      </w:r>
    </w:p>
  </w:endnote>
  <w:endnote w:type="continuationNotice" w:id="1">
    <w:p w14:paraId="1F8DAC86" w14:textId="77777777" w:rsidR="00146491" w:rsidRDefault="00146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51F1" w14:textId="77777777" w:rsidR="00146491" w:rsidRDefault="00146491" w:rsidP="007E7997">
      <w:r>
        <w:separator/>
      </w:r>
    </w:p>
  </w:footnote>
  <w:footnote w:type="continuationSeparator" w:id="0">
    <w:p w14:paraId="5B2A1CD3" w14:textId="77777777" w:rsidR="00146491" w:rsidRDefault="00146491" w:rsidP="007E7997">
      <w:r>
        <w:continuationSeparator/>
      </w:r>
    </w:p>
  </w:footnote>
  <w:footnote w:type="continuationNotice" w:id="1">
    <w:p w14:paraId="26CCD9AA" w14:textId="77777777" w:rsidR="00146491" w:rsidRDefault="00146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Intestazion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Intestazion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Intestazion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Intestazione"/>
      <w:jc w:val="right"/>
      <w:rPr>
        <w:rFonts w:asciiTheme="minorHAnsi" w:hAnsiTheme="minorHAnsi" w:cstheme="minorHAnsi"/>
        <w:color w:val="2F5496" w:themeColor="accent5" w:themeShade="BF"/>
        <w:sz w:val="20"/>
      </w:rPr>
    </w:pPr>
  </w:p>
  <w:p w14:paraId="3E983FE8" w14:textId="71D87355" w:rsidR="00FA64BE" w:rsidRDefault="00FA64BE" w:rsidP="00FA64BE">
    <w:pPr>
      <w:pStyle w:val="Intestazion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Intestazion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46491"/>
    <w:rsid w:val="00155BAB"/>
    <w:rsid w:val="001608B2"/>
    <w:rsid w:val="00160FE0"/>
    <w:rsid w:val="00163AB3"/>
    <w:rsid w:val="00163E3A"/>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25C8"/>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0705"/>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aliases w:val="Text,Emphase pâle,Diskret betoning"/>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7E7997"/>
    <w:pPr>
      <w:tabs>
        <w:tab w:val="center" w:pos="4536"/>
        <w:tab w:val="right" w:pos="9072"/>
      </w:tabs>
    </w:pPr>
  </w:style>
  <w:style w:type="character" w:customStyle="1" w:styleId="IntestazioneCarattere">
    <w:name w:val="Intestazione Carattere"/>
    <w:basedOn w:val="Carpredefinitoparagrafo"/>
    <w:link w:val="Intestazione"/>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Carpredefinitoparagrafo"/>
    <w:link w:val="Questionstyle"/>
    <w:rsid w:val="00871163"/>
    <w:rPr>
      <w:rFonts w:eastAsia="Times New Roman" w:cstheme="minorHAnsi"/>
      <w:b/>
      <w:bCs/>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semiHidden/>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semiHidden/>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Enfasigrassetto"/>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2</TotalTime>
  <Pages>21</Pages>
  <Words>5295</Words>
  <Characters>30184</Characters>
  <Application>Microsoft Office Word</Application>
  <DocSecurity>8</DocSecurity>
  <Lines>251</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Zolla Marco</cp:lastModifiedBy>
  <cp:revision>3</cp:revision>
  <cp:lastPrinted>2017-07-24T14:47:00Z</cp:lastPrinted>
  <dcterms:created xsi:type="dcterms:W3CDTF">2023-12-12T08:40:00Z</dcterms:created>
  <dcterms:modified xsi:type="dcterms:W3CDTF">2023-12-12T08:40:00Z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