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re"/>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r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Titre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itre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Paragraphedeliste"/>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Titre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30E88090" w:rsidR="00C85C8B" w:rsidRPr="00B16706" w:rsidRDefault="00006D9A" w:rsidP="00C85C8B">
                <w:pPr>
                  <w:rPr>
                    <w:rFonts w:ascii="Arial" w:hAnsi="Arial" w:cs="Arial"/>
                    <w:color w:val="808080"/>
                    <w:sz w:val="16"/>
                    <w:szCs w:val="20"/>
                    <w:lang w:eastAsia="de-DE"/>
                  </w:rPr>
                </w:pPr>
                <w:r>
                  <w:rPr>
                    <w:rFonts w:ascii="Arial" w:hAnsi="Arial" w:cs="Arial"/>
                    <w:color w:val="808080"/>
                    <w:sz w:val="16"/>
                    <w:szCs w:val="20"/>
                    <w:lang w:eastAsia="de-DE"/>
                  </w:rPr>
                  <w:t>Acsone SA/NV</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6B1D0B89" w:rsidR="00C85C8B" w:rsidRPr="00B16706" w:rsidRDefault="00F41F93"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16"/>
                    <w:szCs w:val="20"/>
                    <w:lang w:eastAsia="de-DE"/>
                  </w:rPr>
                  <w:t>Non-financial counterparty</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3F02B91A" w:rsidR="00C85C8B" w:rsidRPr="00B16706" w:rsidRDefault="0077026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B9E33BF" w:rsidR="00C85C8B" w:rsidRPr="00B16706" w:rsidRDefault="00006D9A" w:rsidP="00C85C8B">
                <w:pPr>
                  <w:rPr>
                    <w:rFonts w:ascii="Arial" w:hAnsi="Arial" w:cs="Arial"/>
                    <w:sz w:val="16"/>
                    <w:szCs w:val="20"/>
                    <w:lang w:eastAsia="de-DE"/>
                  </w:rPr>
                </w:pPr>
                <w:r>
                  <w:rPr>
                    <w:rFonts w:ascii="Arial" w:hAnsi="Arial" w:cs="Arial"/>
                    <w:sz w:val="16"/>
                    <w:szCs w:val="20"/>
                    <w:lang w:eastAsia="de-DE"/>
                  </w:rPr>
                  <w:t>Luxembourg</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53163ACC" w14:textId="6C3D08D9" w:rsidR="00FA64BE" w:rsidRDefault="00FA64BE" w:rsidP="00FA64BE">
      <w:permStart w:id="212889190" w:edGrp="everyone"/>
      <w:r>
        <w:t>TYPE YOUR TEXT HERE</w:t>
      </w:r>
    </w:p>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29BF78EA" w14:textId="77777777" w:rsidR="00FA64BE" w:rsidRDefault="00FA64BE" w:rsidP="00FA64BE">
      <w:permStart w:id="1220439445" w:edGrp="everyone"/>
      <w:r>
        <w:t>TYPE YOUR TEXT HERE</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28D2A8B5" w14:textId="77777777" w:rsidR="00FA64BE" w:rsidRDefault="00FA64BE" w:rsidP="00FA64BE">
      <w:permStart w:id="731276388" w:edGrp="everyone"/>
      <w:r>
        <w:t>TYPE YOUR TEXT HERE</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4F159A2C" w14:textId="7CA32CDE" w:rsidR="00FA64BE" w:rsidRDefault="00FA64BE" w:rsidP="00FA64BE">
      <w:permStart w:id="1601982568" w:edGrp="everyone"/>
      <w:r>
        <w:t>TYPE YOUR TEXT HERE</w:t>
      </w:r>
      <w:r w:rsidR="0077026A">
        <w:t xml:space="preserve"> </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3BBAE091" w14:textId="77777777" w:rsidR="00FA64BE" w:rsidRDefault="00FA64BE" w:rsidP="00FA64BE">
      <w:permStart w:id="480602896" w:edGrp="everyone"/>
      <w:r>
        <w:t>TYPE YOUR TEXT HERE</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lastRenderedPageBreak/>
        <w:t>&lt;ESMA_QUESTION_MIC2_6&gt;</w:t>
      </w:r>
    </w:p>
    <w:p w14:paraId="0FBEA900" w14:textId="77777777" w:rsidR="00FA64BE" w:rsidRDefault="00FA64BE" w:rsidP="00FA64BE">
      <w:permStart w:id="74328323" w:edGrp="everyone"/>
      <w:r>
        <w:t>TYPE YOUR TEXT HERE</w:t>
      </w: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1B021443" w14:textId="77777777" w:rsidR="00FA64BE" w:rsidRDefault="00FA64BE" w:rsidP="00FA64BE">
      <w:permStart w:id="900805085" w:edGrp="everyone"/>
      <w:r>
        <w:t>TYPE YOUR TEXT HERE</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75BE7528" w14:textId="77777777" w:rsidR="00FA64BE" w:rsidRDefault="00FA64BE" w:rsidP="00FA64BE">
      <w:permStart w:id="1293448415" w:edGrp="everyone"/>
      <w:r>
        <w:t>TYPE YOUR TEXT HERE</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1FBB65C2" w14:textId="77777777" w:rsidR="00FA64BE" w:rsidRDefault="00FA64BE" w:rsidP="00FA64BE">
      <w:permStart w:id="891972062" w:edGrp="everyone"/>
      <w:r>
        <w:t>TYPE YOUR TEXT HERE</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5B7090E9" w14:textId="77777777" w:rsidR="00FA64BE" w:rsidRDefault="00FA64BE" w:rsidP="00FA64BE">
      <w:permStart w:id="576606981" w:edGrp="everyone"/>
      <w:r>
        <w:t>TYPE YOUR TEXT HERE</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0741EBB0" w14:textId="77777777" w:rsidR="00FA64BE" w:rsidRDefault="00FA64BE" w:rsidP="00FA64BE">
      <w:permStart w:id="48771598" w:edGrp="everyone"/>
      <w:r>
        <w:lastRenderedPageBreak/>
        <w:t>TYPE YOUR TEXT HERE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42358338" w14:textId="77777777" w:rsidR="00FA64BE" w:rsidRDefault="00FA64BE" w:rsidP="00FA64BE">
      <w:permStart w:id="763903754" w:edGrp="everyone"/>
      <w:r>
        <w:t>TYPE YOUR TEXT HERE</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27DC097F" w14:textId="77777777" w:rsidR="00FA64BE" w:rsidRDefault="00FA64BE" w:rsidP="00FA64BE">
      <w:permStart w:id="1363767151" w:edGrp="everyone"/>
      <w:r>
        <w:t>TYPE YOUR TEXT HERE</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02B98D6F" w14:textId="77777777" w:rsidR="00FA64BE" w:rsidRDefault="00FA64BE" w:rsidP="00FA64BE">
      <w:permStart w:id="1236938786" w:edGrp="everyone"/>
      <w:r>
        <w:t>TYPE YOUR TEXT HERE</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2CEB9FCE" w14:textId="77777777" w:rsidR="00FA64BE" w:rsidRDefault="00FA64BE" w:rsidP="00FA64BE">
      <w:permStart w:id="1772099050" w:edGrp="everyone"/>
      <w:r>
        <w:t>TYPE YOUR TEXT HERE</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78BCC82" w14:textId="77777777" w:rsidR="00FA64BE" w:rsidRDefault="00FA64BE" w:rsidP="00FA64BE">
      <w:permStart w:id="1875469134" w:edGrp="everyone"/>
      <w:r>
        <w:t>TYPE YOUR TEXT HERE</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lastRenderedPageBreak/>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77777777" w:rsidR="00FA64BE" w:rsidRDefault="00FA64BE" w:rsidP="00FA64BE">
      <w:permStart w:id="1670274690" w:edGrp="everyone"/>
      <w:r>
        <w:t>TYPE YOUR TEXT HERE</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77777777" w:rsidR="00FA64BE" w:rsidRDefault="00FA64BE" w:rsidP="00FA64BE">
      <w:permStart w:id="2072316093" w:edGrp="everyone"/>
      <w:r>
        <w:t>TYPE YOUR TEXT HERE</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lastRenderedPageBreak/>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lastRenderedPageBreak/>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4FFE556" w14:textId="77777777" w:rsidR="00FA64BE" w:rsidRDefault="00FA64BE" w:rsidP="00FA64BE">
      <w:permStart w:id="712931667" w:edGrp="everyone"/>
      <w:r>
        <w:t>TYPE YOUR TEXT HERE</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lastRenderedPageBreak/>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0306C6AF" w14:textId="77777777" w:rsidR="00FA64BE" w:rsidRDefault="00FA64BE" w:rsidP="00FA64BE">
      <w:permStart w:id="1164135930" w:edGrp="everyone"/>
      <w:r>
        <w:t>TYPE YOUR TEXT HERE</w:t>
      </w: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7777777" w:rsidR="00FA64BE" w:rsidRDefault="00FA64BE" w:rsidP="00FA64BE">
      <w:permStart w:id="1238859015" w:edGrp="everyone"/>
      <w:r>
        <w:t>TYPE YOUR TEXT HERE</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w:t>
      </w:r>
      <w:r w:rsidRPr="003A287A">
        <w:lastRenderedPageBreak/>
        <w:t xml:space="preserve">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02DD99B6" w14:textId="77777777" w:rsidR="00FA64BE" w:rsidRDefault="00FA64BE" w:rsidP="00FA64BE">
      <w:permStart w:id="1621834718" w:edGrp="everyone"/>
      <w:r>
        <w:t>TYPE YOUR TEXT HERE</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E0B7D2B" w14:textId="77777777" w:rsidR="00FA64BE" w:rsidRDefault="00FA64BE" w:rsidP="00FA64BE">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lastRenderedPageBreak/>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C096076" w14:textId="77777777" w:rsidR="00FA64BE" w:rsidRDefault="00FA64BE" w:rsidP="00FA64BE">
      <w:permStart w:id="1153519239" w:edGrp="everyone"/>
      <w:r>
        <w:t>TYPE YOUR TEXT HERE</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50BECEA1" w14:textId="77777777" w:rsidR="00FA64BE" w:rsidRDefault="00FA64BE" w:rsidP="00FA64BE">
      <w:permStart w:id="1581865548" w:edGrp="everyone"/>
      <w:r>
        <w:t>TYPE YOUR TEXT HERE</w:t>
      </w:r>
    </w:p>
    <w:permEnd w:id="1581865548"/>
    <w:p w14:paraId="4309CBAF" w14:textId="77777777"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4FB6837" w14:textId="77777777" w:rsidR="00FA64BE" w:rsidRDefault="00FA64BE" w:rsidP="00FA64BE">
      <w:permStart w:id="1583566084" w:edGrp="everyone"/>
      <w:r>
        <w:t>TYPE YOUR TEXT HERE</w:t>
      </w: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lastRenderedPageBreak/>
        <w:t>&lt;ESMA_QUESTION_MIC2_51&gt;</w:t>
      </w:r>
    </w:p>
    <w:p w14:paraId="106A174D" w14:textId="77777777" w:rsidR="00FA64BE" w:rsidRDefault="00FA64BE" w:rsidP="00FA64BE">
      <w:permStart w:id="1884648141" w:edGrp="everyone"/>
      <w:r>
        <w:t>TYPE YOUR TEXT HERE</w:t>
      </w:r>
    </w:p>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77777777" w:rsidR="00FA64BE" w:rsidRDefault="00FA64BE" w:rsidP="00FA64BE">
      <w:permStart w:id="727980254" w:edGrp="everyone"/>
      <w:r>
        <w:t>TYPE YOUR TEXT HERE</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lastRenderedPageBreak/>
        <w:t>&lt;ESMA_QUESTION_MIC2_57&gt;</w:t>
      </w:r>
    </w:p>
    <w:p w14:paraId="25DB9551" w14:textId="4DF360C7" w:rsidR="00FA64BE" w:rsidRDefault="00006D9A" w:rsidP="00FA64BE">
      <w:permStart w:id="1961385165" w:edGrp="everyone"/>
      <w:r>
        <w:rPr>
          <w:rFonts w:ascii="Liberation Serif" w:hAnsi="Liberation Serif" w:cs="Liberation Serif"/>
          <w:color w:val="000000"/>
        </w:rPr>
        <w:t>Yes, we agree with the overall results.</w:t>
      </w:r>
      <w:r>
        <w:rPr>
          <w:rFonts w:ascii="Liberation Serif" w:hAnsi="Liberation Serif" w:cs="Liberation Serif"/>
          <w:color w:val="000000"/>
        </w:rPr>
        <w:br/>
        <w:t xml:space="preserve">What makes iXBRL unique and very useful is the fact that an agreement has already been reached on how to make the XHTML document machine readable. Many tools exist that are already capable of extracting the information from the raw XHTML file. For a list of these tools, see for instance </w:t>
      </w:r>
      <w:hyperlink r:id="rId20" w:history="1">
        <w:r>
          <w:rPr>
            <w:rStyle w:val="Lienhypertexte"/>
            <w:rFonts w:ascii="Liberation Serif" w:eastAsiaTheme="majorEastAsia" w:hAnsi="Liberation Serif" w:cs="Liberation Serif"/>
            <w:color w:val="1155CC"/>
          </w:rPr>
          <w:t>https://www.xbrl.org/the-standard/how/tools-and-services/</w:t>
        </w:r>
      </w:hyperlink>
      <w:r>
        <w:rPr>
          <w:rFonts w:ascii="Liberation Serif" w:hAnsi="Liberation Serif" w:cs="Liberation Serif"/>
          <w:color w:val="000000"/>
        </w:rPr>
        <w:t>.</w:t>
      </w:r>
      <w:r>
        <w:rPr>
          <w:rFonts w:ascii="Liberation Serif" w:hAnsi="Liberation Serif" w:cs="Liberation Serif"/>
          <w:color w:val="000000"/>
        </w:rPr>
        <w:br/>
        <w:t xml:space="preserve">iXBRL is not only machine-readable, it also ensures that the characters read and interpreted by a human are interpreted in the same way by a machine. For instance, the string ‘5 March 2020’ must be correctly interpreted as a date by the machine thanks to the appropriate metadata. This is for instance done in iXBRL by a registry of commonly used transformations defined in </w:t>
      </w:r>
      <w:hyperlink r:id="rId21" w:history="1">
        <w:r w:rsidRPr="000928E0">
          <w:rPr>
            <w:rStyle w:val="Lienhypertexte"/>
            <w:rFonts w:ascii="Liberation Serif" w:hAnsi="Liberation Serif" w:cs="Liberation Serif"/>
          </w:rPr>
          <w:t>https://www.xbrl.org/Specification/inlineXBRL-transformationRegistry/REC-2022-02-16/inlineXBRL-transformationRegistry-REC-2022-02-16.html</w:t>
        </w:r>
      </w:hyperlink>
      <w:r>
        <w:rPr>
          <w:rFonts w:ascii="Liberation Serif" w:hAnsi="Liberation Serif" w:cs="Liberation Serif"/>
          <w:color w:val="000000"/>
        </w:rPr>
        <w:t>.</w:t>
      </w:r>
      <w:r>
        <w:rPr>
          <w:rFonts w:ascii="Liberation Serif" w:hAnsi="Liberation Serif" w:cs="Liberation Serif"/>
          <w:color w:val="000000"/>
        </w:rPr>
        <w:br/>
        <w:t xml:space="preserve">Thanks to this standardisation, it becomes easy not only to compare </w:t>
      </w:r>
      <w:proofErr w:type="spellStart"/>
      <w:r>
        <w:rPr>
          <w:rFonts w:ascii="Liberation Serif" w:hAnsi="Liberation Serif" w:cs="Liberation Serif"/>
          <w:color w:val="000000"/>
        </w:rPr>
        <w:t>MiCA</w:t>
      </w:r>
      <w:proofErr w:type="spellEnd"/>
      <w:r>
        <w:rPr>
          <w:rFonts w:ascii="Liberation Serif" w:hAnsi="Liberation Serif" w:cs="Liberation Serif"/>
          <w:color w:val="000000"/>
        </w:rPr>
        <w:t xml:space="preserve"> white papers among themselves, but also to other sources of information using the same iXBRL conventions (e. g. company filings for ESEF or SEC).</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48B98267" w14:textId="77777777" w:rsidR="00006D9A" w:rsidRPr="00006D9A" w:rsidRDefault="00006D9A" w:rsidP="00006D9A">
      <w:pPr>
        <w:pStyle w:val="NormalWeb"/>
        <w:spacing w:before="0" w:beforeAutospacing="0" w:after="140" w:afterAutospacing="0"/>
        <w:rPr>
          <w:lang w:eastAsia="fr-LU"/>
        </w:rPr>
      </w:pPr>
      <w:permStart w:id="700199222" w:edGrp="everyone"/>
      <w:r>
        <w:rPr>
          <w:rFonts w:ascii="Liberation Serif" w:hAnsi="Liberation Serif" w:cs="Liberation Serif"/>
          <w:color w:val="000000"/>
        </w:rPr>
        <w:t>Making it a stand-alone document eases the archiving and preservation of the document over time. According to the presented draft RTS, a fixed XBRL taxonomy is capable of accurately implementing all the tables defined in the draft ITS on standard forms and templates for the crypto-asset white paper, section 9.2.8.</w:t>
      </w:r>
    </w:p>
    <w:p w14:paraId="0FCC7A6B" w14:textId="77777777" w:rsidR="00006D9A" w:rsidRDefault="00006D9A" w:rsidP="00006D9A">
      <w:pPr>
        <w:pStyle w:val="NormalWeb"/>
        <w:spacing w:before="0" w:beforeAutospacing="0" w:after="140" w:afterAutospacing="0"/>
      </w:pPr>
      <w:r>
        <w:rPr>
          <w:rFonts w:ascii="Liberation Serif" w:hAnsi="Liberation Serif" w:cs="Liberation Serif"/>
          <w:color w:val="000000"/>
        </w:rPr>
        <w:t xml:space="preserve">However, Acsone does believe that some minimal filing rules are required to keep minimal requirements on the </w:t>
      </w:r>
      <w:proofErr w:type="spellStart"/>
      <w:r>
        <w:rPr>
          <w:rFonts w:ascii="Liberation Serif" w:hAnsi="Liberation Serif" w:cs="Liberation Serif"/>
          <w:color w:val="000000"/>
        </w:rPr>
        <w:t>MiCA</w:t>
      </w:r>
      <w:proofErr w:type="spellEnd"/>
      <w:r>
        <w:rPr>
          <w:rFonts w:ascii="Liberation Serif" w:hAnsi="Liberation Serif" w:cs="Liberation Serif"/>
          <w:color w:val="000000"/>
        </w:rPr>
        <w:t xml:space="preserve"> white papers. For archiving purposes, it is important to specify which image file formats can be used within stand-alone documents. Standard file formats that are well-defined and safe to use are PNG, JPEG and to a lesser extent TIFF file formats. Vendor-specific file formats must not be used. For custom fonts, embedded TTF, OTF or WOFF are widely usable. For vector graphics formats, SVG and EPS are generally readable, but EPS is more dangerous because it could include malign executable code that is difficult to detect.</w:t>
      </w:r>
      <w:r>
        <w:rPr>
          <w:rFonts w:ascii="Liberation Serif" w:hAnsi="Liberation Serif" w:cs="Liberation Serif"/>
          <w:color w:val="000000"/>
        </w:rPr>
        <w:br/>
        <w:t>Generally speaking, stand-alone XHTML files may contain executable code written in JavaScript. It is mostly used to enhance the navigation within the document.</w:t>
      </w:r>
      <w:r>
        <w:rPr>
          <w:rFonts w:ascii="Liberation Serif" w:hAnsi="Liberation Serif" w:cs="Liberation Serif"/>
          <w:color w:val="000000"/>
        </w:rPr>
        <w:br/>
        <w:t xml:space="preserve">The problem is that the presentation may not be accurate and stable without the executable </w:t>
      </w:r>
      <w:proofErr w:type="gramStart"/>
      <w:r>
        <w:rPr>
          <w:rFonts w:ascii="Liberation Serif" w:hAnsi="Liberation Serif" w:cs="Liberation Serif"/>
          <w:color w:val="000000"/>
        </w:rPr>
        <w:t>code</w:t>
      </w:r>
      <w:proofErr w:type="gramEnd"/>
      <w:r>
        <w:rPr>
          <w:rFonts w:ascii="Liberation Serif" w:hAnsi="Liberation Serif" w:cs="Liberation Serif"/>
          <w:color w:val="000000"/>
        </w:rPr>
        <w:t xml:space="preserve"> and this is harmful for the long-time archival of the document.</w:t>
      </w:r>
      <w:r>
        <w:rPr>
          <w:rFonts w:ascii="Liberation Serif" w:hAnsi="Liberation Serif" w:cs="Liberation Serif"/>
          <w:color w:val="000000"/>
        </w:rPr>
        <w:br/>
        <w:t>Besides, executable code might leak information that the end user is not aware of or it could make it could more easily become a victim of phishing. For these reasons, Acsone strongly discourages using executable code inside XHTML files aimed at being archived.</w:t>
      </w:r>
    </w:p>
    <w:p w14:paraId="32811BE9" w14:textId="77777777" w:rsidR="00006D9A" w:rsidRDefault="00006D9A" w:rsidP="00006D9A">
      <w:pPr>
        <w:pStyle w:val="NormalWeb"/>
        <w:spacing w:before="0" w:beforeAutospacing="0" w:after="140" w:afterAutospacing="0"/>
      </w:pPr>
      <w:r>
        <w:rPr>
          <w:rFonts w:ascii="Liberation Serif" w:hAnsi="Liberation Serif" w:cs="Liberation Serif"/>
          <w:color w:val="000000"/>
        </w:rPr>
        <w:t>The ESMA should also take a decision on the usage of an inline XBRL construct that is machine-readable, but that is not visible to a human reader: ‘</w:t>
      </w:r>
      <w:proofErr w:type="spellStart"/>
      <w:proofErr w:type="gramStart"/>
      <w:r>
        <w:rPr>
          <w:rFonts w:ascii="Roboto Mono" w:hAnsi="Roboto Mono"/>
          <w:color w:val="188038"/>
        </w:rPr>
        <w:t>ix:hidden</w:t>
      </w:r>
      <w:proofErr w:type="spellEnd"/>
      <w:proofErr w:type="gramEnd"/>
      <w:r>
        <w:rPr>
          <w:rFonts w:ascii="Liberation Serif" w:hAnsi="Liberation Serif" w:cs="Liberation Serif"/>
          <w:color w:val="000000"/>
        </w:rPr>
        <w:t xml:space="preserve">’. This element makes it possible to embed facts in an XHTML document that remain invisible to the human readers. In a </w:t>
      </w:r>
      <w:proofErr w:type="spellStart"/>
      <w:r>
        <w:rPr>
          <w:rFonts w:ascii="Liberation Serif" w:hAnsi="Liberation Serif" w:cs="Liberation Serif"/>
          <w:color w:val="000000"/>
        </w:rPr>
        <w:t>MiCA</w:t>
      </w:r>
      <w:proofErr w:type="spellEnd"/>
      <w:r>
        <w:rPr>
          <w:rFonts w:ascii="Liberation Serif" w:hAnsi="Liberation Serif" w:cs="Liberation Serif"/>
          <w:color w:val="000000"/>
        </w:rPr>
        <w:t xml:space="preserve"> white </w:t>
      </w:r>
      <w:proofErr w:type="gramStart"/>
      <w:r>
        <w:rPr>
          <w:rFonts w:ascii="Liberation Serif" w:hAnsi="Liberation Serif" w:cs="Liberation Serif"/>
          <w:color w:val="000000"/>
        </w:rPr>
        <w:t>paper</w:t>
      </w:r>
      <w:proofErr w:type="gramEnd"/>
      <w:r>
        <w:rPr>
          <w:rFonts w:ascii="Liberation Serif" w:hAnsi="Liberation Serif" w:cs="Liberation Serif"/>
          <w:color w:val="000000"/>
        </w:rPr>
        <w:t xml:space="preserve"> the goal is to make the human-readable text as accurate as </w:t>
      </w:r>
      <w:r>
        <w:rPr>
          <w:rFonts w:ascii="Liberation Serif" w:hAnsi="Liberation Serif" w:cs="Liberation Serif"/>
          <w:color w:val="000000"/>
        </w:rPr>
        <w:lastRenderedPageBreak/>
        <w:t>possible with the machine readable text. For instance, a human reader could miss the fact that an asset has a subscription fee because it is inside an ‘</w:t>
      </w:r>
      <w:proofErr w:type="spellStart"/>
      <w:proofErr w:type="gramStart"/>
      <w:r>
        <w:rPr>
          <w:rFonts w:ascii="Roboto Mono" w:hAnsi="Roboto Mono"/>
          <w:color w:val="188038"/>
        </w:rPr>
        <w:t>ix:hidden</w:t>
      </w:r>
      <w:proofErr w:type="spellEnd"/>
      <w:proofErr w:type="gramEnd"/>
      <w:r>
        <w:rPr>
          <w:rFonts w:ascii="Liberation Serif" w:hAnsi="Liberation Serif" w:cs="Liberation Serif"/>
          <w:color w:val="000000"/>
        </w:rPr>
        <w:t>’</w:t>
      </w:r>
      <w:r>
        <w:rPr>
          <w:rFonts w:ascii="Roboto Mono" w:hAnsi="Roboto Mono"/>
          <w:color w:val="188038"/>
        </w:rPr>
        <w:t xml:space="preserve"> </w:t>
      </w:r>
      <w:r>
        <w:rPr>
          <w:rFonts w:ascii="Liberation Serif" w:hAnsi="Liberation Serif" w:cs="Liberation Serif"/>
          <w:color w:val="000000"/>
        </w:rPr>
        <w:t>element.</w:t>
      </w:r>
    </w:p>
    <w:p w14:paraId="1E188699" w14:textId="77777777" w:rsidR="00006D9A" w:rsidRDefault="00006D9A" w:rsidP="00006D9A">
      <w:pPr>
        <w:pStyle w:val="NormalWeb"/>
        <w:spacing w:before="0" w:beforeAutospacing="0" w:after="140" w:afterAutospacing="0"/>
      </w:pPr>
      <w:r>
        <w:rPr>
          <w:rFonts w:ascii="Liberation Serif" w:hAnsi="Liberation Serif" w:cs="Liberation Serif"/>
          <w:color w:val="000000"/>
        </w:rPr>
        <w:t>For the same reason, the ESMA must state that the CSS styles must not hide any relevant information. Again, a subscription fee might be written in white on a white background. It is not readable for a human (except perhaps for blind people using the appropriate screen reader).</w:t>
      </w:r>
    </w:p>
    <w:p w14:paraId="2DF063F7" w14:textId="77777777" w:rsidR="00006D9A" w:rsidRDefault="00006D9A" w:rsidP="00006D9A">
      <w:pPr>
        <w:pStyle w:val="NormalWeb"/>
        <w:spacing w:before="0" w:beforeAutospacing="0" w:after="140" w:afterAutospacing="0"/>
      </w:pPr>
      <w:r>
        <w:rPr>
          <w:rFonts w:ascii="Liberation Serif" w:hAnsi="Liberation Serif" w:cs="Liberation Serif"/>
          <w:color w:val="000000"/>
        </w:rPr>
        <w:t xml:space="preserve">Finally, the ESMA should also decide if it accepts other XML mark-up to be present in the stand-alone iXBRL files. For instance, could MathML or SVG be used in an iXBRL document directly? It could be useful to display formulas, respectively graphical embellishments related to the corporate identity of a company. </w:t>
      </w:r>
      <w:proofErr w:type="gramStart"/>
      <w:r>
        <w:rPr>
          <w:rFonts w:ascii="Liberation Serif" w:hAnsi="Liberation Serif" w:cs="Liberation Serif"/>
          <w:color w:val="000000"/>
        </w:rPr>
        <w:t>For the purpose of</w:t>
      </w:r>
      <w:proofErr w:type="gramEnd"/>
      <w:r>
        <w:rPr>
          <w:rFonts w:ascii="Liberation Serif" w:hAnsi="Liberation Serif" w:cs="Liberation Serif"/>
          <w:color w:val="000000"/>
        </w:rPr>
        <w:t xml:space="preserve"> long-term archiving and for the safety of a document, Acsone recommends forbidding any form of supplemental XML mark-up.</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lastRenderedPageBreak/>
        <w:t>&lt;ESMA_QUESTION_MIC2_62&gt;</w:t>
      </w:r>
    </w:p>
    <w:p w14:paraId="043D8B81" w14:textId="77777777" w:rsidR="00006D9A" w:rsidRDefault="00006D9A" w:rsidP="00FA64BE">
      <w:pPr>
        <w:rPr>
          <w:rFonts w:ascii="Liberation Serif" w:hAnsi="Liberation Serif" w:cs="Liberation Serif"/>
          <w:color w:val="000000"/>
        </w:rPr>
      </w:pPr>
      <w:permStart w:id="1645111618" w:edGrp="everyone"/>
      <w:r>
        <w:rPr>
          <w:rFonts w:ascii="Liberation Serif" w:hAnsi="Liberation Serif" w:cs="Liberation Serif"/>
          <w:color w:val="000000"/>
        </w:rPr>
        <w:t xml:space="preserve">Yes, we agree. Based on an analysis of the currently available information, the main cost centres are the auditing, the </w:t>
      </w:r>
      <w:proofErr w:type="gramStart"/>
      <w:r>
        <w:rPr>
          <w:rFonts w:ascii="Liberation Serif" w:hAnsi="Liberation Serif" w:cs="Liberation Serif"/>
          <w:color w:val="000000"/>
        </w:rPr>
        <w:t>mark-up</w:t>
      </w:r>
      <w:proofErr w:type="gramEnd"/>
      <w:r>
        <w:rPr>
          <w:rFonts w:ascii="Liberation Serif" w:hAnsi="Liberation Serif" w:cs="Liberation Serif"/>
          <w:color w:val="000000"/>
        </w:rPr>
        <w:t xml:space="preserve"> and the related software licences.</w:t>
      </w:r>
      <w:r>
        <w:rPr>
          <w:rFonts w:ascii="Liberation Serif" w:hAnsi="Liberation Serif" w:cs="Liberation Serif"/>
          <w:color w:val="000000"/>
        </w:rPr>
        <w:br/>
        <w:t xml:space="preserve">Paragraph 239 refers to an ESEF study. The problem with this study is that it </w:t>
      </w:r>
      <w:proofErr w:type="gramStart"/>
      <w:r>
        <w:rPr>
          <w:rFonts w:ascii="Liberation Serif" w:hAnsi="Liberation Serif" w:cs="Liberation Serif"/>
          <w:color w:val="000000"/>
        </w:rPr>
        <w:t>dates back to</w:t>
      </w:r>
      <w:proofErr w:type="gramEnd"/>
      <w:r>
        <w:rPr>
          <w:rFonts w:ascii="Liberation Serif" w:hAnsi="Liberation Serif" w:cs="Liberation Serif"/>
          <w:color w:val="000000"/>
        </w:rPr>
        <w:t xml:space="preserve"> 2016, a time where only primary financial statements needed to be marked up and not the full list of concepts mentioned in the ESEF RTS. From our own experience between </w:t>
      </w:r>
      <w:proofErr w:type="gramStart"/>
      <w:r>
        <w:rPr>
          <w:rFonts w:ascii="Liberation Serif" w:hAnsi="Liberation Serif" w:cs="Liberation Serif"/>
          <w:color w:val="000000"/>
        </w:rPr>
        <w:t>18 and 34 man</w:t>
      </w:r>
      <w:proofErr w:type="gramEnd"/>
      <w:r>
        <w:rPr>
          <w:rFonts w:ascii="Liberation Serif" w:hAnsi="Liberation Serif" w:cs="Liberation Serif"/>
          <w:color w:val="000000"/>
        </w:rPr>
        <w:t xml:space="preserve"> days might be required to build the final ESEF report if a company starts without taxonomy extension. With an already existing taxonomy, between 9 and 25 days might be required to deliver the final ESEF report.</w:t>
      </w:r>
      <w:r>
        <w:rPr>
          <w:rFonts w:ascii="Liberation Serif" w:hAnsi="Liberation Serif" w:cs="Liberation Serif"/>
          <w:color w:val="000000"/>
        </w:rPr>
        <w:br/>
        <w:t xml:space="preserve">Moreover, the cost calculations are based on an average daily salary in the EU of 240.00 EUR. In most EU countries, it is quite a challenge to find </w:t>
      </w:r>
      <w:proofErr w:type="spellStart"/>
      <w:r>
        <w:rPr>
          <w:rFonts w:ascii="Liberation Serif" w:hAnsi="Liberation Serif" w:cs="Liberation Serif"/>
          <w:color w:val="000000"/>
        </w:rPr>
        <w:t>XBRl</w:t>
      </w:r>
      <w:proofErr w:type="spellEnd"/>
      <w:r>
        <w:rPr>
          <w:rFonts w:ascii="Liberation Serif" w:hAnsi="Liberation Serif" w:cs="Liberation Serif"/>
          <w:color w:val="000000"/>
        </w:rPr>
        <w:t xml:space="preserve"> specialists at that rate unless you have them available in-house.</w:t>
      </w:r>
      <w:r>
        <w:rPr>
          <w:rFonts w:ascii="Liberation Serif" w:hAnsi="Liberation Serif" w:cs="Liberation Serif"/>
          <w:color w:val="000000"/>
        </w:rPr>
        <w:br/>
        <w:t xml:space="preserve">Nevertheless, the </w:t>
      </w:r>
      <w:proofErr w:type="spellStart"/>
      <w:r>
        <w:rPr>
          <w:rFonts w:ascii="Liberation Serif" w:hAnsi="Liberation Serif" w:cs="Liberation Serif"/>
          <w:color w:val="000000"/>
        </w:rPr>
        <w:t>MiCA</w:t>
      </w:r>
      <w:proofErr w:type="spellEnd"/>
      <w:r>
        <w:rPr>
          <w:rFonts w:ascii="Liberation Serif" w:hAnsi="Liberation Serif" w:cs="Liberation Serif"/>
          <w:color w:val="000000"/>
        </w:rPr>
        <w:t xml:space="preserve"> tagging is simpler than the ESEF tagging and there is no need to design a taxonomy extension.</w:t>
      </w:r>
      <w:r>
        <w:rPr>
          <w:rFonts w:ascii="Liberation Serif" w:hAnsi="Liberation Serif" w:cs="Liberation Serif"/>
          <w:color w:val="000000"/>
        </w:rPr>
        <w:br/>
        <w:t>In view of these factors, the range defined by the applicant is realistic.</w:t>
      </w:r>
    </w:p>
    <w:permEnd w:id="1645111618"/>
    <w:p w14:paraId="46D9A903" w14:textId="133F7378"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4FC1DD9" w14:textId="77777777" w:rsidR="00006D9A" w:rsidRPr="00006D9A" w:rsidRDefault="00006D9A">
      <w:pPr>
        <w:pStyle w:val="NormalWeb"/>
        <w:spacing w:before="0" w:beforeAutospacing="0" w:after="140" w:afterAutospacing="0"/>
        <w:divId w:val="1203057652"/>
        <w:rPr>
          <w:lang w:eastAsia="fr-LU"/>
        </w:rPr>
      </w:pPr>
      <w:permStart w:id="2049062037" w:edGrp="everyone"/>
      <w:r>
        <w:rPr>
          <w:rFonts w:ascii="Liberation Serif" w:hAnsi="Liberation Serif" w:cs="Liberation Serif"/>
          <w:color w:val="000000"/>
        </w:rPr>
        <w:t xml:space="preserve">What follows refers to </w:t>
      </w:r>
      <w:proofErr w:type="gramStart"/>
      <w:r>
        <w:rPr>
          <w:rFonts w:ascii="Liberation Serif" w:hAnsi="Liberation Serif" w:cs="Liberation Serif"/>
          <w:color w:val="000000"/>
        </w:rPr>
        <w:t>the  raft</w:t>
      </w:r>
      <w:proofErr w:type="gramEnd"/>
      <w:r>
        <w:rPr>
          <w:rFonts w:ascii="Liberation Serif" w:hAnsi="Liberation Serif" w:cs="Liberation Serif"/>
          <w:color w:val="000000"/>
        </w:rPr>
        <w:t xml:space="preserve"> ITS on standard forms and templates for the crypto-asset white paper, section 9.2.8.</w:t>
      </w:r>
    </w:p>
    <w:p w14:paraId="4711DC95" w14:textId="77777777" w:rsidR="00006D9A" w:rsidRDefault="00006D9A">
      <w:pPr>
        <w:pStyle w:val="NormalWeb"/>
        <w:spacing w:before="0" w:beforeAutospacing="0" w:after="140" w:afterAutospacing="0"/>
        <w:divId w:val="1203057652"/>
      </w:pPr>
      <w:r>
        <w:rPr>
          <w:rFonts w:ascii="Liberation Serif" w:hAnsi="Liberation Serif" w:cs="Liberation Serif"/>
          <w:color w:val="000000"/>
        </w:rPr>
        <w:t>In Annex II, Table 1, the definition for ‘</w:t>
      </w:r>
      <w:r>
        <w:rPr>
          <w:rFonts w:ascii="Liberation Serif" w:hAnsi="Liberation Serif" w:cs="Liberation Serif"/>
          <w:i/>
          <w:iCs/>
          <w:color w:val="000000"/>
        </w:rPr>
        <w:t>{NATIONAL_ID}</w:t>
      </w:r>
      <w:r>
        <w:rPr>
          <w:rFonts w:ascii="Liberation Serif" w:hAnsi="Liberation Serif" w:cs="Liberation Serif"/>
          <w:color w:val="000000"/>
        </w:rPr>
        <w:t>’ is ‘</w:t>
      </w:r>
      <w:r>
        <w:rPr>
          <w:rFonts w:ascii="Liberation Serif" w:hAnsi="Liberation Serif" w:cs="Liberation Serif"/>
          <w:i/>
          <w:iCs/>
          <w:color w:val="000000"/>
        </w:rPr>
        <w:t>The identifier is derived in accordance with Article 6 and the Table of Annex II.</w:t>
      </w:r>
      <w:r>
        <w:rPr>
          <w:rFonts w:ascii="Liberation Serif" w:hAnsi="Liberation Serif" w:cs="Liberation Serif"/>
          <w:color w:val="000000"/>
        </w:rPr>
        <w:t>’. There is no Article 6 in the draft RTS and there are multiple tables in Annex II. It is not used and can be removed.</w:t>
      </w:r>
    </w:p>
    <w:p w14:paraId="1348164D" w14:textId="77777777" w:rsidR="00006D9A" w:rsidRDefault="00006D9A">
      <w:pPr>
        <w:pStyle w:val="NormalWeb"/>
        <w:spacing w:before="0" w:beforeAutospacing="0" w:after="140" w:afterAutospacing="0"/>
        <w:divId w:val="1203057652"/>
      </w:pPr>
      <w:r>
        <w:rPr>
          <w:rFonts w:ascii="Liberation Serif" w:hAnsi="Liberation Serif" w:cs="Liberation Serif"/>
          <w:color w:val="000000"/>
        </w:rPr>
        <w:t>At several places in the Table 2 to Table 4, the format and standard to be used is set to ‘</w:t>
      </w:r>
      <w:r>
        <w:rPr>
          <w:rFonts w:ascii="Liberation Serif" w:hAnsi="Liberation Serif" w:cs="Liberation Serif"/>
          <w:i/>
          <w:iCs/>
          <w:color w:val="000000"/>
        </w:rPr>
        <w:t>Predefined alphanumerical text</w:t>
      </w:r>
      <w:r>
        <w:rPr>
          <w:rFonts w:ascii="Liberation Serif" w:hAnsi="Liberation Serif" w:cs="Liberation Serif"/>
          <w:color w:val="000000"/>
        </w:rPr>
        <w:t xml:space="preserve">’. This requirement is not easy to translate to inline XBRL. The most accurate representation is to define it as an XBRL concept of type </w:t>
      </w:r>
      <w:proofErr w:type="spellStart"/>
      <w:proofErr w:type="gramStart"/>
      <w:r>
        <w:rPr>
          <w:rFonts w:ascii="Liberation Mono" w:hAnsi="Liberation Mono" w:cs="Liberation Mono"/>
          <w:color w:val="000000"/>
          <w:sz w:val="21"/>
          <w:szCs w:val="21"/>
        </w:rPr>
        <w:t>xbrli:stringItemType</w:t>
      </w:r>
      <w:proofErr w:type="spellEnd"/>
      <w:proofErr w:type="gramEnd"/>
      <w:r>
        <w:rPr>
          <w:rFonts w:ascii="Liberation Serif" w:hAnsi="Liberation Serif" w:cs="Liberation Serif"/>
          <w:color w:val="000000"/>
        </w:rPr>
        <w:t xml:space="preserve"> and to check its content using a custom formula in the taxonomy. In our </w:t>
      </w:r>
      <w:r>
        <w:rPr>
          <w:rFonts w:ascii="Liberation Serif" w:hAnsi="Liberation Serif" w:cs="Liberation Serif"/>
          <w:color w:val="000000"/>
        </w:rPr>
        <w:lastRenderedPageBreak/>
        <w:t>opinion, this is the simplest way to ensure that the predefined message is viewable by a human reader even if it is always possible to fool her/him.</w:t>
      </w:r>
    </w:p>
    <w:p w14:paraId="280861DD" w14:textId="77777777" w:rsidR="00006D9A" w:rsidRDefault="00006D9A" w:rsidP="00FA64BE">
      <w:pPr>
        <w:rPr>
          <w:rFonts w:ascii="Liberation Serif" w:hAnsi="Liberation Serif" w:cs="Liberation Serif"/>
          <w:i/>
          <w:iCs/>
          <w:color w:val="000000"/>
        </w:rPr>
      </w:pPr>
      <w:r>
        <w:rPr>
          <w:rFonts w:ascii="Liberation Serif" w:hAnsi="Liberation Serif" w:cs="Liberation Serif"/>
          <w:color w:val="000000"/>
        </w:rPr>
        <w:t>In Table 2, for field I.05, it is stated that the format and standard to be used is “</w:t>
      </w:r>
      <w:r>
        <w:rPr>
          <w:rFonts w:ascii="Liberation Serif" w:hAnsi="Liberation Serif" w:cs="Liberation Serif"/>
          <w:i/>
          <w:iCs/>
          <w:color w:val="000000"/>
        </w:rPr>
        <w:t xml:space="preserve">‘true’ – </w:t>
      </w:r>
      <w:proofErr w:type="gramStart"/>
      <w:r>
        <w:rPr>
          <w:rFonts w:ascii="Liberation Serif" w:hAnsi="Liberation Serif" w:cs="Liberation Serif"/>
          <w:i/>
          <w:iCs/>
          <w:color w:val="000000"/>
        </w:rPr>
        <w:t>Yes</w:t>
      </w:r>
      <w:proofErr w:type="gramEnd"/>
    </w:p>
    <w:p w14:paraId="3CB3528B" w14:textId="77777777" w:rsidR="00006D9A" w:rsidRPr="00006D9A" w:rsidRDefault="00006D9A" w:rsidP="00006D9A">
      <w:pPr>
        <w:pStyle w:val="NormalWeb"/>
        <w:spacing w:before="0" w:beforeAutospacing="0" w:after="140" w:afterAutospacing="0"/>
        <w:rPr>
          <w:lang w:eastAsia="fr-LU"/>
        </w:rPr>
      </w:pPr>
      <w:r>
        <w:rPr>
          <w:rFonts w:ascii="Liberation Serif" w:hAnsi="Liberation Serif" w:cs="Liberation Serif"/>
          <w:i/>
          <w:iCs/>
          <w:color w:val="000000"/>
        </w:rPr>
        <w:t>‘false’ – No</w:t>
      </w:r>
    </w:p>
    <w:p w14:paraId="3E73D6DB" w14:textId="77777777" w:rsidR="00006D9A" w:rsidRDefault="00006D9A" w:rsidP="00006D9A">
      <w:pPr>
        <w:rPr>
          <w:rFonts w:ascii="Liberation Serif" w:hAnsi="Liberation Serif" w:cs="Liberation Serif"/>
          <w:color w:val="000000"/>
        </w:rPr>
      </w:pPr>
      <w:r>
        <w:rPr>
          <w:rFonts w:ascii="Liberation Serif" w:hAnsi="Liberation Serif" w:cs="Liberation Serif"/>
          <w:i/>
          <w:iCs/>
          <w:color w:val="000000"/>
        </w:rPr>
        <w:t>If Yes, Predefined alphanumerical text</w:t>
      </w:r>
      <w:r>
        <w:rPr>
          <w:rFonts w:ascii="Liberation Serif" w:hAnsi="Liberation Serif" w:cs="Liberation Serif"/>
          <w:color w:val="000000"/>
        </w:rPr>
        <w:t>”.</w:t>
      </w:r>
    </w:p>
    <w:p w14:paraId="4A80E166" w14:textId="239C4E48" w:rsidR="00006D9A" w:rsidRDefault="00006D9A" w:rsidP="00006D9A">
      <w:pPr>
        <w:rPr>
          <w:rFonts w:ascii="Liberation Serif" w:hAnsi="Liberation Serif" w:cs="Liberation Serif"/>
          <w:i/>
          <w:iCs/>
          <w:color w:val="000000"/>
        </w:rPr>
      </w:pPr>
      <w:r>
        <w:rPr>
          <w:rFonts w:ascii="Liberation Serif" w:hAnsi="Liberation Serif" w:cs="Liberation Serif"/>
          <w:color w:val="000000"/>
        </w:rPr>
        <w:t xml:space="preserve">The </w:t>
      </w:r>
      <w:proofErr w:type="spellStart"/>
      <w:r>
        <w:rPr>
          <w:rFonts w:ascii="Liberation Serif" w:hAnsi="Liberation Serif" w:cs="Liberation Serif"/>
          <w:color w:val="000000"/>
        </w:rPr>
        <w:t>boolean</w:t>
      </w:r>
      <w:proofErr w:type="spellEnd"/>
      <w:r>
        <w:rPr>
          <w:rFonts w:ascii="Liberation Serif" w:hAnsi="Liberation Serif" w:cs="Liberation Serif"/>
          <w:color w:val="000000"/>
        </w:rPr>
        <w:t xml:space="preserve"> value is useless because the only way to generate it is by using the </w:t>
      </w:r>
      <w:proofErr w:type="spellStart"/>
      <w:proofErr w:type="gramStart"/>
      <w:r>
        <w:rPr>
          <w:rFonts w:ascii="Liberation Mono" w:hAnsi="Liberation Mono" w:cs="Liberation Mono"/>
          <w:color w:val="000000"/>
          <w:sz w:val="21"/>
          <w:szCs w:val="21"/>
        </w:rPr>
        <w:t>ixt:fixedTrueType</w:t>
      </w:r>
      <w:proofErr w:type="spellEnd"/>
      <w:proofErr w:type="gramEnd"/>
      <w:r>
        <w:rPr>
          <w:rFonts w:ascii="Liberation Serif" w:hAnsi="Liberation Serif" w:cs="Liberation Serif"/>
          <w:color w:val="000000"/>
        </w:rPr>
        <w:t xml:space="preserve"> or </w:t>
      </w:r>
      <w:proofErr w:type="spellStart"/>
      <w:r>
        <w:rPr>
          <w:rFonts w:ascii="Liberation Mono" w:hAnsi="Liberation Mono" w:cs="Liberation Mono"/>
          <w:color w:val="000000"/>
          <w:sz w:val="21"/>
          <w:szCs w:val="21"/>
        </w:rPr>
        <w:t>ixt:fixedFalseType</w:t>
      </w:r>
      <w:proofErr w:type="spellEnd"/>
      <w:r>
        <w:rPr>
          <w:rFonts w:ascii="Liberation Serif" w:hAnsi="Liberation Serif" w:cs="Liberation Serif"/>
          <w:color w:val="000000"/>
        </w:rPr>
        <w:t xml:space="preserve"> transformation. However, there is no way in inline XBRL to ensure that what the human reader sees is </w:t>
      </w:r>
      <w:proofErr w:type="gramStart"/>
      <w:r>
        <w:rPr>
          <w:rFonts w:ascii="Liberation Serif" w:hAnsi="Liberation Serif" w:cs="Liberation Serif"/>
          <w:color w:val="000000"/>
        </w:rPr>
        <w:t>actually ‘true’</w:t>
      </w:r>
      <w:proofErr w:type="gramEnd"/>
      <w:r>
        <w:rPr>
          <w:rFonts w:ascii="Liberation Serif" w:hAnsi="Liberation Serif" w:cs="Liberation Serif"/>
          <w:color w:val="000000"/>
        </w:rPr>
        <w:t xml:space="preserve"> or ‘false’. Thus, this format is not safer than ‘</w:t>
      </w:r>
      <w:r>
        <w:rPr>
          <w:rFonts w:ascii="Liberation Serif" w:hAnsi="Liberation Serif" w:cs="Liberation Serif"/>
          <w:i/>
          <w:iCs/>
          <w:color w:val="000000"/>
        </w:rPr>
        <w:t xml:space="preserve">Predefined alphanumerical text’ </w:t>
      </w:r>
      <w:r>
        <w:rPr>
          <w:rFonts w:ascii="Liberation Serif" w:hAnsi="Liberation Serif" w:cs="Liberation Serif"/>
          <w:color w:val="000000"/>
        </w:rPr>
        <w:t>to which it can be simplified.</w:t>
      </w:r>
    </w:p>
    <w:permEnd w:id="2049062037"/>
    <w:p w14:paraId="1C737931" w14:textId="77057938"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3F00FDFC" w14:textId="77777777" w:rsidR="00006D9A" w:rsidRPr="00006D9A" w:rsidRDefault="00006D9A">
      <w:pPr>
        <w:pStyle w:val="NormalWeb"/>
        <w:spacing w:before="0" w:beforeAutospacing="0" w:after="140" w:afterAutospacing="0"/>
        <w:divId w:val="538855758"/>
        <w:rPr>
          <w:lang w:eastAsia="fr-LU"/>
        </w:rPr>
      </w:pPr>
      <w:permStart w:id="1755794706" w:edGrp="everyone"/>
      <w:r>
        <w:rPr>
          <w:rFonts w:ascii="Liberation Serif" w:hAnsi="Liberation Serif" w:cs="Liberation Serif"/>
          <w:color w:val="000000"/>
        </w:rPr>
        <w:t>Yes, we would find it useful to provide such an editable template. It is usable by the preparers as a fast reference sheet to control which data remains to be collected and to validate that their final white paper contains the same data.</w:t>
      </w:r>
    </w:p>
    <w:p w14:paraId="36790579" w14:textId="241C7621" w:rsidR="00FA64BE" w:rsidRDefault="00006D9A" w:rsidP="00FA64BE">
      <w:r>
        <w:rPr>
          <w:rFonts w:ascii="Liberation Serif" w:hAnsi="Liberation Serif" w:cs="Liberation Serif"/>
          <w:color w:val="000000"/>
        </w:rPr>
        <w:t xml:space="preserve">However, it would be advisable to choose an open-source solution in line with the Open source software strategy of the Commission (see for instance </w:t>
      </w:r>
      <w:hyperlink r:id="rId22" w:history="1">
        <w:r>
          <w:rPr>
            <w:rStyle w:val="Lienhypertexte"/>
            <w:rFonts w:ascii="Liberation Serif" w:eastAsiaTheme="majorEastAsia" w:hAnsi="Liberation Serif" w:cs="Liberation Serif"/>
            <w:color w:val="000080"/>
          </w:rPr>
          <w:t>https://commission.europa.eu/about-european-commission/departments-and-executive-agencies/digital-services/open-source-software-strategy_en</w:t>
        </w:r>
      </w:hyperlink>
      <w:r>
        <w:rPr>
          <w:rFonts w:ascii="Liberation Serif" w:hAnsi="Liberation Serif" w:cs="Liberation Serif"/>
          <w:color w:val="000000"/>
        </w:rPr>
        <w:t xml:space="preserve"> )</w:t>
      </w:r>
      <w:permEnd w:id="1755794706"/>
      <w:r w:rsidR="00FA64BE">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lastRenderedPageBreak/>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lastRenderedPageBreak/>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B3875" w14:textId="77777777" w:rsidR="00DA4860" w:rsidRDefault="00DA4860" w:rsidP="007E7997">
      <w:r>
        <w:separator/>
      </w:r>
    </w:p>
  </w:endnote>
  <w:endnote w:type="continuationSeparator" w:id="0">
    <w:p w14:paraId="332922A5" w14:textId="77777777" w:rsidR="00DA4860" w:rsidRDefault="00DA4860" w:rsidP="007E7997">
      <w:r>
        <w:continuationSeparator/>
      </w:r>
    </w:p>
  </w:endnote>
  <w:endnote w:type="continuationNotice" w:id="1">
    <w:p w14:paraId="6FDE534C" w14:textId="77777777" w:rsidR="00DA4860" w:rsidRDefault="00DA4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Roboto Mono">
    <w:charset w:val="00"/>
    <w:family w:val="modern"/>
    <w:pitch w:val="fixed"/>
    <w:sig w:usb0="E00002FF" w:usb1="1000205B" w:usb2="00000020" w:usb3="00000000" w:csb0="0000019F" w:csb1="00000000"/>
  </w:font>
  <w:font w:name="Liberation Mono">
    <w:altName w:val="Cambria"/>
    <w:charset w:val="00"/>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Pieddepag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Pieddepag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Pieddepag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depag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8277" w14:textId="77777777" w:rsidR="00DA4860" w:rsidRDefault="00DA4860" w:rsidP="007E7997">
      <w:r>
        <w:separator/>
      </w:r>
    </w:p>
  </w:footnote>
  <w:footnote w:type="continuationSeparator" w:id="0">
    <w:p w14:paraId="1AB9F456" w14:textId="77777777" w:rsidR="00DA4860" w:rsidRDefault="00DA4860" w:rsidP="007E7997">
      <w:r>
        <w:continuationSeparator/>
      </w:r>
    </w:p>
  </w:footnote>
  <w:footnote w:type="continuationNotice" w:id="1">
    <w:p w14:paraId="1229E784" w14:textId="77777777" w:rsidR="00DA4860" w:rsidRDefault="00DA4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En-tte"/>
    </w:pPr>
  </w:p>
  <w:p w14:paraId="59FA3C9D" w14:textId="77777777" w:rsidR="00E36813" w:rsidRDefault="00E368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En-tte"/>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En-tt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En-tt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En-tte"/>
      <w:jc w:val="right"/>
      <w:rPr>
        <w:rFonts w:asciiTheme="minorHAnsi" w:hAnsiTheme="minorHAnsi" w:cstheme="minorHAnsi"/>
        <w:color w:val="2F5496" w:themeColor="accent5" w:themeShade="BF"/>
        <w:sz w:val="20"/>
      </w:rPr>
    </w:pPr>
  </w:p>
  <w:p w14:paraId="3E983FE8" w14:textId="71D87355" w:rsidR="00FA64BE" w:rsidRDefault="00FA64BE" w:rsidP="00FA64BE">
    <w:pPr>
      <w:pStyle w:val="En-tt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En-tt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En-tte"/>
      <w:jc w:val="right"/>
      <w:rPr>
        <w:color w:val="2F5496" w:themeColor="accent5" w:themeShade="BF"/>
        <w:sz w:val="20"/>
      </w:rPr>
    </w:pPr>
  </w:p>
  <w:p w14:paraId="5EAB6EC6" w14:textId="77777777" w:rsidR="00E36813" w:rsidRPr="00B50534" w:rsidRDefault="00E36813" w:rsidP="00B50534">
    <w:pPr>
      <w:pStyle w:val="En-tt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Paragraphedelist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06D9A"/>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46C3B"/>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1F64ED"/>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0DFC"/>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860"/>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1F93"/>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re4">
    <w:name w:val="heading 4"/>
    <w:basedOn w:val="Normal"/>
    <w:next w:val="Normal"/>
    <w:link w:val="Titre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re6">
    <w:name w:val="heading 6"/>
    <w:basedOn w:val="Normal"/>
    <w:next w:val="Normal"/>
    <w:link w:val="Titre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rsid w:val="00020300"/>
    <w:rPr>
      <w:rFonts w:asciiTheme="majorHAnsi" w:eastAsiaTheme="majorEastAsia" w:hAnsiTheme="majorHAnsi" w:cstheme="majorBidi"/>
      <w:sz w:val="24"/>
      <w:szCs w:val="22"/>
      <w:lang w:val="en-GB" w:eastAsia="en-GB"/>
    </w:rPr>
  </w:style>
  <w:style w:type="character" w:customStyle="1" w:styleId="Titre3Car">
    <w:name w:val="Titre 3 Car"/>
    <w:basedOn w:val="Policepardfaut"/>
    <w:link w:val="Titre3"/>
    <w:rsid w:val="00020300"/>
    <w:rPr>
      <w:rFonts w:asciiTheme="majorHAnsi" w:eastAsiaTheme="majorEastAsia" w:hAnsiTheme="majorHAnsi" w:cstheme="majorBidi"/>
      <w:sz w:val="24"/>
      <w:szCs w:val="24"/>
      <w:lang w:val="en-GB" w:eastAsia="en-GB"/>
    </w:rPr>
  </w:style>
  <w:style w:type="character" w:customStyle="1" w:styleId="Titre1Car">
    <w:name w:val="Titre 1 Car"/>
    <w:basedOn w:val="Policepardfaut"/>
    <w:link w:val="Titre1"/>
    <w:rsid w:val="00FE0BD8"/>
    <w:rPr>
      <w:rFonts w:asciiTheme="majorHAnsi" w:eastAsiaTheme="majorEastAsia" w:hAnsiTheme="majorHAnsi" w:cstheme="majorBidi"/>
      <w:b/>
      <w:sz w:val="32"/>
      <w:szCs w:val="32"/>
      <w:lang w:val="en-GB" w:eastAsia="en-GB"/>
    </w:rPr>
  </w:style>
  <w:style w:type="character" w:customStyle="1" w:styleId="Titre2Car">
    <w:name w:val="Titre 2 Car"/>
    <w:basedOn w:val="Policepardfaut"/>
    <w:link w:val="Titre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b/>
      <w:sz w:val="28"/>
    </w:rPr>
  </w:style>
  <w:style w:type="character" w:customStyle="1" w:styleId="Title1Char">
    <w:name w:val="Title 1 Char"/>
    <w:basedOn w:val="Policepardfaut"/>
    <w:link w:val="Title1"/>
    <w:rsid w:val="003C4EB5"/>
    <w:rPr>
      <w:rFonts w:eastAsiaTheme="majorEastAsia" w:cstheme="minorHAnsi"/>
      <w:b/>
      <w:sz w:val="28"/>
      <w:szCs w:val="22"/>
      <w:lang w:val="en-GB" w:eastAsia="en-GB"/>
    </w:rPr>
  </w:style>
  <w:style w:type="paragraph" w:styleId="Paragraphedeliste">
    <w:name w:val="List Paragraph"/>
    <w:aliases w:val="Paragraphe EI,Paragraphe de liste1,EC,Normal Nivel 1,List Paragraph Main,List first level,List Paragraph_Sections"/>
    <w:basedOn w:val="Normal"/>
    <w:link w:val="Paragraphedeliste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4"/>
      <w:szCs w:val="22"/>
      <w:lang w:val="en-GB" w:eastAsia="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rsid w:val="00AA054E"/>
    <w:rPr>
      <w:rFonts w:asciiTheme="majorHAnsi" w:eastAsiaTheme="majorEastAsia" w:hAnsiTheme="majorHAnsi" w:cstheme="majorBidi"/>
      <w:i/>
      <w:iCs/>
      <w:color w:val="44546A" w:themeColor="text2"/>
      <w:sz w:val="21"/>
      <w:szCs w:val="21"/>
      <w:lang w:val="en-GB" w:eastAsia="en-GB"/>
    </w:rPr>
  </w:style>
  <w:style w:type="paragraph" w:styleId="Titre">
    <w:name w:val="Title"/>
    <w:basedOn w:val="Normal"/>
    <w:next w:val="Normal"/>
    <w:link w:val="Titre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pPr>
    <w:rPr>
      <w:rFonts w:asciiTheme="majorHAnsi" w:eastAsiaTheme="majorEastAsia" w:hAnsiTheme="majorHAnsi" w:cstheme="majorBidi"/>
      <w:b/>
      <w:sz w:val="28"/>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re8Car">
    <w:name w:val="Titre 8 Car"/>
    <w:basedOn w:val="Policepardfaut"/>
    <w:link w:val="Titre8"/>
    <w:rsid w:val="00AA054E"/>
    <w:rPr>
      <w:rFonts w:asciiTheme="majorHAnsi" w:eastAsiaTheme="majorEastAsia" w:hAnsiTheme="majorHAnsi" w:cstheme="majorBidi"/>
      <w:b/>
      <w:bCs/>
      <w:color w:val="44546A" w:themeColor="text2"/>
      <w:sz w:val="24"/>
      <w:szCs w:val="24"/>
      <w:lang w:val="en-GB" w:eastAsia="en-GB"/>
    </w:rPr>
  </w:style>
  <w:style w:type="character" w:customStyle="1" w:styleId="Titre9Car">
    <w:name w:val="Titre 9 Car"/>
    <w:basedOn w:val="Policepardfaut"/>
    <w:link w:val="Titre9"/>
    <w:rsid w:val="00AA054E"/>
    <w:rPr>
      <w:rFonts w:asciiTheme="majorHAnsi" w:eastAsiaTheme="majorEastAsia" w:hAnsiTheme="majorHAnsi" w:cstheme="majorBidi"/>
      <w:b/>
      <w:bCs/>
      <w:i/>
      <w:iCs/>
      <w:color w:val="44546A" w:themeColor="text2"/>
      <w:sz w:val="24"/>
      <w:szCs w:val="24"/>
      <w:lang w:val="en-GB" w:eastAsia="en-GB"/>
    </w:rPr>
  </w:style>
  <w:style w:type="paragraph" w:styleId="Lgende">
    <w:name w:val="caption"/>
    <w:basedOn w:val="Normal"/>
    <w:next w:val="Normal"/>
    <w:uiPriority w:val="35"/>
    <w:semiHidden/>
    <w:unhideWhenUsed/>
    <w:qFormat/>
    <w:rsid w:val="00AA054E"/>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Accentuationlgre">
    <w:name w:val="Subtle Emphasis"/>
    <w:aliases w:val="Text,Emphase pâle,Diskret betoning"/>
    <w:basedOn w:val="Policepardfaut"/>
    <w:uiPriority w:val="19"/>
    <w:qFormat/>
    <w:rsid w:val="00287C8F"/>
    <w:rPr>
      <w:rFonts w:asciiTheme="majorHAnsi" w:hAnsiTheme="majorHAnsi"/>
      <w:i/>
      <w:iCs/>
      <w:color w:val="auto"/>
      <w:sz w:val="22"/>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7E7997"/>
    <w:pPr>
      <w:tabs>
        <w:tab w:val="center" w:pos="4536"/>
        <w:tab w:val="right" w:pos="9072"/>
      </w:tabs>
    </w:pPr>
  </w:style>
  <w:style w:type="character" w:customStyle="1" w:styleId="En-tteCar">
    <w:name w:val="En-tête Car"/>
    <w:basedOn w:val="Policepardfaut"/>
    <w:link w:val="En-tte"/>
    <w:rsid w:val="007E7997"/>
    <w:rPr>
      <w:sz w:val="22"/>
    </w:rPr>
  </w:style>
  <w:style w:type="paragraph" w:styleId="Pieddepage">
    <w:name w:val="footer"/>
    <w:basedOn w:val="Normal"/>
    <w:link w:val="PieddepageCar"/>
    <w:uiPriority w:val="99"/>
    <w:unhideWhenUsed/>
    <w:rsid w:val="007E7997"/>
    <w:pPr>
      <w:tabs>
        <w:tab w:val="center" w:pos="4536"/>
        <w:tab w:val="right" w:pos="9072"/>
      </w:tabs>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M1">
    <w:name w:val="toc 1"/>
    <w:basedOn w:val="Normal"/>
    <w:next w:val="Normal"/>
    <w:autoRedefine/>
    <w:uiPriority w:val="39"/>
    <w:unhideWhenUsed/>
    <w:rsid w:val="00B81A44"/>
    <w:pPr>
      <w:tabs>
        <w:tab w:val="left" w:pos="440"/>
        <w:tab w:val="right" w:leader="dot" w:pos="9062"/>
      </w:tabs>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Policepardfau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semiHidden/>
    <w:unhideWhenUsed/>
    <w:qFormat/>
    <w:rsid w:val="006F53E8"/>
    <w:rPr>
      <w:sz w:val="16"/>
    </w:rPr>
  </w:style>
  <w:style w:type="character" w:customStyle="1" w:styleId="NotedebasdepageCar">
    <w:name w:val="Note de bas de page Car"/>
    <w:basedOn w:val="Policepardfaut"/>
    <w:link w:val="Notedebasdepage"/>
    <w:uiPriority w:val="99"/>
    <w:semiHidden/>
    <w:rsid w:val="006F53E8"/>
    <w:rPr>
      <w:sz w:val="16"/>
      <w:lang w:val="en-GB"/>
    </w:rPr>
  </w:style>
  <w:style w:type="character" w:styleId="Appelnotedebasdep">
    <w:name w:val="footnote reference"/>
    <w:aliases w:val="SUPERS,Footnote reference number,Footnote symbol,note TESI,-E Fußnotenzeichen,number,BVI fnr,Footnote Reference Superscript,(Footnote Reference),EN Footnote Reference,Voetnootverwijzing,Times 10 Point,Exposant 3 Poi,16 Point"/>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edebulles">
    <w:name w:val="Balloon Text"/>
    <w:basedOn w:val="Normal"/>
    <w:link w:val="TextedebullesCar"/>
    <w:uiPriority w:val="99"/>
    <w:semiHidden/>
    <w:unhideWhenUsed/>
    <w:rsid w:val="003C167E"/>
    <w:rPr>
      <w:rFonts w:ascii="Tahoma" w:hAnsi="Tahoma" w:cs="Tahoma"/>
      <w:sz w:val="16"/>
      <w:szCs w:val="16"/>
    </w:rPr>
  </w:style>
  <w:style w:type="character" w:customStyle="1" w:styleId="TextedebullesCar">
    <w:name w:val="Texte de bulles Car"/>
    <w:basedOn w:val="Policepardfaut"/>
    <w:link w:val="Textedebulles"/>
    <w:uiPriority w:val="99"/>
    <w:semiHidden/>
    <w:rsid w:val="003C167E"/>
    <w:rPr>
      <w:rFonts w:ascii="Tahoma" w:hAnsi="Tahoma" w:cs="Tahoma"/>
      <w:sz w:val="16"/>
      <w:szCs w:val="16"/>
      <w:lang w:val="en-GB"/>
    </w:rPr>
  </w:style>
  <w:style w:type="character" w:styleId="Marquedecommentaire">
    <w:name w:val="annotation reference"/>
    <w:basedOn w:val="Policepardfaut"/>
    <w:uiPriority w:val="99"/>
    <w:semiHidden/>
    <w:unhideWhenUsed/>
    <w:rsid w:val="00FA2400"/>
    <w:rPr>
      <w:sz w:val="16"/>
      <w:szCs w:val="16"/>
    </w:rPr>
  </w:style>
  <w:style w:type="paragraph" w:styleId="Commentaire">
    <w:name w:val="annotation text"/>
    <w:basedOn w:val="Normal"/>
    <w:link w:val="CommentaireCar"/>
    <w:uiPriority w:val="99"/>
    <w:unhideWhenUsed/>
    <w:rsid w:val="00FA2400"/>
    <w:rPr>
      <w:sz w:val="20"/>
    </w:rPr>
  </w:style>
  <w:style w:type="character" w:customStyle="1" w:styleId="CommentaireCar">
    <w:name w:val="Commentaire Car"/>
    <w:basedOn w:val="Policepardfaut"/>
    <w:link w:val="Commentaire"/>
    <w:uiPriority w:val="99"/>
    <w:rsid w:val="00FA2400"/>
    <w:rPr>
      <w:lang w:val="en-GB"/>
    </w:rPr>
  </w:style>
  <w:style w:type="paragraph" w:styleId="Objetducommentaire">
    <w:name w:val="annotation subject"/>
    <w:basedOn w:val="Commentaire"/>
    <w:next w:val="Commentaire"/>
    <w:link w:val="ObjetducommentaireCar"/>
    <w:uiPriority w:val="99"/>
    <w:semiHidden/>
    <w:unhideWhenUsed/>
    <w:rsid w:val="00FA2400"/>
    <w:rPr>
      <w:b/>
      <w:bCs/>
    </w:rPr>
  </w:style>
  <w:style w:type="character" w:customStyle="1" w:styleId="ObjetducommentaireCar">
    <w:name w:val="Objet du commentaire Car"/>
    <w:basedOn w:val="CommentaireCar"/>
    <w:link w:val="Objetducommentaire"/>
    <w:uiPriority w:val="99"/>
    <w:semiHidden/>
    <w:rsid w:val="00FA2400"/>
    <w:rPr>
      <w:b/>
      <w:bCs/>
      <w:lang w:val="en-GB"/>
    </w:rPr>
  </w:style>
  <w:style w:type="paragraph" w:styleId="R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Lienhypertextesuivivisit">
    <w:name w:val="FollowedHyperlink"/>
    <w:basedOn w:val="Policepardfau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Policepardfau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EI Car,Paragraphe de liste1 Car,EC Car,Normal Nivel 1 Car,List Paragraph Main Car,List first level Car,List Paragraph_Sections Car"/>
    <w:basedOn w:val="Policepardfaut"/>
    <w:link w:val="Paragraphedeliste"/>
    <w:uiPriority w:val="34"/>
    <w:rsid w:val="00695AF2"/>
    <w:rPr>
      <w:rFonts w:eastAsiaTheme="majorEastAsia" w:cstheme="minorHAnsi"/>
      <w:sz w:val="22"/>
      <w:szCs w:val="22"/>
      <w:lang w:val="en-GB" w:eastAsia="en-GB"/>
    </w:rPr>
  </w:style>
  <w:style w:type="table" w:customStyle="1" w:styleId="TableGrid3">
    <w:name w:val="Table Grid3"/>
    <w:basedOn w:val="Tableau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lev"/>
    <w:uiPriority w:val="1"/>
    <w:qFormat/>
    <w:rsid w:val="00FA64BE"/>
    <w:rPr>
      <w:b w:val="0"/>
      <w:bCs/>
      <w:caps/>
      <w:smallCaps w:val="0"/>
      <w:color w:val="70AD47" w:themeColor="accent6"/>
      <w:sz w:val="22"/>
    </w:rPr>
  </w:style>
  <w:style w:type="character" w:styleId="Mentionnonrsolue">
    <w:name w:val="Unresolved Mention"/>
    <w:basedOn w:val="Policepardfaut"/>
    <w:uiPriority w:val="99"/>
    <w:semiHidden/>
    <w:unhideWhenUsed/>
    <w:rsid w:val="00006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8855758">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533750">
      <w:bodyDiv w:val="1"/>
      <w:marLeft w:val="0"/>
      <w:marRight w:val="0"/>
      <w:marTop w:val="0"/>
      <w:marBottom w:val="0"/>
      <w:divBdr>
        <w:top w:val="none" w:sz="0" w:space="0" w:color="auto"/>
        <w:left w:val="none" w:sz="0" w:space="0" w:color="auto"/>
        <w:bottom w:val="none" w:sz="0" w:space="0" w:color="auto"/>
        <w:right w:val="none" w:sz="0" w:space="0" w:color="auto"/>
      </w:divBdr>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03057652">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5957488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xbrl.org/Specification/inlineXBRL-transformationRegistry/REC-2022-02-16/inlineXBRL-transformationRegistry-REC-2022-02-16.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www.xbrl.org/the-standard/how/tools-and-serv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commission.europa.eu/about-european-commission/departments-and-executive-agencies/digital-services/open-source-software-strategy_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20</Pages>
  <Words>4752</Words>
  <Characters>26137</Characters>
  <Application>Microsoft Office Word</Application>
  <DocSecurity>8</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30828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emilie.moray@outlook.fr</cp:lastModifiedBy>
  <cp:revision>3</cp:revision>
  <cp:lastPrinted>2017-07-24T14:47:00Z</cp:lastPrinted>
  <dcterms:created xsi:type="dcterms:W3CDTF">2023-12-12T11:13:00Z</dcterms:created>
  <dcterms:modified xsi:type="dcterms:W3CDTF">2023-12-12T11:14:00Z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