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7A69F087" w:rsidR="00563C1F" w:rsidRDefault="0026459D" w:rsidP="00F72D28">
          <w:pPr>
            <w:pStyle w:val="Titolo"/>
          </w:pPr>
          <w:r>
            <w:t>Reply form</w:t>
          </w:r>
          <w:r w:rsidR="00563C1F">
            <w:t xml:space="preserve"> </w:t>
          </w:r>
          <w:permStart w:id="921725456" w:edGrp="everyone"/>
          <w:permEnd w:id="921725456"/>
        </w:p>
        <w:p w14:paraId="031F2108" w14:textId="7F17ECB9" w:rsidR="007E7997" w:rsidRDefault="0026459D" w:rsidP="00D77369">
          <w:pPr>
            <w:pStyle w:val="Sottotitolo"/>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9264"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60F7"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ottotitolo"/>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Paragrafoelenco"/>
          </w:pPr>
          <w:r w:rsidRPr="005B6B12">
            <w:t>respond to the question stated;</w:t>
          </w:r>
        </w:p>
        <w:p w14:paraId="72FD40F6" w14:textId="77777777" w:rsidR="002533FC" w:rsidRPr="005B6B12" w:rsidRDefault="002533FC" w:rsidP="002533FC">
          <w:pPr>
            <w:pStyle w:val="Paragrafoelenco"/>
          </w:pPr>
          <w:r w:rsidRPr="005B6B12">
            <w:t>indicate the specific question to which the comment relates;</w:t>
          </w:r>
        </w:p>
        <w:p w14:paraId="78B206B7" w14:textId="77777777" w:rsidR="002533FC" w:rsidRPr="005B6B12" w:rsidRDefault="002533FC" w:rsidP="002533FC">
          <w:pPr>
            <w:pStyle w:val="Paragrafoelenco"/>
          </w:pPr>
          <w:r w:rsidRPr="005B6B12">
            <w:t>contain a clear rationale; and</w:t>
          </w:r>
        </w:p>
        <w:p w14:paraId="60B8834E" w14:textId="77777777" w:rsidR="002533FC" w:rsidRPr="005B6B12" w:rsidRDefault="002533FC" w:rsidP="002533FC">
          <w:pPr>
            <w:pStyle w:val="Paragrafoelenco"/>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5" w:history="1">
            <w:r w:rsidRPr="005B6B12">
              <w:rPr>
                <w:rStyle w:val="Collegamentoipertestuale"/>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Sottotitolo"/>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Sottotitolo"/>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Sottotitolo"/>
          </w:pPr>
          <w:r w:rsidRPr="00013CA1">
            <w:t>Data protection</w:t>
          </w:r>
        </w:p>
        <w:p w14:paraId="21D5CFF2" w14:textId="77777777" w:rsidR="002533FC" w:rsidRPr="005B6B12" w:rsidRDefault="002533FC" w:rsidP="002533FC">
          <w:r w:rsidRPr="005B6B12">
            <w:t xml:space="preserve">Information on data protection can be found at </w:t>
          </w:r>
          <w:hyperlink r:id="rId16" w:history="1">
            <w:r w:rsidRPr="005B6B12">
              <w:rPr>
                <w:rStyle w:val="Collegamentoipertestuale"/>
              </w:rPr>
              <w:t>www.esma.europa.eu</w:t>
            </w:r>
          </w:hyperlink>
          <w:r w:rsidRPr="005B6B12">
            <w:t xml:space="preserve"> under the heading </w:t>
          </w:r>
          <w:r w:rsidRPr="00025A7F">
            <w:rPr>
              <w:rStyle w:val="Collegamentoipertestuale"/>
            </w:rPr>
            <w:t>‘</w:t>
          </w:r>
          <w:hyperlink r:id="rId17" w:history="1">
            <w:r>
              <w:rPr>
                <w:rStyle w:val="Collegamentoipertestuale"/>
              </w:rPr>
              <w:t>Data protection</w:t>
            </w:r>
          </w:hyperlink>
          <w:r>
            <w:rPr>
              <w:rStyle w:val="Collegamentoipertestuale"/>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Sottotitolo"/>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Titolo1"/>
        <w:rPr>
          <w:lang w:val="fr-BE"/>
        </w:rPr>
      </w:pPr>
      <w:r>
        <w:rPr>
          <w:lang w:val="fr-BE"/>
        </w:rPr>
        <w:lastRenderedPageBreak/>
        <w:t xml:space="preserve">General information about </w:t>
      </w:r>
      <w:r w:rsidRPr="00501EF4">
        <w:t>responden</w:t>
      </w:r>
      <w:r w:rsidR="00501EF4" w:rsidRPr="00501EF4">
        <w:t>t</w:t>
      </w:r>
    </w:p>
    <w:tbl>
      <w:tblPr>
        <w:tblStyle w:val="Grigliatabella"/>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howingPlcHdr/>
          </w:sdtPr>
          <w:sdtContent>
            <w:tc>
              <w:tcPr>
                <w:tcW w:w="4531" w:type="dxa"/>
              </w:tcPr>
              <w:p w14:paraId="7C4A6574" w14:textId="292459A8" w:rsidR="00557BD2" w:rsidRPr="00557BD2" w:rsidRDefault="00013CA1" w:rsidP="00557BD2">
                <w:r w:rsidRPr="00DA1A90">
                  <w:rPr>
                    <w:rStyle w:val="Testosegnaposto"/>
                  </w:rPr>
                  <w:t>Click or tap here to enter text.</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showingPlcHd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249600727" w:edGrp="everyone" w:displacedByCustomXml="prev"/>
            <w:tc>
              <w:tcPr>
                <w:tcW w:w="4531" w:type="dxa"/>
              </w:tcPr>
              <w:p w14:paraId="1624F840" w14:textId="47B7C2F4" w:rsidR="00557BD2" w:rsidRPr="00557BD2" w:rsidRDefault="001E0367" w:rsidP="00557BD2">
                <w:r w:rsidRPr="00DA1A90">
                  <w:rPr>
                    <w:rStyle w:val="Testosegnaposto"/>
                  </w:rPr>
                  <w:t>Choose an item.</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0"/>
              <w14:checkedState w14:val="2612" w14:font="MS Gothic"/>
              <w14:uncheckedState w14:val="2610" w14:font="MS Gothic"/>
            </w14:checkbox>
          </w:sdtPr>
          <w:sdtContent>
            <w:tc>
              <w:tcPr>
                <w:tcW w:w="4531" w:type="dxa"/>
              </w:tcPr>
              <w:p w14:paraId="5D69AFA4" w14:textId="6C27315D" w:rsidR="00557BD2" w:rsidRPr="00557BD2" w:rsidRDefault="008638AF"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635844015" w:edGrp="everyone" w:displacedByCustomXml="prev"/>
            <w:tc>
              <w:tcPr>
                <w:tcW w:w="4531" w:type="dxa"/>
              </w:tcPr>
              <w:p w14:paraId="2FED1C55" w14:textId="02C9DB2B" w:rsidR="00557BD2" w:rsidRPr="00557BD2" w:rsidRDefault="00013CA1" w:rsidP="00557BD2">
                <w:r w:rsidRPr="00DA1A90">
                  <w:rPr>
                    <w:rStyle w:val="Testosegnaposto"/>
                  </w:rPr>
                  <w:t>Choose an item.</w:t>
                </w:r>
              </w:p>
            </w:tc>
            <w:permEnd w:id="635844015" w:displacedByCustomXml="next"/>
          </w:sdtContent>
        </w:sdt>
      </w:tr>
    </w:tbl>
    <w:p w14:paraId="4ACCFE94" w14:textId="77777777" w:rsidR="009E2971" w:rsidRDefault="009E2971" w:rsidP="00557BD2">
      <w:pPr>
        <w:sectPr w:rsidR="009E2971" w:rsidSect="00AD0B10">
          <w:headerReference w:type="default" r:id="rId21"/>
          <w:footerReference w:type="default" r:id="rId22"/>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Titolo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25F90C9E" w14:textId="77777777" w:rsidR="00053B66" w:rsidRDefault="00053B66" w:rsidP="00053B66">
      <w:pPr>
        <w:spacing w:after="0"/>
      </w:pPr>
      <w:permStart w:id="1420179027" w:edGrp="everyone"/>
      <w:r>
        <w:t>TYPE YOUR TEXT HERE</w:t>
      </w:r>
    </w:p>
    <w:permEnd w:id="1420179027"/>
    <w:p w14:paraId="5E65D407" w14:textId="77777777" w:rsidR="00053B66" w:rsidRDefault="00053B66" w:rsidP="00053B66">
      <w:pPr>
        <w:spacing w:after="0"/>
      </w:pPr>
      <w:r>
        <w:t>&lt;ESMA_QUESTION_MICA_0&gt;</w:t>
      </w:r>
    </w:p>
    <w:p w14:paraId="45F72D20" w14:textId="77777777" w:rsidR="00053B66" w:rsidRPr="00053B66" w:rsidRDefault="00053B66" w:rsidP="00053B66"/>
    <w:p w14:paraId="1BE54313" w14:textId="7A710EFF" w:rsidR="00557BD2" w:rsidRPr="00557BD2" w:rsidRDefault="00557BD2" w:rsidP="00B15C0B">
      <w:pPr>
        <w:pStyle w:val="Titolo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35AFBFBB" w14:textId="77777777" w:rsidR="00E32876" w:rsidRPr="00E32876" w:rsidRDefault="00E32876" w:rsidP="00E32876">
      <w:pPr>
        <w:spacing w:after="0"/>
        <w:rPr>
          <w:lang w:val="en-US"/>
        </w:rPr>
      </w:pPr>
      <w:permStart w:id="879384799" w:edGrp="everyone"/>
      <w:r w:rsidRPr="00E32876">
        <w:rPr>
          <w:lang w:val="en-US"/>
        </w:rPr>
        <w:t>The proposal is complete and acceptable. We only point out the need for clarification about the requested information on:</w:t>
      </w:r>
    </w:p>
    <w:p w14:paraId="325B2939" w14:textId="77777777" w:rsidR="00E32876" w:rsidRPr="00E32876" w:rsidRDefault="00E32876" w:rsidP="00E32876">
      <w:pPr>
        <w:numPr>
          <w:ilvl w:val="0"/>
          <w:numId w:val="13"/>
        </w:numPr>
        <w:spacing w:after="0"/>
        <w:rPr>
          <w:lang w:val="en-US"/>
        </w:rPr>
      </w:pPr>
      <w:r w:rsidRPr="00E32876">
        <w:rPr>
          <w:b/>
          <w:bCs/>
          <w:lang w:val="en-US"/>
        </w:rPr>
        <w:t>AML/CFT risk management</w:t>
      </w:r>
      <w:r w:rsidRPr="00E32876">
        <w:rPr>
          <w:lang w:val="en-US"/>
        </w:rPr>
        <w:t>. Regarding Article 2 (d), it isn’t clear whether the “person in charge of ensuring the notifying entity's compliance with anti-money laundering and counter-terrorist financing obligations” refers to:</w:t>
      </w:r>
    </w:p>
    <w:p w14:paraId="6E4943B3" w14:textId="77777777" w:rsidR="00E32876" w:rsidRPr="00E32876" w:rsidRDefault="00E32876" w:rsidP="00E32876">
      <w:pPr>
        <w:numPr>
          <w:ilvl w:val="0"/>
          <w:numId w:val="14"/>
        </w:numPr>
        <w:spacing w:after="0"/>
        <w:rPr>
          <w:lang w:val="en-US"/>
        </w:rPr>
      </w:pPr>
      <w:r w:rsidRPr="00E32876">
        <w:rPr>
          <w:lang w:val="en-US"/>
        </w:rPr>
        <w:t xml:space="preserve">the person in charge of the anti-money laundering control function. In that case, the information would already be known to the Supervisory </w:t>
      </w:r>
      <w:proofErr w:type="gramStart"/>
      <w:r w:rsidRPr="00E32876">
        <w:rPr>
          <w:lang w:val="en-US"/>
        </w:rPr>
        <w:t>Authority;</w:t>
      </w:r>
      <w:proofErr w:type="gramEnd"/>
    </w:p>
    <w:p w14:paraId="0BB71B9F" w14:textId="77777777" w:rsidR="00E32876" w:rsidRPr="00E32876" w:rsidRDefault="00E32876" w:rsidP="00E32876">
      <w:pPr>
        <w:numPr>
          <w:ilvl w:val="0"/>
          <w:numId w:val="14"/>
        </w:numPr>
        <w:spacing w:after="0"/>
        <w:rPr>
          <w:lang w:val="en-US"/>
        </w:rPr>
      </w:pPr>
      <w:r w:rsidRPr="00E32876">
        <w:rPr>
          <w:lang w:val="en-US"/>
        </w:rPr>
        <w:t xml:space="preserve">the need to appoint a specific person responsible for crypto-assets AML and CFT risk management, established within the AML </w:t>
      </w:r>
      <w:proofErr w:type="gramStart"/>
      <w:r w:rsidRPr="00E32876">
        <w:rPr>
          <w:lang w:val="en-US"/>
        </w:rPr>
        <w:t>function;</w:t>
      </w:r>
      <w:proofErr w:type="gramEnd"/>
    </w:p>
    <w:p w14:paraId="0AAB6454" w14:textId="77777777" w:rsidR="00E32876" w:rsidRPr="00E32876" w:rsidRDefault="00E32876" w:rsidP="00E32876">
      <w:pPr>
        <w:numPr>
          <w:ilvl w:val="0"/>
          <w:numId w:val="14"/>
        </w:numPr>
        <w:spacing w:after="0"/>
        <w:rPr>
          <w:lang w:val="en-US"/>
        </w:rPr>
      </w:pPr>
      <w:r w:rsidRPr="00E32876">
        <w:rPr>
          <w:lang w:val="en-US"/>
        </w:rPr>
        <w:t>To the member of the body with strategic oversight function who has been assigned AML responsibilities under the EBA Guidelines.</w:t>
      </w:r>
    </w:p>
    <w:p w14:paraId="6C349B84" w14:textId="77777777" w:rsidR="00E32876" w:rsidRPr="00E32876" w:rsidRDefault="00E32876" w:rsidP="00E32876">
      <w:pPr>
        <w:numPr>
          <w:ilvl w:val="0"/>
          <w:numId w:val="13"/>
        </w:numPr>
        <w:spacing w:after="0"/>
        <w:rPr>
          <w:b/>
          <w:lang w:val="en-US"/>
        </w:rPr>
      </w:pPr>
      <w:r w:rsidRPr="00E32876">
        <w:rPr>
          <w:b/>
          <w:lang w:val="en-US"/>
        </w:rPr>
        <w:t xml:space="preserve">The Execution Policy: </w:t>
      </w:r>
      <w:r w:rsidRPr="00E32876">
        <w:rPr>
          <w:bCs/>
          <w:lang w:val="en-US"/>
        </w:rPr>
        <w:t xml:space="preserve">Concerning Article 9 (b), it isn’t clear why the Execution Policy doesn’t also include exchanges as possible execution venues, mentioning only “a list of the trading platforms for crypto-assets on which the notifying entity will rely for the </w:t>
      </w:r>
      <w:r w:rsidRPr="00E32876">
        <w:rPr>
          <w:bCs/>
          <w:lang w:val="en-US"/>
        </w:rPr>
        <w:lastRenderedPageBreak/>
        <w:t xml:space="preserve">execution of orders”. In fact, it should be noted that, under the corresponding MiFID requirement, “execution venues” also include entities that provide trading services on their own account on a systematic and professional basis (such as systematic </w:t>
      </w:r>
      <w:proofErr w:type="spellStart"/>
      <w:r w:rsidRPr="00E32876">
        <w:rPr>
          <w:bCs/>
          <w:lang w:val="en-US"/>
        </w:rPr>
        <w:t>internalisers</w:t>
      </w:r>
      <w:proofErr w:type="spellEnd"/>
      <w:r w:rsidRPr="00E32876">
        <w:rPr>
          <w:bCs/>
          <w:lang w:val="en-US"/>
        </w:rPr>
        <w:t>).</w:t>
      </w:r>
    </w:p>
    <w:p w14:paraId="4753471F" w14:textId="77777777" w:rsidR="00A30210" w:rsidRDefault="00E32876" w:rsidP="00053B66">
      <w:pPr>
        <w:spacing w:after="0"/>
        <w:rPr>
          <w:bCs/>
          <w:lang w:val="en-US"/>
        </w:rPr>
      </w:pPr>
      <w:r w:rsidRPr="00E32876">
        <w:rPr>
          <w:bCs/>
          <w:lang w:val="en-US"/>
        </w:rPr>
        <w:t>Regarding Article 9(c) (“which trading platforms it intends to use for each type of crypto-assets”, it isn’t clear whether 'type of crypto-assets' means the various classes provided for in the Level I Regulation (E-Money Token; Asset Referenced Token; Utility Token; Other-than crypto-assets) or more granular classes.</w:t>
      </w:r>
      <w:r w:rsidR="00A30210" w:rsidRPr="00A30210">
        <w:rPr>
          <w:bCs/>
          <w:lang w:val="en-US"/>
        </w:rPr>
        <w:t xml:space="preserve"> </w:t>
      </w:r>
    </w:p>
    <w:p w14:paraId="797465C5" w14:textId="46CD26B8" w:rsidR="00053B66" w:rsidRPr="00E32876" w:rsidRDefault="00A30210" w:rsidP="00053B66">
      <w:pPr>
        <w:spacing w:after="0"/>
        <w:rPr>
          <w:b/>
          <w:lang w:val="en-US"/>
        </w:rPr>
      </w:pPr>
      <w:r w:rsidRPr="00E32876">
        <w:rPr>
          <w:bCs/>
          <w:lang w:val="en-US"/>
        </w:rPr>
        <w:t xml:space="preserve">For the same reasons, we highlight the opportunity to indicate in the notification for the provision of services involving electronic money tokens whether the subject considers that these services configure the provision of payment services within the meaning of the PSD2 regulation and the deadline by which the consequent </w:t>
      </w:r>
      <w:proofErr w:type="spellStart"/>
      <w:r w:rsidRPr="00E32876">
        <w:rPr>
          <w:bCs/>
          <w:lang w:val="en-US"/>
        </w:rPr>
        <w:t>authorisation</w:t>
      </w:r>
      <w:proofErr w:type="spellEnd"/>
      <w:r w:rsidRPr="00E32876">
        <w:rPr>
          <w:bCs/>
          <w:lang w:val="en-US"/>
        </w:rPr>
        <w:t xml:space="preserve"> will be requested from the competent authority (as regards the simultaneous application to electronic money tokens of the PSD2 regulation and the </w:t>
      </w:r>
      <w:proofErr w:type="spellStart"/>
      <w:r w:rsidRPr="00E32876">
        <w:rPr>
          <w:bCs/>
          <w:lang w:val="en-US"/>
        </w:rPr>
        <w:t>MiCAR</w:t>
      </w:r>
      <w:proofErr w:type="spellEnd"/>
      <w:r w:rsidRPr="00E32876">
        <w:rPr>
          <w:bCs/>
          <w:lang w:val="en-US"/>
        </w:rPr>
        <w:t xml:space="preserve"> regulation, see the answer to question 3).</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5D7ABE76" w14:textId="77777777" w:rsidR="00053B66" w:rsidRDefault="00053B66" w:rsidP="00053B66">
      <w:pPr>
        <w:spacing w:after="0"/>
      </w:pPr>
      <w:permStart w:id="1467231046" w:edGrp="everyone"/>
      <w:r>
        <w:t>TYPE YOUR TEXT HERE</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1AEEAB87" w14:textId="77777777" w:rsidR="00E32876" w:rsidRPr="00E32876" w:rsidRDefault="00E32876" w:rsidP="00E32876">
      <w:pPr>
        <w:spacing w:after="0"/>
        <w:rPr>
          <w:lang w:val="en-US"/>
        </w:rPr>
      </w:pPr>
      <w:permStart w:id="1984053842" w:edGrp="everyone"/>
      <w:r w:rsidRPr="00E32876">
        <w:rPr>
          <w:lang w:val="en-US"/>
        </w:rPr>
        <w:t xml:space="preserve">We agree with the approach aimed at gathering information to identify risks </w:t>
      </w:r>
      <w:proofErr w:type="gramStart"/>
      <w:r w:rsidRPr="00E32876">
        <w:rPr>
          <w:lang w:val="en-US"/>
        </w:rPr>
        <w:t>similar to</w:t>
      </w:r>
      <w:proofErr w:type="gramEnd"/>
      <w:r w:rsidRPr="00E32876">
        <w:rPr>
          <w:lang w:val="en-US"/>
        </w:rPr>
        <w:t xml:space="preserve"> those that caused the recent CASP failures, with particular reference to outsourcing policies and relationships with companies in the same group, governance and control mechanisms, prudential supervision requirements, and the suitability and adequacy of the members of the management body.</w:t>
      </w:r>
    </w:p>
    <w:p w14:paraId="51371A08" w14:textId="77777777" w:rsidR="00E32876" w:rsidRPr="00E32876" w:rsidRDefault="00E32876" w:rsidP="00E32876">
      <w:pPr>
        <w:spacing w:after="0"/>
        <w:rPr>
          <w:lang w:val="en-US"/>
        </w:rPr>
      </w:pPr>
      <w:r w:rsidRPr="00E32876">
        <w:rPr>
          <w:lang w:val="en-US"/>
        </w:rPr>
        <w:t>We also agree that the information to be provided should be, where required under both RTS, the same applied to supervised service providers who are subject to a mere reporting obligation.</w:t>
      </w:r>
    </w:p>
    <w:p w14:paraId="49EE8364" w14:textId="77777777" w:rsidR="00E32876" w:rsidRPr="00E32876" w:rsidRDefault="00E32876" w:rsidP="00E32876">
      <w:pPr>
        <w:spacing w:after="0"/>
        <w:rPr>
          <w:bCs/>
          <w:lang w:val="en-US"/>
        </w:rPr>
      </w:pPr>
      <w:r w:rsidRPr="00E32876">
        <w:rPr>
          <w:bCs/>
          <w:lang w:val="en-US"/>
        </w:rPr>
        <w:t xml:space="preserve">In accordance </w:t>
      </w:r>
      <w:proofErr w:type="gramStart"/>
      <w:r w:rsidRPr="00E32876">
        <w:rPr>
          <w:bCs/>
          <w:lang w:val="en-US"/>
        </w:rPr>
        <w:t>to</w:t>
      </w:r>
      <w:proofErr w:type="gramEnd"/>
      <w:r w:rsidRPr="00E32876">
        <w:rPr>
          <w:bCs/>
          <w:lang w:val="en-US"/>
        </w:rPr>
        <w:t xml:space="preserve"> par. 63, concerning the provision of transfer services involving crypto-assets, and in general for services involving e-money tokens, it should be noted that the </w:t>
      </w:r>
      <w:proofErr w:type="spellStart"/>
      <w:r w:rsidRPr="00E32876">
        <w:rPr>
          <w:bCs/>
          <w:lang w:val="en-US"/>
        </w:rPr>
        <w:t>MiCAR</w:t>
      </w:r>
      <w:proofErr w:type="spellEnd"/>
      <w:r w:rsidRPr="00E32876">
        <w:rPr>
          <w:bCs/>
          <w:lang w:val="en-US"/>
        </w:rPr>
        <w:t xml:space="preserve"> legislation doesn’t provide for an exemption from </w:t>
      </w:r>
      <w:proofErr w:type="spellStart"/>
      <w:r w:rsidRPr="00E32876">
        <w:rPr>
          <w:bCs/>
          <w:lang w:val="en-US"/>
        </w:rPr>
        <w:t>authorisation</w:t>
      </w:r>
      <w:proofErr w:type="spellEnd"/>
      <w:r w:rsidRPr="00E32876">
        <w:rPr>
          <w:bCs/>
          <w:lang w:val="en-US"/>
        </w:rPr>
        <w:t xml:space="preserve"> requirements - and the consequent obligation of mere notification - for payment institutions. The mere notification regime provided is limited to: “An electronic money institution </w:t>
      </w:r>
      <w:proofErr w:type="spellStart"/>
      <w:r w:rsidRPr="00E32876">
        <w:rPr>
          <w:bCs/>
          <w:lang w:val="en-US"/>
        </w:rPr>
        <w:t>authorised</w:t>
      </w:r>
      <w:proofErr w:type="spellEnd"/>
      <w:r w:rsidRPr="00E32876">
        <w:rPr>
          <w:bCs/>
          <w:lang w:val="en-US"/>
        </w:rPr>
        <w:t xml:space="preserve"> under Directive 2009/110/EC shall only provide custody and administration of crypto-assets on behalf of clients and transfer services for crypto-assets on behalf of clients with regard to the e-money tokens </w:t>
      </w:r>
      <w:r w:rsidRPr="00E32876">
        <w:rPr>
          <w:bCs/>
          <w:lang w:val="en-US"/>
        </w:rPr>
        <w:lastRenderedPageBreak/>
        <w:t>it issues if it notifies the competent authority of the home Member State of the information referred to in paragraph 7 of this Article at least 40 working days before providing those services for the first time.”</w:t>
      </w:r>
    </w:p>
    <w:p w14:paraId="5E336F0A" w14:textId="77777777" w:rsidR="00E32876" w:rsidRPr="00E32876" w:rsidRDefault="00E32876" w:rsidP="00E32876">
      <w:pPr>
        <w:spacing w:after="0"/>
        <w:rPr>
          <w:lang w:val="en-US"/>
        </w:rPr>
      </w:pPr>
      <w:r w:rsidRPr="00E32876">
        <w:rPr>
          <w:lang w:val="en-US"/>
        </w:rPr>
        <w:t>This implies:</w:t>
      </w:r>
    </w:p>
    <w:p w14:paraId="7637B90F" w14:textId="77777777" w:rsidR="00E32876" w:rsidRPr="00E32876" w:rsidRDefault="00E32876" w:rsidP="00E32876">
      <w:pPr>
        <w:spacing w:after="0"/>
        <w:rPr>
          <w:lang w:val="en-US"/>
        </w:rPr>
      </w:pPr>
      <w:r w:rsidRPr="00E32876">
        <w:rPr>
          <w:lang w:val="en-US"/>
        </w:rPr>
        <w:t xml:space="preserve">- that a payment institution in order to provide e-money token transfer services must apply for the same </w:t>
      </w:r>
      <w:proofErr w:type="spellStart"/>
      <w:r w:rsidRPr="00E32876">
        <w:rPr>
          <w:lang w:val="en-US"/>
        </w:rPr>
        <w:t>authorisation</w:t>
      </w:r>
      <w:proofErr w:type="spellEnd"/>
      <w:r w:rsidRPr="00E32876">
        <w:rPr>
          <w:lang w:val="en-US"/>
        </w:rPr>
        <w:t xml:space="preserve"> as for </w:t>
      </w:r>
      <w:proofErr w:type="gramStart"/>
      <w:r w:rsidRPr="00E32876">
        <w:rPr>
          <w:lang w:val="en-US"/>
        </w:rPr>
        <w:t>CASPs;</w:t>
      </w:r>
      <w:proofErr w:type="gramEnd"/>
    </w:p>
    <w:p w14:paraId="52C359E7" w14:textId="77777777" w:rsidR="00E32876" w:rsidRPr="00E32876" w:rsidRDefault="00E32876" w:rsidP="00E32876">
      <w:pPr>
        <w:spacing w:after="0"/>
        <w:rPr>
          <w:lang w:val="en-US"/>
        </w:rPr>
      </w:pPr>
      <w:r w:rsidRPr="00E32876">
        <w:rPr>
          <w:lang w:val="en-US"/>
        </w:rPr>
        <w:t xml:space="preserve">- that a CASP </w:t>
      </w:r>
      <w:proofErr w:type="gramStart"/>
      <w:r w:rsidRPr="00E32876">
        <w:rPr>
          <w:lang w:val="en-US"/>
        </w:rPr>
        <w:t>in order to</w:t>
      </w:r>
      <w:proofErr w:type="gramEnd"/>
      <w:r w:rsidRPr="00E32876">
        <w:rPr>
          <w:lang w:val="en-US"/>
        </w:rPr>
        <w:t xml:space="preserve"> provide services involving e-money tokens would have to obtain both </w:t>
      </w:r>
      <w:proofErr w:type="spellStart"/>
      <w:r w:rsidRPr="00E32876">
        <w:rPr>
          <w:lang w:val="en-US"/>
        </w:rPr>
        <w:t>MiCAR</w:t>
      </w:r>
      <w:proofErr w:type="spellEnd"/>
      <w:r w:rsidRPr="00E32876">
        <w:rPr>
          <w:lang w:val="en-US"/>
        </w:rPr>
        <w:t xml:space="preserve"> and PSD2 </w:t>
      </w:r>
      <w:proofErr w:type="spellStart"/>
      <w:r w:rsidRPr="00E32876">
        <w:rPr>
          <w:lang w:val="en-US"/>
        </w:rPr>
        <w:t>authorisation</w:t>
      </w:r>
      <w:proofErr w:type="spellEnd"/>
      <w:r w:rsidRPr="00E32876">
        <w:rPr>
          <w:lang w:val="en-US"/>
        </w:rPr>
        <w:t xml:space="preserve"> at the same time, with a duplication of some of the required information.</w:t>
      </w:r>
    </w:p>
    <w:p w14:paraId="4A4FD113" w14:textId="108C2B34" w:rsidR="00053B66" w:rsidRPr="00A30210" w:rsidRDefault="00E32876" w:rsidP="00053B66">
      <w:pPr>
        <w:spacing w:after="0"/>
        <w:rPr>
          <w:lang w:val="en-US"/>
        </w:rPr>
      </w:pPr>
      <w:r w:rsidRPr="00E32876">
        <w:rPr>
          <w:lang w:val="en-US"/>
        </w:rPr>
        <w:t xml:space="preserve">For this reason, a simplification of the information requirements for entities already </w:t>
      </w:r>
      <w:proofErr w:type="spellStart"/>
      <w:r w:rsidRPr="00E32876">
        <w:rPr>
          <w:lang w:val="en-US"/>
        </w:rPr>
        <w:t>authorised</w:t>
      </w:r>
      <w:proofErr w:type="spellEnd"/>
      <w:r w:rsidRPr="00E32876">
        <w:rPr>
          <w:lang w:val="en-US"/>
        </w:rPr>
        <w:t xml:space="preserve"> to provide payment services could be envisaged at the RTS level, correcting the - partially - unequal treatment as compared to credit institutions, IMELs, investment firms, trading venues and CSDs. It should also be noted that most CASPs today provide services on crypto-assets, which with the application of </w:t>
      </w:r>
      <w:proofErr w:type="spellStart"/>
      <w:r w:rsidRPr="00E32876">
        <w:rPr>
          <w:lang w:val="en-US"/>
        </w:rPr>
        <w:t>MiCAR</w:t>
      </w:r>
      <w:proofErr w:type="spellEnd"/>
      <w:r w:rsidRPr="00E32876">
        <w:rPr>
          <w:lang w:val="en-US"/>
        </w:rPr>
        <w:t xml:space="preserve"> (and the consequent application of the obligation to guarantee a right of redemption to the customer) will also be classifiable as e-money, as confirmed under art. 48 par. 2. Most CASPs are therefore likely to be subject to this dual </w:t>
      </w:r>
      <w:proofErr w:type="spellStart"/>
      <w:r w:rsidRPr="00E32876">
        <w:rPr>
          <w:lang w:val="en-US"/>
        </w:rPr>
        <w:t>authorisation</w:t>
      </w:r>
      <w:proofErr w:type="spellEnd"/>
      <w:r w:rsidRPr="00E32876">
        <w:rPr>
          <w:lang w:val="en-US"/>
        </w:rPr>
        <w:t xml:space="preserve"> obligation.</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011A9C8D" w14:textId="77777777" w:rsidR="00E32876" w:rsidRPr="00E32876" w:rsidRDefault="00E32876" w:rsidP="00E32876">
      <w:pPr>
        <w:spacing w:after="0"/>
        <w:rPr>
          <w:lang w:val="en-US"/>
        </w:rPr>
      </w:pPr>
      <w:permStart w:id="1200903695" w:edGrp="everyone"/>
      <w:r w:rsidRPr="00E32876">
        <w:rPr>
          <w:lang w:val="en-US"/>
        </w:rPr>
        <w:t>We have no comments on the requirements envisaged for complaint handling, which are in line with what is already envisaged for the provision of other reserved activities (</w:t>
      </w:r>
      <w:proofErr w:type="gramStart"/>
      <w:r w:rsidRPr="00E32876">
        <w:rPr>
          <w:lang w:val="en-US"/>
        </w:rPr>
        <w:t>e.g.</w:t>
      </w:r>
      <w:proofErr w:type="gramEnd"/>
      <w:r w:rsidRPr="00E32876">
        <w:rPr>
          <w:lang w:val="en-US"/>
        </w:rPr>
        <w:t xml:space="preserve"> investment and banking services).</w:t>
      </w:r>
    </w:p>
    <w:p w14:paraId="74F46C64" w14:textId="77777777" w:rsidR="00E32876" w:rsidRPr="00E32876" w:rsidRDefault="00E32876" w:rsidP="00E32876">
      <w:pPr>
        <w:spacing w:after="0"/>
        <w:rPr>
          <w:lang w:val="en-US"/>
        </w:rPr>
      </w:pPr>
      <w:r w:rsidRPr="00E32876">
        <w:rPr>
          <w:lang w:val="en-US"/>
        </w:rPr>
        <w:t xml:space="preserve">We agree with the provision of specific and detailed second-level regulations on complaint-handling procedures, </w:t>
      </w:r>
      <w:proofErr w:type="gramStart"/>
      <w:r w:rsidRPr="00E32876">
        <w:rPr>
          <w:lang w:val="en-US"/>
        </w:rPr>
        <w:t>in order to</w:t>
      </w:r>
      <w:proofErr w:type="gramEnd"/>
      <w:r w:rsidRPr="00E32876">
        <w:rPr>
          <w:lang w:val="en-US"/>
        </w:rPr>
        <w:t xml:space="preserve"> encourage CASPs to adopt standards comparable to those applied by financial institutions. We highlight, however, the need to specify the relationship between the requirements for complaint handling about the provision of crypto-asset services and those relating to the provision of payment services when these relate to e-money tokens.</w:t>
      </w:r>
    </w:p>
    <w:p w14:paraId="5FEF27BF" w14:textId="77777777" w:rsidR="00E32876" w:rsidRPr="00E32876" w:rsidRDefault="00E32876" w:rsidP="00E32876">
      <w:pPr>
        <w:spacing w:after="0"/>
        <w:rPr>
          <w:lang w:val="en-US"/>
        </w:rPr>
      </w:pPr>
      <w:r w:rsidRPr="00E32876">
        <w:rPr>
          <w:lang w:val="en-US"/>
        </w:rPr>
        <w:t xml:space="preserve">Indeed, services involving an e-money token, being the provision of payment services under PSD2, would seem to be subject to the existing rules on complaint handling, alternative dispute resolution and right of withdrawal. However, although </w:t>
      </w:r>
      <w:proofErr w:type="spellStart"/>
      <w:r w:rsidRPr="00E32876">
        <w:rPr>
          <w:lang w:val="en-US"/>
        </w:rPr>
        <w:t>MiCAR</w:t>
      </w:r>
      <w:proofErr w:type="spellEnd"/>
      <w:r w:rsidRPr="00E32876">
        <w:rPr>
          <w:lang w:val="en-US"/>
        </w:rPr>
        <w:t xml:space="preserve"> confirms that tokens classifiable as e-money should be subject to the payment services regulation - and doesn’t provide for any derogation from the existing rules on this point - attention should be drawn.</w:t>
      </w:r>
    </w:p>
    <w:p w14:paraId="74D4B3A8" w14:textId="77777777" w:rsidR="00E32876" w:rsidRPr="00E32876" w:rsidRDefault="00E32876" w:rsidP="00E32876">
      <w:pPr>
        <w:spacing w:after="0"/>
        <w:rPr>
          <w:lang w:val="en-US"/>
        </w:rPr>
      </w:pPr>
      <w:r w:rsidRPr="00E32876">
        <w:rPr>
          <w:lang w:val="en-US"/>
        </w:rPr>
        <w:t xml:space="preserve">It is therefore difficult to determine not only which is the special regime - and therefore applicable as of 31.12.2024 - between that provided by </w:t>
      </w:r>
      <w:proofErr w:type="spellStart"/>
      <w:r w:rsidRPr="00E32876">
        <w:rPr>
          <w:lang w:val="en-US"/>
        </w:rPr>
        <w:t>MiCAR</w:t>
      </w:r>
      <w:proofErr w:type="spellEnd"/>
      <w:r w:rsidRPr="00E32876">
        <w:rPr>
          <w:lang w:val="en-US"/>
        </w:rPr>
        <w:t xml:space="preserve"> and that on the provision of payment services, but also which is the regulatory framework currently in force on the matter.</w:t>
      </w:r>
    </w:p>
    <w:p w14:paraId="58E6131C" w14:textId="0E978EB7" w:rsidR="00053B66" w:rsidRPr="00E32876" w:rsidRDefault="00E32876" w:rsidP="00053B66">
      <w:pPr>
        <w:spacing w:after="0"/>
        <w:rPr>
          <w:b/>
          <w:lang w:val="en-US"/>
        </w:rPr>
      </w:pPr>
      <w:r w:rsidRPr="00E32876">
        <w:rPr>
          <w:lang w:val="en-US"/>
        </w:rPr>
        <w:t xml:space="preserve">The relationship between the </w:t>
      </w:r>
      <w:proofErr w:type="spellStart"/>
      <w:r w:rsidRPr="00E32876">
        <w:rPr>
          <w:lang w:val="en-US"/>
        </w:rPr>
        <w:t>MiCA</w:t>
      </w:r>
      <w:proofErr w:type="spellEnd"/>
      <w:r w:rsidRPr="00E32876">
        <w:rPr>
          <w:lang w:val="en-US"/>
        </w:rPr>
        <w:t xml:space="preserve"> Regulation and the PSD2 in the context of the provision of services involving electronic money tokens doesn’t only concern the handling of complaints but also, for example, the regulation of the documentation to be transmitted to customers.</w:t>
      </w:r>
    </w:p>
    <w:permEnd w:id="1200903695"/>
    <w:p w14:paraId="0D780599" w14:textId="77777777"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lastRenderedPageBreak/>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77B88CA8" w14:textId="77777777" w:rsidR="00053B66" w:rsidRDefault="00053B66" w:rsidP="00053B66">
      <w:pPr>
        <w:spacing w:after="0"/>
      </w:pPr>
      <w:permStart w:id="1017461311" w:edGrp="everyone"/>
      <w:r>
        <w:t>TYPE YOUR TEXT HERE</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0D7C6C82" w14:textId="77777777" w:rsidR="00053B66" w:rsidRDefault="00053B66" w:rsidP="00053B66">
      <w:pPr>
        <w:spacing w:after="0"/>
      </w:pPr>
      <w:permStart w:id="701847922" w:edGrp="everyone"/>
      <w:r>
        <w:t>TYPE YOUR TEXT HERE</w:t>
      </w:r>
    </w:p>
    <w:permEnd w:id="701847922"/>
    <w:p w14:paraId="795B7411" w14:textId="77777777"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3406AA11" w14:textId="77777777" w:rsidR="00E32876" w:rsidRPr="00E32876" w:rsidRDefault="00E32876" w:rsidP="00E32876">
      <w:pPr>
        <w:spacing w:after="0"/>
        <w:rPr>
          <w:lang w:val="en-US"/>
        </w:rPr>
      </w:pPr>
      <w:permStart w:id="1511019203" w:edGrp="everyone"/>
      <w:r w:rsidRPr="00E32876">
        <w:rPr>
          <w:lang w:val="en-US"/>
        </w:rPr>
        <w:t xml:space="preserve">We haven’t comments on what ESMA has proposed. We do, however, </w:t>
      </w:r>
      <w:proofErr w:type="spellStart"/>
      <w:r w:rsidRPr="00E32876">
        <w:rPr>
          <w:lang w:val="en-US"/>
        </w:rPr>
        <w:t>emphasise</w:t>
      </w:r>
      <w:proofErr w:type="spellEnd"/>
      <w:r w:rsidRPr="00E32876">
        <w:rPr>
          <w:lang w:val="en-US"/>
        </w:rPr>
        <w:t xml:space="preserve"> that the requirements should be aligned as closely as possible with those for the provision of corresponding financial services (</w:t>
      </w:r>
      <w:proofErr w:type="gramStart"/>
      <w:r w:rsidRPr="00E32876">
        <w:rPr>
          <w:lang w:val="en-US"/>
        </w:rPr>
        <w:t>e.g.</w:t>
      </w:r>
      <w:proofErr w:type="gramEnd"/>
      <w:r w:rsidRPr="00E32876">
        <w:rPr>
          <w:lang w:val="en-US"/>
        </w:rPr>
        <w:t xml:space="preserve"> investment services). The misalignment of regulation - although limited - leads banks and investment firms to apply partially different requirements about the provision of financial services and corresponding services involving crypto-assets. By way of example, we highlight some differences determined, however, by Level I regulation:</w:t>
      </w:r>
    </w:p>
    <w:p w14:paraId="7EB72E15" w14:textId="77777777" w:rsidR="00E32876" w:rsidRPr="00E32876" w:rsidRDefault="00E32876" w:rsidP="00E32876">
      <w:pPr>
        <w:numPr>
          <w:ilvl w:val="0"/>
          <w:numId w:val="15"/>
        </w:numPr>
        <w:spacing w:after="0"/>
        <w:rPr>
          <w:lang w:val="en-US"/>
        </w:rPr>
      </w:pPr>
      <w:r w:rsidRPr="00E32876">
        <w:rPr>
          <w:lang w:val="en-US"/>
        </w:rPr>
        <w:t xml:space="preserve">for the provision of services on </w:t>
      </w:r>
      <w:proofErr w:type="gramStart"/>
      <w:r w:rsidRPr="00E32876">
        <w:rPr>
          <w:lang w:val="en-US"/>
        </w:rPr>
        <w:t>crypto-assets</w:t>
      </w:r>
      <w:proofErr w:type="gramEnd"/>
      <w:r w:rsidRPr="00E32876">
        <w:rPr>
          <w:lang w:val="en-US"/>
        </w:rPr>
        <w:t>, there is an obligation to publish the Conflicts of Interest Policy, which isn’t reflected in the MiFID regulation;</w:t>
      </w:r>
    </w:p>
    <w:p w14:paraId="546FC8A6" w14:textId="77777777" w:rsidR="00E32876" w:rsidRPr="00E32876" w:rsidRDefault="00E32876" w:rsidP="00E32876">
      <w:pPr>
        <w:numPr>
          <w:ilvl w:val="0"/>
          <w:numId w:val="15"/>
        </w:numPr>
        <w:spacing w:after="0"/>
        <w:rPr>
          <w:lang w:val="en-US"/>
        </w:rPr>
      </w:pPr>
      <w:r w:rsidRPr="00E32876">
        <w:rPr>
          <w:lang w:val="en-US"/>
        </w:rPr>
        <w:t xml:space="preserve">the MiFID regulation provides for a disclosure obligation regarding the insufficiency of its safeguards that isn’t provided for in the </w:t>
      </w:r>
      <w:proofErr w:type="spellStart"/>
      <w:r w:rsidRPr="00E32876">
        <w:rPr>
          <w:lang w:val="en-US"/>
        </w:rPr>
        <w:t>MiCA</w:t>
      </w:r>
      <w:proofErr w:type="spellEnd"/>
      <w:r w:rsidRPr="00E32876">
        <w:rPr>
          <w:lang w:val="en-US"/>
        </w:rPr>
        <w:t xml:space="preserve"> Regulation.</w:t>
      </w:r>
    </w:p>
    <w:p w14:paraId="3CE8AE21" w14:textId="24501D92" w:rsidR="00053B66" w:rsidRPr="00E32876" w:rsidRDefault="00E32876" w:rsidP="00053B66">
      <w:pPr>
        <w:spacing w:after="0"/>
        <w:rPr>
          <w:lang w:val="en-US"/>
        </w:rPr>
      </w:pPr>
      <w:r w:rsidRPr="00E32876">
        <w:rPr>
          <w:lang w:val="en-US"/>
        </w:rPr>
        <w:t>Concerning par. 123, in the Section “Resources dedicated to the implementation, maintenance and review of the conflicts of interest policies and procedures</w:t>
      </w:r>
      <w:r w:rsidRPr="00E32876">
        <w:rPr>
          <w:b/>
          <w:bCs/>
          <w:lang w:val="en-US"/>
        </w:rPr>
        <w:t xml:space="preserve">”, </w:t>
      </w:r>
      <w:r w:rsidRPr="00E32876">
        <w:rPr>
          <w:lang w:val="en-US"/>
        </w:rPr>
        <w:t>the Level 2 regulation requires that the identification, prevention, and management of conflicts of interest be assigned to dedicated resources, implicitly referring to the establishment of a specific function. This obligation isn’t even reflected in the most comprehensive regulation on the subject (MiFID II) and is not consistent with the division of responsibilities in supervised institutions, where the identification, prevention, and control of conflicts of interest are divided between Level I, II and III without the provision of a dedicated function.</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lastRenderedPageBreak/>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5C843C6B" w14:textId="77777777" w:rsidR="00053B66" w:rsidRDefault="00053B66" w:rsidP="00053B66">
      <w:pPr>
        <w:spacing w:after="0"/>
      </w:pPr>
      <w:permStart w:id="970919143" w:edGrp="everyone"/>
      <w:r>
        <w:t>TYPE YOUR TEXT HERE</w:t>
      </w:r>
    </w:p>
    <w:permEnd w:id="970919143"/>
    <w:p w14:paraId="580ECE41" w14:textId="77777777"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14DE59A2" w14:textId="77777777" w:rsidR="00053B66" w:rsidRDefault="00053B66" w:rsidP="00053B66">
      <w:pPr>
        <w:spacing w:after="0"/>
      </w:pPr>
      <w:permStart w:id="505041785" w:edGrp="everyone"/>
      <w:r>
        <w:t>TYPE YOUR TEXT HERE</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77777777" w:rsidR="00053B66" w:rsidRDefault="00053B66" w:rsidP="00053B66">
      <w:pPr>
        <w:spacing w:after="0"/>
      </w:pPr>
      <w:permStart w:id="1604132244" w:edGrp="everyone"/>
      <w:r>
        <w:t>TYPE YOUR TEXT HERE</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0F5B6E9C" w14:textId="77777777" w:rsidR="00053B66" w:rsidRDefault="00053B66" w:rsidP="00053B66">
      <w:pPr>
        <w:spacing w:after="0"/>
      </w:pPr>
      <w:permStart w:id="2039561759" w:edGrp="everyone"/>
      <w:r>
        <w:t>TYPE YOUR TEXT HERE</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 xml:space="preserve">In which EU jurisdiction(s) do you plan to be authorised to provide CASP services? In which EU jurisdiction(s) do you plan to provide CASP services under cross-border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1082EE37" w14:textId="77777777" w:rsidR="00053B66" w:rsidRDefault="00053B66" w:rsidP="00053B66">
      <w:pPr>
        <w:spacing w:after="0"/>
      </w:pPr>
      <w:permStart w:id="383456857" w:edGrp="everyone"/>
      <w:r>
        <w:t>TYPE YOUR TEXT HERE</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 xml:space="preserve">What crypto asset services as listed in point 16 of Article 3(1) of Regulation (EU) 2023/1114 do you plan to offer (e.g. reception/transmission of orders; execution of </w:t>
      </w:r>
      <w:r w:rsidRPr="00232FE1">
        <w:rPr>
          <w:lang w:val="en-US"/>
        </w:rPr>
        <w:lastRenderedPageBreak/>
        <w:t>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77777777" w:rsidR="00053B66" w:rsidRDefault="00053B66" w:rsidP="00053B66">
      <w:pPr>
        <w:spacing w:after="0"/>
      </w:pPr>
      <w:permStart w:id="582572925" w:edGrp="everyone"/>
      <w:r>
        <w:t>TYPE YOUR TEXT HERE</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77777777" w:rsidR="00053B66" w:rsidRDefault="00053B66" w:rsidP="00053B66">
      <w:pPr>
        <w:spacing w:after="0"/>
      </w:pPr>
      <w:permStart w:id="161616433" w:edGrp="everyone"/>
      <w:r>
        <w:t>TYPE YOUR TEXT HERE</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7BC413D0" w14:textId="77777777" w:rsidR="00053B66" w:rsidRDefault="00053B66" w:rsidP="00053B66">
      <w:pPr>
        <w:spacing w:after="0"/>
      </w:pPr>
      <w:permStart w:id="2066971662" w:edGrp="everyone"/>
      <w:r>
        <w:t>TYPE YOUR TEXT HERE</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4B0FAEF2" w14:textId="77777777" w:rsidR="00053B66" w:rsidRDefault="00053B66" w:rsidP="00053B66">
      <w:pPr>
        <w:spacing w:after="0"/>
      </w:pPr>
      <w:permStart w:id="1998288486" w:edGrp="everyone"/>
      <w:r>
        <w:t>TYPE YOUR TEXT HERE</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7BD23659" w14:textId="77777777" w:rsidR="00053B66" w:rsidRDefault="00053B66" w:rsidP="00053B66">
      <w:pPr>
        <w:spacing w:after="0"/>
      </w:pPr>
      <w:permStart w:id="801857389" w:edGrp="everyone"/>
      <w:r>
        <w:t>TYPE YOUR TEXT HERE</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7C81DA94" w14:textId="77777777" w:rsidR="00053B66" w:rsidRDefault="00053B66" w:rsidP="00053B66">
      <w:pPr>
        <w:spacing w:after="0"/>
      </w:pPr>
      <w:permStart w:id="836922226" w:edGrp="everyone"/>
      <w:r>
        <w:t>TYPE YOUR TEXT HERE</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lastRenderedPageBreak/>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FA922A3" w14:textId="77777777" w:rsidR="00053B66" w:rsidRDefault="00053B66" w:rsidP="00053B66">
      <w:pPr>
        <w:spacing w:after="0"/>
      </w:pPr>
      <w:permStart w:id="1093928768" w:edGrp="everyone"/>
      <w:r>
        <w:t>TYPE YOUR TEXT HERE</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3F86A4FA" w14:textId="77777777" w:rsidR="00053B66" w:rsidRDefault="00053B66" w:rsidP="00053B66">
      <w:pPr>
        <w:spacing w:after="0"/>
      </w:pPr>
      <w:permStart w:id="62880092" w:edGrp="everyone"/>
      <w:r>
        <w:t>TYPE YOUR TEXT HERE</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037FA96D" w14:textId="77777777" w:rsidR="00053B66" w:rsidRDefault="00053B66" w:rsidP="00053B66">
      <w:pPr>
        <w:spacing w:after="0"/>
      </w:pPr>
      <w:permStart w:id="92292884" w:edGrp="everyone"/>
      <w:r>
        <w:t>TYPE YOUR TEXT HERE</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7777777" w:rsidR="00053B66" w:rsidRDefault="00053B66" w:rsidP="00053B66">
      <w:pPr>
        <w:spacing w:after="0"/>
      </w:pPr>
      <w:permStart w:id="1208879879" w:edGrp="everyone"/>
      <w:r>
        <w:t>TYPE YOUR TEXT HERE</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6128D74A" w14:textId="77777777" w:rsidR="00053B66" w:rsidRDefault="00053B66" w:rsidP="00053B66">
      <w:pPr>
        <w:spacing w:after="0"/>
      </w:pPr>
      <w:permStart w:id="1270486936" w:edGrp="everyone"/>
      <w:r>
        <w:t>TYPE YOUR TEXT HERE</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06236DD6" w14:textId="77777777" w:rsidR="00053B66" w:rsidRDefault="00053B66" w:rsidP="00053B66">
      <w:pPr>
        <w:spacing w:after="0"/>
      </w:pPr>
      <w:permStart w:id="1095572356" w:edGrp="everyone"/>
      <w:r>
        <w:t>TYPE YOUR TEXT HERE</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lastRenderedPageBreak/>
        <w:t>&lt;ESMA_QUESTION_MICA_0&gt;</w:t>
      </w:r>
    </w:p>
    <w:p w14:paraId="5BE8C1EC" w14:textId="77777777" w:rsidR="00053B66" w:rsidRDefault="00053B66" w:rsidP="00053B66">
      <w:pPr>
        <w:spacing w:after="0"/>
      </w:pPr>
      <w:permStart w:id="763120942" w:edGrp="everyone"/>
      <w:r>
        <w:t>TYPE YOUR TEXT HERE</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77777777" w:rsidR="00053B66" w:rsidRDefault="00053B66" w:rsidP="00053B66">
      <w:pPr>
        <w:spacing w:after="0"/>
      </w:pPr>
      <w:permStart w:id="906512199" w:edGrp="everyone"/>
      <w:r>
        <w:t>TYPE YOUR TEXT HERE</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05AC54C8" w14:textId="77777777" w:rsidR="00053B66" w:rsidRDefault="00053B66" w:rsidP="00053B66">
      <w:pPr>
        <w:spacing w:after="0"/>
      </w:pPr>
      <w:permStart w:id="398799201" w:edGrp="everyone"/>
      <w:r>
        <w:t>TYPE YOUR TEXT HERE</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0F4094BF" w14:textId="77777777" w:rsidR="00053B66" w:rsidRDefault="00053B66" w:rsidP="00053B66">
      <w:pPr>
        <w:spacing w:after="0"/>
      </w:pPr>
      <w:permStart w:id="1067196549" w:edGrp="everyone"/>
      <w:r>
        <w:t>TYPE YOUR TEXT HERE</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28A697D7" w14:textId="77777777" w:rsidR="00053B66" w:rsidRDefault="00053B66" w:rsidP="00053B66">
      <w:pPr>
        <w:spacing w:after="0"/>
      </w:pPr>
      <w:permStart w:id="1159725143" w:edGrp="everyone"/>
      <w:r>
        <w:t>TYPE YOUR TEXT HERE</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t>&lt;ESMA_QUESTION_MICA_0&gt;</w:t>
      </w:r>
    </w:p>
    <w:p w14:paraId="3D7B6A4F" w14:textId="77777777" w:rsidR="00053B66" w:rsidRDefault="00053B66" w:rsidP="00053B66">
      <w:pPr>
        <w:spacing w:after="0"/>
      </w:pPr>
      <w:permStart w:id="1159099184" w:edGrp="everyone"/>
      <w:r>
        <w:t>TYPE YOUR TEXT HERE</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111B888A" w14:textId="77777777" w:rsidR="00053B66" w:rsidRDefault="00053B66" w:rsidP="00053B66">
      <w:pPr>
        <w:spacing w:after="0"/>
      </w:pPr>
      <w:permStart w:id="745569399" w:edGrp="everyone"/>
      <w:r>
        <w:t>TYPE YOUR TEXT HERE</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04AE" w14:textId="77777777" w:rsidR="00E45944" w:rsidRDefault="00E45944" w:rsidP="007E7997">
      <w:pPr>
        <w:spacing w:line="240" w:lineRule="auto"/>
      </w:pPr>
      <w:r>
        <w:separator/>
      </w:r>
    </w:p>
  </w:endnote>
  <w:endnote w:type="continuationSeparator" w:id="0">
    <w:p w14:paraId="146A0166" w14:textId="77777777" w:rsidR="00E45944" w:rsidRDefault="00E45944" w:rsidP="007E7997">
      <w:pPr>
        <w:spacing w:line="240" w:lineRule="auto"/>
      </w:pPr>
      <w:r>
        <w:continuationSeparator/>
      </w:r>
    </w:p>
  </w:endnote>
  <w:endnote w:type="continuationNotice" w:id="1">
    <w:p w14:paraId="249A48DB" w14:textId="77777777" w:rsidR="00E45944" w:rsidRDefault="00E45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Pidipagina"/>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Collegamentoipertestuale"/>
              <w:rFonts w:ascii="Arial" w:hAnsi="Arial" w:cs="Arial"/>
              <w:sz w:val="15"/>
              <w:szCs w:val="15"/>
              <w:lang w:val="fr-FR"/>
            </w:rPr>
            <w:t>www.esma.</w:t>
          </w:r>
          <w:r w:rsidRPr="00A8626B">
            <w:rPr>
              <w:rStyle w:val="Collegamentoipertestuale"/>
              <w:sz w:val="15"/>
              <w:szCs w:val="15"/>
              <w:lang w:val="fr-BE"/>
            </w:rPr>
            <w:t>europa</w:t>
          </w:r>
          <w:r w:rsidRPr="00A8626B">
            <w:rPr>
              <w:rStyle w:val="Collegamentoipertestuale"/>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9337" w14:textId="77777777" w:rsidR="00E45944" w:rsidRDefault="00E45944" w:rsidP="007E7997">
      <w:pPr>
        <w:spacing w:line="240" w:lineRule="auto"/>
      </w:pPr>
      <w:r>
        <w:separator/>
      </w:r>
    </w:p>
  </w:footnote>
  <w:footnote w:type="continuationSeparator" w:id="0">
    <w:p w14:paraId="4B22F2E1" w14:textId="77777777" w:rsidR="00E45944" w:rsidRDefault="00E45944" w:rsidP="007E7997">
      <w:pPr>
        <w:spacing w:line="240" w:lineRule="auto"/>
      </w:pPr>
      <w:r>
        <w:continuationSeparator/>
      </w:r>
    </w:p>
  </w:footnote>
  <w:footnote w:type="continuationNotice" w:id="1">
    <w:p w14:paraId="3DA22EF5" w14:textId="77777777" w:rsidR="00E45944" w:rsidRDefault="00E459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Intestazione"/>
      <w:rPr>
        <w:bCs/>
        <w:caps/>
        <w:color w:val="FF0000" w:themeColor="accent6"/>
        <w:sz w:val="22"/>
      </w:rPr>
    </w:pPr>
    <w:r w:rsidRPr="008858FE">
      <w:rPr>
        <w:rStyle w:val="ESMAConfidentialRestricted"/>
        <w:noProof/>
      </w:rPr>
      <w:drawing>
        <wp:anchor distT="0" distB="0" distL="114300" distR="114300" simplePos="0" relativeHeight="251658241"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Intestazione"/>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Intestazione"/>
    </w:pPr>
  </w:p>
  <w:p w14:paraId="6A43EA5E" w14:textId="4A830C83" w:rsidR="00AD0B10" w:rsidRDefault="00AD0B10" w:rsidP="0043139E">
    <w:pPr>
      <w:pStyle w:val="Intestazione"/>
    </w:pPr>
  </w:p>
  <w:p w14:paraId="2083DACE" w14:textId="77777777" w:rsidR="00AD0B10" w:rsidRPr="0043139E" w:rsidRDefault="00AD0B10" w:rsidP="0043139E">
    <w:pPr>
      <w:pStyle w:val="Intestazione"/>
    </w:pPr>
  </w:p>
  <w:p w14:paraId="140A363C" w14:textId="77777777" w:rsidR="006A44DA" w:rsidRPr="0043139E" w:rsidRDefault="006A44DA" w:rsidP="0043139E">
    <w:pPr>
      <w:pStyle w:val="Intestazione"/>
    </w:pPr>
  </w:p>
  <w:p w14:paraId="66CF4BF9" w14:textId="4F625EE8" w:rsidR="006A44DA" w:rsidRPr="0043139E" w:rsidRDefault="008858FE" w:rsidP="0043139E">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Intestazione"/>
    </w:pPr>
  </w:p>
  <w:p w14:paraId="70942C9C" w14:textId="77777777" w:rsidR="00672010" w:rsidRPr="0043139E" w:rsidRDefault="00672010" w:rsidP="0043139E">
    <w:pPr>
      <w:pStyle w:val="Intestazione"/>
    </w:pPr>
  </w:p>
  <w:p w14:paraId="7F8040EC" w14:textId="77777777" w:rsidR="0018540C" w:rsidRPr="0043139E" w:rsidRDefault="0018540C" w:rsidP="0043139E">
    <w:pPr>
      <w:pStyle w:val="Intestazione"/>
    </w:pPr>
  </w:p>
  <w:p w14:paraId="76479F6F" w14:textId="77777777" w:rsidR="00CA565A" w:rsidRPr="0043139E" w:rsidRDefault="00CA565A" w:rsidP="0043139E">
    <w:pPr>
      <w:pStyle w:val="Intestazione"/>
    </w:pPr>
  </w:p>
  <w:p w14:paraId="34BC4F59" w14:textId="77777777" w:rsidR="00CA565A" w:rsidRPr="0043139E" w:rsidRDefault="00CA565A" w:rsidP="0043139E">
    <w:pPr>
      <w:pStyle w:val="Intestazione"/>
    </w:pPr>
  </w:p>
  <w:p w14:paraId="373CE412" w14:textId="77777777" w:rsidR="0018540C" w:rsidRPr="0043139E" w:rsidRDefault="0018540C" w:rsidP="0043139E">
    <w:pPr>
      <w:pStyle w:val="Intestazione"/>
    </w:pPr>
  </w:p>
  <w:p w14:paraId="36065F1B" w14:textId="154438DA" w:rsidR="0018540C" w:rsidRDefault="0018540C" w:rsidP="0043139E">
    <w:pPr>
      <w:pStyle w:val="Intestazione"/>
    </w:pPr>
  </w:p>
  <w:p w14:paraId="7545C91A" w14:textId="77777777" w:rsidR="0043139E" w:rsidRPr="0043139E" w:rsidRDefault="0043139E" w:rsidP="0043139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Intestazione"/>
    </w:pPr>
  </w:p>
  <w:p w14:paraId="410BE8FC" w14:textId="77777777" w:rsidR="006A44DA" w:rsidRDefault="006A44DA">
    <w:pPr>
      <w:pStyle w:val="Intestazione"/>
    </w:pPr>
  </w:p>
  <w:p w14:paraId="00F5D8E1" w14:textId="77777777" w:rsidR="006A44DA" w:rsidRDefault="006A44DA">
    <w:pPr>
      <w:pStyle w:val="Intestazione"/>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Intestazione"/>
    </w:pPr>
  </w:p>
  <w:p w14:paraId="76D78551" w14:textId="45227A06" w:rsidR="00AD0B10" w:rsidRDefault="00AD0B10" w:rsidP="00AD0B10">
    <w:pPr>
      <w:pStyle w:val="Intestazione"/>
    </w:pPr>
  </w:p>
  <w:p w14:paraId="07229907" w14:textId="72859089" w:rsidR="00AD0B10" w:rsidRPr="0043139E" w:rsidRDefault="00AD0B10" w:rsidP="00AD0B10">
    <w:pPr>
      <w:pStyle w:val="Intestazione"/>
    </w:pPr>
    <w:r w:rsidRPr="0043139E">
      <w:rPr>
        <w:rStyle w:val="ESMARegularuse"/>
        <w:bCs w:val="0"/>
        <w:caps w:val="0"/>
        <w:noProof/>
        <w:color w:val="001B4F" w:themeColor="text1" w:themeShade="80"/>
        <w:sz w:val="16"/>
      </w:rPr>
      <w:drawing>
        <wp:anchor distT="0" distB="0" distL="114300" distR="114300" simplePos="0" relativeHeight="25166029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5C85453"/>
    <w:multiLevelType w:val="hybridMultilevel"/>
    <w:tmpl w:val="6A6879C4"/>
    <w:lvl w:ilvl="0" w:tplc="6AA826E4">
      <w:numFmt w:val="bullet"/>
      <w:lvlText w:val="-"/>
      <w:lvlJc w:val="left"/>
      <w:pPr>
        <w:ind w:left="1440" w:hanging="360"/>
      </w:pPr>
      <w:rPr>
        <w:rFonts w:ascii="Century Gothic" w:eastAsia="Times New Roman" w:hAnsi="Century Gothic"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A0B7DC0"/>
    <w:multiLevelType w:val="hybridMultilevel"/>
    <w:tmpl w:val="D7F8D7F8"/>
    <w:lvl w:ilvl="0" w:tplc="041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663CB"/>
    <w:multiLevelType w:val="hybridMultilevel"/>
    <w:tmpl w:val="B3F40CA6"/>
    <w:lvl w:ilvl="0" w:tplc="ACB06F0C">
      <w:start w:val="1"/>
      <w:numFmt w:val="bullet"/>
      <w:pStyle w:val="Paragrafoelenco"/>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6BAD1101"/>
    <w:multiLevelType w:val="multilevel"/>
    <w:tmpl w:val="647663A2"/>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15:restartNumberingAfterBreak="0">
    <w:nsid w:val="6D157ECE"/>
    <w:multiLevelType w:val="hybridMultilevel"/>
    <w:tmpl w:val="00B2FDE0"/>
    <w:lvl w:ilvl="0" w:tplc="6AA826E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3464995">
    <w:abstractNumId w:val="4"/>
  </w:num>
  <w:num w:numId="2" w16cid:durableId="1222054594">
    <w:abstractNumId w:val="4"/>
  </w:num>
  <w:num w:numId="3" w16cid:durableId="2071421525">
    <w:abstractNumId w:val="11"/>
  </w:num>
  <w:num w:numId="4" w16cid:durableId="270287514">
    <w:abstractNumId w:val="5"/>
  </w:num>
  <w:num w:numId="5" w16cid:durableId="1824855989">
    <w:abstractNumId w:val="10"/>
  </w:num>
  <w:num w:numId="6" w16cid:durableId="1651521833">
    <w:abstractNumId w:val="8"/>
  </w:num>
  <w:num w:numId="7" w16cid:durableId="650520466">
    <w:abstractNumId w:val="0"/>
  </w:num>
  <w:num w:numId="8" w16cid:durableId="1913006406">
    <w:abstractNumId w:val="6"/>
  </w:num>
  <w:num w:numId="9" w16cid:durableId="1653871588">
    <w:abstractNumId w:val="3"/>
  </w:num>
  <w:num w:numId="10" w16cid:durableId="67121918">
    <w:abstractNumId w:val="2"/>
  </w:num>
  <w:num w:numId="11" w16cid:durableId="1675497260">
    <w:abstractNumId w:val="9"/>
  </w:num>
  <w:num w:numId="12" w16cid:durableId="1146706333">
    <w:abstractNumId w:val="4"/>
  </w:num>
  <w:num w:numId="13" w16cid:durableId="619654631">
    <w:abstractNumId w:val="7"/>
  </w:num>
  <w:num w:numId="14" w16cid:durableId="867134623">
    <w:abstractNumId w:val="1"/>
  </w:num>
  <w:num w:numId="15" w16cid:durableId="158309869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Yr3WI77iCOLfiOuThphB+Kmjk8cIaoA9590o8h9lcOPa3ICKV69U9LLyR9LAvPwQ/5CwhwUyVEfgUy/xANJw==" w:salt="tBpOLdpm3Jvs51NVxpOQ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3CA1"/>
    <w:rsid w:val="00015167"/>
    <w:rsid w:val="00020300"/>
    <w:rsid w:val="00021485"/>
    <w:rsid w:val="00025A7F"/>
    <w:rsid w:val="000372BF"/>
    <w:rsid w:val="0004374E"/>
    <w:rsid w:val="00044C5A"/>
    <w:rsid w:val="00045BA9"/>
    <w:rsid w:val="000504AC"/>
    <w:rsid w:val="00053B66"/>
    <w:rsid w:val="00054C9F"/>
    <w:rsid w:val="00087D2D"/>
    <w:rsid w:val="000A7CF6"/>
    <w:rsid w:val="000B5D3D"/>
    <w:rsid w:val="000C0CE0"/>
    <w:rsid w:val="000C1E78"/>
    <w:rsid w:val="000C7EDE"/>
    <w:rsid w:val="000D1038"/>
    <w:rsid w:val="000D1E53"/>
    <w:rsid w:val="000E7879"/>
    <w:rsid w:val="00100177"/>
    <w:rsid w:val="00110E98"/>
    <w:rsid w:val="00115648"/>
    <w:rsid w:val="00130EF9"/>
    <w:rsid w:val="00144AAD"/>
    <w:rsid w:val="00157895"/>
    <w:rsid w:val="0016369E"/>
    <w:rsid w:val="00170D8A"/>
    <w:rsid w:val="001752CF"/>
    <w:rsid w:val="0018540C"/>
    <w:rsid w:val="00194440"/>
    <w:rsid w:val="00197FF5"/>
    <w:rsid w:val="001B2151"/>
    <w:rsid w:val="001B4996"/>
    <w:rsid w:val="001B73E7"/>
    <w:rsid w:val="001C69A8"/>
    <w:rsid w:val="001D7492"/>
    <w:rsid w:val="001E0367"/>
    <w:rsid w:val="001F6DD6"/>
    <w:rsid w:val="001F7E7D"/>
    <w:rsid w:val="00205C40"/>
    <w:rsid w:val="0020622B"/>
    <w:rsid w:val="0021101C"/>
    <w:rsid w:val="00213569"/>
    <w:rsid w:val="00233DDB"/>
    <w:rsid w:val="0024051F"/>
    <w:rsid w:val="00245056"/>
    <w:rsid w:val="002533FC"/>
    <w:rsid w:val="002537CE"/>
    <w:rsid w:val="002574D1"/>
    <w:rsid w:val="00263AFF"/>
    <w:rsid w:val="0026459D"/>
    <w:rsid w:val="00287547"/>
    <w:rsid w:val="002A0C3C"/>
    <w:rsid w:val="002B59F0"/>
    <w:rsid w:val="002D557C"/>
    <w:rsid w:val="002E1C11"/>
    <w:rsid w:val="002E4311"/>
    <w:rsid w:val="002E7268"/>
    <w:rsid w:val="00305D1F"/>
    <w:rsid w:val="00314117"/>
    <w:rsid w:val="00317DF8"/>
    <w:rsid w:val="00317EDF"/>
    <w:rsid w:val="00323BFD"/>
    <w:rsid w:val="003279E7"/>
    <w:rsid w:val="0033324D"/>
    <w:rsid w:val="003454ED"/>
    <w:rsid w:val="00347121"/>
    <w:rsid w:val="00366D42"/>
    <w:rsid w:val="0037245E"/>
    <w:rsid w:val="00374D79"/>
    <w:rsid w:val="003C4EB5"/>
    <w:rsid w:val="003D61FE"/>
    <w:rsid w:val="003E2667"/>
    <w:rsid w:val="003F0BBC"/>
    <w:rsid w:val="003F39B1"/>
    <w:rsid w:val="003F4AFE"/>
    <w:rsid w:val="00405453"/>
    <w:rsid w:val="00415D98"/>
    <w:rsid w:val="00424573"/>
    <w:rsid w:val="004302ED"/>
    <w:rsid w:val="0043139E"/>
    <w:rsid w:val="00435FE9"/>
    <w:rsid w:val="00445696"/>
    <w:rsid w:val="00454259"/>
    <w:rsid w:val="00463479"/>
    <w:rsid w:val="0048000F"/>
    <w:rsid w:val="004D7F13"/>
    <w:rsid w:val="004E5FF8"/>
    <w:rsid w:val="00501C1C"/>
    <w:rsid w:val="00501EF4"/>
    <w:rsid w:val="00516CBA"/>
    <w:rsid w:val="005264C5"/>
    <w:rsid w:val="00526E5D"/>
    <w:rsid w:val="00527C09"/>
    <w:rsid w:val="00557BD2"/>
    <w:rsid w:val="00563C1F"/>
    <w:rsid w:val="005647ED"/>
    <w:rsid w:val="00565193"/>
    <w:rsid w:val="00572A06"/>
    <w:rsid w:val="0057524C"/>
    <w:rsid w:val="005A07B6"/>
    <w:rsid w:val="005A7EDB"/>
    <w:rsid w:val="005B3BA8"/>
    <w:rsid w:val="005B6B12"/>
    <w:rsid w:val="005E0F48"/>
    <w:rsid w:val="005E2E82"/>
    <w:rsid w:val="005F002F"/>
    <w:rsid w:val="005F0F25"/>
    <w:rsid w:val="005F1194"/>
    <w:rsid w:val="006014B2"/>
    <w:rsid w:val="00601C34"/>
    <w:rsid w:val="006035B0"/>
    <w:rsid w:val="006334B4"/>
    <w:rsid w:val="0063565E"/>
    <w:rsid w:val="00636E02"/>
    <w:rsid w:val="00642297"/>
    <w:rsid w:val="0064351D"/>
    <w:rsid w:val="00644A34"/>
    <w:rsid w:val="006604BE"/>
    <w:rsid w:val="00662882"/>
    <w:rsid w:val="00665A7C"/>
    <w:rsid w:val="00671363"/>
    <w:rsid w:val="00672010"/>
    <w:rsid w:val="00672C04"/>
    <w:rsid w:val="006760AD"/>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4107"/>
    <w:rsid w:val="00740229"/>
    <w:rsid w:val="00747785"/>
    <w:rsid w:val="0076571A"/>
    <w:rsid w:val="00766D94"/>
    <w:rsid w:val="007675BB"/>
    <w:rsid w:val="007823A2"/>
    <w:rsid w:val="00784292"/>
    <w:rsid w:val="00787413"/>
    <w:rsid w:val="00794595"/>
    <w:rsid w:val="00794C71"/>
    <w:rsid w:val="00797E0C"/>
    <w:rsid w:val="007D0DC1"/>
    <w:rsid w:val="007D5C4D"/>
    <w:rsid w:val="007E7997"/>
    <w:rsid w:val="00810C3D"/>
    <w:rsid w:val="0082744A"/>
    <w:rsid w:val="00840EC8"/>
    <w:rsid w:val="00842AC5"/>
    <w:rsid w:val="00843C16"/>
    <w:rsid w:val="0085754A"/>
    <w:rsid w:val="008638AF"/>
    <w:rsid w:val="008755EE"/>
    <w:rsid w:val="008858FE"/>
    <w:rsid w:val="0089075A"/>
    <w:rsid w:val="00891391"/>
    <w:rsid w:val="00895081"/>
    <w:rsid w:val="008A1115"/>
    <w:rsid w:val="008C767A"/>
    <w:rsid w:val="008D5C28"/>
    <w:rsid w:val="008D7023"/>
    <w:rsid w:val="00906D18"/>
    <w:rsid w:val="00925E04"/>
    <w:rsid w:val="00932A63"/>
    <w:rsid w:val="00944EC7"/>
    <w:rsid w:val="00966881"/>
    <w:rsid w:val="00972E4C"/>
    <w:rsid w:val="0098532F"/>
    <w:rsid w:val="0099526D"/>
    <w:rsid w:val="009A3DA7"/>
    <w:rsid w:val="009A7F6B"/>
    <w:rsid w:val="009B2BFF"/>
    <w:rsid w:val="009C7694"/>
    <w:rsid w:val="009D7294"/>
    <w:rsid w:val="009E2971"/>
    <w:rsid w:val="00A026A4"/>
    <w:rsid w:val="00A0307C"/>
    <w:rsid w:val="00A30210"/>
    <w:rsid w:val="00A410CC"/>
    <w:rsid w:val="00A465A6"/>
    <w:rsid w:val="00A772D0"/>
    <w:rsid w:val="00A85E27"/>
    <w:rsid w:val="00A91D91"/>
    <w:rsid w:val="00AA054E"/>
    <w:rsid w:val="00AB7542"/>
    <w:rsid w:val="00AC7764"/>
    <w:rsid w:val="00AC79E0"/>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4BFB"/>
    <w:rsid w:val="00B55ABB"/>
    <w:rsid w:val="00B655D1"/>
    <w:rsid w:val="00B73281"/>
    <w:rsid w:val="00B74FA7"/>
    <w:rsid w:val="00B7765E"/>
    <w:rsid w:val="00B85764"/>
    <w:rsid w:val="00B91B6E"/>
    <w:rsid w:val="00B947F8"/>
    <w:rsid w:val="00BB449C"/>
    <w:rsid w:val="00BC2561"/>
    <w:rsid w:val="00BC422A"/>
    <w:rsid w:val="00BE225E"/>
    <w:rsid w:val="00BE2B4F"/>
    <w:rsid w:val="00BE32FB"/>
    <w:rsid w:val="00BF25CD"/>
    <w:rsid w:val="00C0696A"/>
    <w:rsid w:val="00C123AA"/>
    <w:rsid w:val="00C138DD"/>
    <w:rsid w:val="00C36B53"/>
    <w:rsid w:val="00C570F9"/>
    <w:rsid w:val="00C717BC"/>
    <w:rsid w:val="00C73DBB"/>
    <w:rsid w:val="00C775F7"/>
    <w:rsid w:val="00C84A0F"/>
    <w:rsid w:val="00C90566"/>
    <w:rsid w:val="00CA04B9"/>
    <w:rsid w:val="00CA565A"/>
    <w:rsid w:val="00CB50EF"/>
    <w:rsid w:val="00CB64EB"/>
    <w:rsid w:val="00CB791A"/>
    <w:rsid w:val="00CD47B2"/>
    <w:rsid w:val="00CE49F8"/>
    <w:rsid w:val="00CE55C4"/>
    <w:rsid w:val="00CF01DC"/>
    <w:rsid w:val="00CF0BAC"/>
    <w:rsid w:val="00D0373D"/>
    <w:rsid w:val="00D1409C"/>
    <w:rsid w:val="00D22F2F"/>
    <w:rsid w:val="00D23A01"/>
    <w:rsid w:val="00D33C31"/>
    <w:rsid w:val="00D37F23"/>
    <w:rsid w:val="00D46275"/>
    <w:rsid w:val="00D604F0"/>
    <w:rsid w:val="00D60C99"/>
    <w:rsid w:val="00D70C07"/>
    <w:rsid w:val="00D73338"/>
    <w:rsid w:val="00D73444"/>
    <w:rsid w:val="00D740B5"/>
    <w:rsid w:val="00D77369"/>
    <w:rsid w:val="00DA74C1"/>
    <w:rsid w:val="00DB40AB"/>
    <w:rsid w:val="00DE3473"/>
    <w:rsid w:val="00DF3785"/>
    <w:rsid w:val="00E02098"/>
    <w:rsid w:val="00E203AD"/>
    <w:rsid w:val="00E2046D"/>
    <w:rsid w:val="00E21617"/>
    <w:rsid w:val="00E27B64"/>
    <w:rsid w:val="00E32876"/>
    <w:rsid w:val="00E3456B"/>
    <w:rsid w:val="00E366E2"/>
    <w:rsid w:val="00E40D9D"/>
    <w:rsid w:val="00E45944"/>
    <w:rsid w:val="00E500AC"/>
    <w:rsid w:val="00E55BB9"/>
    <w:rsid w:val="00E65F35"/>
    <w:rsid w:val="00E74E8C"/>
    <w:rsid w:val="00E775AE"/>
    <w:rsid w:val="00E81C78"/>
    <w:rsid w:val="00EA03D7"/>
    <w:rsid w:val="00EC6BD8"/>
    <w:rsid w:val="00ED4213"/>
    <w:rsid w:val="00ED74D7"/>
    <w:rsid w:val="00EF34F9"/>
    <w:rsid w:val="00EF6E2A"/>
    <w:rsid w:val="00F01F41"/>
    <w:rsid w:val="00F06455"/>
    <w:rsid w:val="00F1604B"/>
    <w:rsid w:val="00F205B9"/>
    <w:rsid w:val="00F219DE"/>
    <w:rsid w:val="00F226E0"/>
    <w:rsid w:val="00F67EBD"/>
    <w:rsid w:val="00F72D28"/>
    <w:rsid w:val="00F80FAB"/>
    <w:rsid w:val="00F87C05"/>
    <w:rsid w:val="00FA0D71"/>
    <w:rsid w:val="00FB3B3B"/>
    <w:rsid w:val="00FC18B4"/>
    <w:rsid w:val="00FD0060"/>
    <w:rsid w:val="00FD5617"/>
    <w:rsid w:val="00FD6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2FB"/>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sz w:val="22"/>
      <w:szCs w:val="22"/>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sz w:val="24"/>
      <w:szCs w:val="24"/>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Carpredefinitoparagrafo"/>
    <w:link w:val="Title1"/>
    <w:rsid w:val="00F205B9"/>
    <w:rPr>
      <w:rFonts w:asciiTheme="majorHAnsi" w:hAnsiTheme="majorHAnsi"/>
      <w:b/>
      <w:color w:val="00379F" w:themeColor="text1"/>
      <w:sz w:val="28"/>
      <w:lang w:val="en-GB"/>
    </w:rPr>
  </w:style>
  <w:style w:type="paragraph" w:styleId="Paragrafoelenco">
    <w:name w:val="List Paragraph"/>
    <w:basedOn w:val="Normale"/>
    <w:autoRedefine/>
    <w:uiPriority w:val="34"/>
    <w:qFormat/>
    <w:rsid w:val="005B6B12"/>
    <w:pPr>
      <w:numPr>
        <w:numId w:val="6"/>
      </w:numPr>
    </w:pPr>
  </w:style>
  <w:style w:type="paragraph" w:customStyle="1" w:styleId="Title3">
    <w:name w:val="Title 3"/>
    <w:basedOn w:val="Paragrafoelenco"/>
    <w:link w:val="Title3Char"/>
    <w:autoRedefine/>
    <w:rsid w:val="00F205B9"/>
    <w:pPr>
      <w:numPr>
        <w:ilvl w:val="3"/>
        <w:numId w:val="12"/>
      </w:numPr>
    </w:pPr>
  </w:style>
  <w:style w:type="character" w:customStyle="1" w:styleId="Title3Char">
    <w:name w:val="Title 3 Char"/>
    <w:basedOn w:val="Carpredefinitoparagrafo"/>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2"/>
      <w:szCs w:val="22"/>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013CA1"/>
    <w:pPr>
      <w:ind w:hanging="567"/>
      <w:contextualSpacing/>
    </w:pPr>
    <w:rPr>
      <w:b/>
    </w:rPr>
  </w:style>
  <w:style w:type="character" w:customStyle="1" w:styleId="QuestionstyleChar">
    <w:name w:val="Question style Char"/>
    <w:basedOn w:val="Carpredefinitoparagrafo"/>
    <w:link w:val="Questionstyle"/>
    <w:rsid w:val="00013CA1"/>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semiHidden/>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semiHidden/>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styleId="Testosegnaposto">
    <w:name w:val="Placeholder Text"/>
    <w:basedOn w:val="Carpredefinitoparagrafo"/>
    <w:uiPriority w:val="99"/>
    <w:semiHidden/>
    <w:rsid w:val="00013C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Testosegnaposto"/>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543E4C"/>
    <w:rsid w:val="005D399A"/>
    <w:rsid w:val="00917A1D"/>
    <w:rsid w:val="00A56298"/>
    <w:rsid w:val="00C025F0"/>
    <w:rsid w:val="00E91C43"/>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LT Policy Document" ma:contentTypeID="0x0101008D9E5D2C101BA04B85C7EB08C6516E400D007D32AA2BC5214641B582DB60B417C43F" ma:contentTypeVersion="24" ma:contentTypeDescription="" ma:contentTypeScope="" ma:versionID="d8daa37104a6cb7e43b5ccc4d4a8d059">
  <xsd:schema xmlns:xsd="http://www.w3.org/2001/XMLSchema" xmlns:xs="http://www.w3.org/2001/XMLSchema" xmlns:p="http://schemas.microsoft.com/office/2006/metadata/properties" xmlns:ns2="d0fb0f98-34f9-4d57-9559-eb8efd17aa5e" xmlns:ns3="1a087603-e2e1-4313-ba7a-ce8df6383954" xmlns:ns4="http://schemas.microsoft.com/sharepoint/v4" targetNamespace="http://schemas.microsoft.com/office/2006/metadata/properties" ma:root="true" ma:fieldsID="9db2d6a943a5539e5189ab1482e8807a" ns2:_="" ns3:_="" ns4:_="">
    <xsd:import namespace="d0fb0f98-34f9-4d57-9559-eb8efd17aa5e"/>
    <xsd:import namespace="1a087603-e2e1-4313-ba7a-ce8df6383954"/>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2b6fd931-81a3-4057-979e-f21b29f141c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87603-e2e1-4313-ba7a-ce8df638395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566</Value>
      <Value>766</Value>
      <Value>9</Value>
    </TaxCatchAll>
    <_dlc_DocId xmlns="d0fb0f98-34f9-4d57-9559-eb8efd17aa5e">ESMA74-449133380-434</_dlc_DocId>
    <_dlc_DocIdUrl xmlns="d0fb0f98-34f9-4d57-9559-eb8efd17aa5e">
      <Url>https://securitiesandmarketsauth.sharepoint.com/sites/sherpa-trdu/_layouts/15/DocIdRedir.aspx?ID=ESMA74-449133380-434</Url>
      <Description>ESMA74-449133380-434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Briefings_flash Reports</TermName>
          <TermId xmlns="http://schemas.microsoft.com/office/infopath/2007/PartnerControls">00888bce-2bec-4e49-a5a1-e4b129dc07fd</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MiCA</TermName>
          <TermId xmlns="http://schemas.microsoft.com/office/infopath/2007/PartnerControls">27759e3b-a285-4fa3-928e-432bfcc32e30</TermId>
        </TermInfo>
      </Terms>
    </caa5aeb1a6644849b60fbe2335e12657>
  </documentManagement>
</p:properties>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649359E9-AC71-4FB1-8ED2-6BDE25DF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a087603-e2e1-4313-ba7a-ce8df63839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2653</Words>
  <Characters>15128</Characters>
  <Application>Microsoft Office Word</Application>
  <DocSecurity>8</DocSecurity>
  <Lines>126</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Colaci Maria Rosa</cp:lastModifiedBy>
  <cp:revision>2</cp:revision>
  <dcterms:created xsi:type="dcterms:W3CDTF">2023-09-20T16:10:00Z</dcterms:created>
  <dcterms:modified xsi:type="dcterms:W3CDTF">2023-09-20T16:10:00Z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0x0101008D9E5D2C101BA04B85C7EB08C6516E400D007D32AA2BC5214641B582DB60B417C43F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ies>
</file>