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7A69F087" w:rsidR="00563C1F" w:rsidRDefault="0026459D" w:rsidP="00F72D28">
          <w:pPr>
            <w:pStyle w:val="Title"/>
          </w:pPr>
          <w:r>
            <w:t>Reply form</w:t>
          </w:r>
          <w:r w:rsidR="00563C1F">
            <w:t xml:space="preserve"> </w:t>
          </w:r>
          <w:permStart w:id="921725456" w:edGrp="everyone"/>
          <w:permEnd w:id="921725456"/>
        </w:p>
        <w:p w14:paraId="031F2108" w14:textId="7F17ECB9" w:rsidR="007E7997" w:rsidRDefault="0026459D" w:rsidP="00D77369">
          <w:pPr>
            <w:pStyle w:val="Subtitle"/>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ListParagraph"/>
          </w:pPr>
          <w:r w:rsidRPr="005B6B12">
            <w:t>respond to the question stated;</w:t>
          </w:r>
        </w:p>
        <w:p w14:paraId="72FD40F6" w14:textId="77777777" w:rsidR="002533FC" w:rsidRPr="005B6B12" w:rsidRDefault="002533FC" w:rsidP="002533FC">
          <w:pPr>
            <w:pStyle w:val="ListParagraph"/>
          </w:pPr>
          <w:r w:rsidRPr="005B6B12">
            <w:t>indicate the specific question to which the comment relates;</w:t>
          </w:r>
        </w:p>
        <w:p w14:paraId="78B206B7" w14:textId="77777777" w:rsidR="002533FC" w:rsidRPr="005B6B12" w:rsidRDefault="002533FC" w:rsidP="002533FC">
          <w:pPr>
            <w:pStyle w:val="ListParagraph"/>
          </w:pPr>
          <w:r w:rsidRPr="005B6B12">
            <w:t>contain a clear rationale; and</w:t>
          </w:r>
        </w:p>
        <w:p w14:paraId="60B8834E" w14:textId="77777777" w:rsidR="002533FC" w:rsidRPr="005B6B12" w:rsidRDefault="002533FC" w:rsidP="002533FC">
          <w:pPr>
            <w:pStyle w:val="ListParagraph"/>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ubtitle"/>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lastRenderedPageBreak/>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ubtitle"/>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ubtitle"/>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ubtitle"/>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Heading1"/>
        <w:rPr>
          <w:lang w:val="fr-BE"/>
        </w:rPr>
      </w:pPr>
      <w:r>
        <w:rPr>
          <w:lang w:val="fr-BE"/>
        </w:rPr>
        <w:lastRenderedPageBreak/>
        <w:t xml:space="preserve">General information about </w:t>
      </w:r>
      <w:r w:rsidRPr="00501EF4">
        <w:t>responden</w:t>
      </w:r>
      <w:r w:rsidR="00501EF4" w:rsidRPr="00501EF4">
        <w:t>t</w:t>
      </w:r>
    </w:p>
    <w:tbl>
      <w:tblPr>
        <w:tblStyle w:val="TableGrid"/>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Content>
            <w:tc>
              <w:tcPr>
                <w:tcW w:w="4531" w:type="dxa"/>
              </w:tcPr>
              <w:p w14:paraId="7C4A6574" w14:textId="2EA053D2" w:rsidR="00557BD2" w:rsidRPr="00557BD2" w:rsidRDefault="00032F43" w:rsidP="00557BD2">
                <w:r>
                  <w:t>Electronic Money Association</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249600727" w:edGrp="everyone" w:displacedByCustomXml="prev"/>
            <w:tc>
              <w:tcPr>
                <w:tcW w:w="4531" w:type="dxa"/>
              </w:tcPr>
              <w:p w14:paraId="1624F840" w14:textId="7477190C" w:rsidR="00557BD2" w:rsidRPr="00557BD2" w:rsidRDefault="00032F43" w:rsidP="00557BD2">
                <w:r>
                  <w:t>Associations, professional bodies, industry representatives</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1"/>
              <w14:checkedState w14:val="2612" w14:font="MS Gothic"/>
              <w14:uncheckedState w14:val="2610" w14:font="MS Gothic"/>
            </w14:checkbox>
          </w:sdtPr>
          <w:sdtContent>
            <w:tc>
              <w:tcPr>
                <w:tcW w:w="4531" w:type="dxa"/>
              </w:tcPr>
              <w:p w14:paraId="5D69AFA4" w14:textId="23CB70A3" w:rsidR="00557BD2" w:rsidRPr="00557BD2" w:rsidRDefault="00032F43"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635844015" w:edGrp="everyone" w:displacedByCustomXml="prev"/>
            <w:tc>
              <w:tcPr>
                <w:tcW w:w="4531" w:type="dxa"/>
              </w:tcPr>
              <w:p w14:paraId="2FED1C55" w14:textId="5C078BD6" w:rsidR="00557BD2" w:rsidRPr="00557BD2" w:rsidRDefault="00032F43" w:rsidP="00557BD2">
                <w:r>
                  <w:t>Europe</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Heading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2972D51A" w14:textId="77777777" w:rsidR="004F12E6" w:rsidRDefault="00032F43" w:rsidP="00032F43">
      <w:pPr>
        <w:shd w:val="clear" w:color="auto" w:fill="FFFFFF"/>
        <w:spacing w:before="100" w:beforeAutospacing="1" w:after="100" w:afterAutospacing="1"/>
        <w:rPr>
          <w:rFonts w:ascii="Gill Sans MT" w:eastAsia="Gill Sans" w:hAnsi="Gill Sans MT" w:cs="Gill Sans"/>
          <w:color w:val="00379F" w:themeColor="text1"/>
          <w:szCs w:val="22"/>
        </w:rPr>
      </w:pPr>
      <w:permStart w:id="1420179027" w:edGrp="everyone"/>
      <w:r w:rsidRPr="00884F65">
        <w:rPr>
          <w:rFonts w:ascii="Gill Sans MT" w:eastAsia="Gill Sans" w:hAnsi="Gill Sans MT" w:cs="Gill Sans"/>
          <w:color w:val="00379F" w:themeColor="text1"/>
          <w:szCs w:val="22"/>
        </w:rPr>
        <w:t xml:space="preserve">We welcome the opportunity to provide input on </w:t>
      </w:r>
      <w:r w:rsidR="004F12E6">
        <w:rPr>
          <w:rFonts w:ascii="Gill Sans MT" w:eastAsia="Gill Sans" w:hAnsi="Gill Sans MT" w:cs="Gill Sans"/>
          <w:color w:val="00379F" w:themeColor="text1"/>
          <w:szCs w:val="22"/>
        </w:rPr>
        <w:t xml:space="preserve">ESMA’s </w:t>
      </w:r>
      <w:r w:rsidR="004F12E6" w:rsidRPr="004F12E6">
        <w:rPr>
          <w:rFonts w:ascii="Gill Sans MT" w:eastAsia="Gill Sans" w:hAnsi="Gill Sans MT" w:cs="Gill Sans"/>
          <w:color w:val="00379F" w:themeColor="text1"/>
          <w:szCs w:val="22"/>
        </w:rPr>
        <w:t xml:space="preserve">first Consultation Paper for </w:t>
      </w:r>
      <w:proofErr w:type="spellStart"/>
      <w:r w:rsidR="004F12E6" w:rsidRPr="004F12E6">
        <w:rPr>
          <w:rFonts w:ascii="Gill Sans MT" w:eastAsia="Gill Sans" w:hAnsi="Gill Sans MT" w:cs="Gill Sans"/>
          <w:color w:val="00379F" w:themeColor="text1"/>
          <w:szCs w:val="22"/>
        </w:rPr>
        <w:t>MiCA</w:t>
      </w:r>
      <w:proofErr w:type="spellEnd"/>
      <w:r w:rsidR="004F12E6" w:rsidRPr="004F12E6">
        <w:rPr>
          <w:rFonts w:ascii="Gill Sans MT" w:eastAsia="Gill Sans" w:hAnsi="Gill Sans MT" w:cs="Gill Sans"/>
          <w:color w:val="00379F" w:themeColor="text1"/>
          <w:szCs w:val="22"/>
        </w:rPr>
        <w:t xml:space="preserve"> implementation</w:t>
      </w:r>
      <w:r>
        <w:rPr>
          <w:rFonts w:ascii="Gill Sans MT" w:eastAsia="Gill Sans" w:hAnsi="Gill Sans MT" w:cs="Gill Sans"/>
          <w:color w:val="00379F" w:themeColor="text1"/>
          <w:szCs w:val="22"/>
        </w:rPr>
        <w:t xml:space="preserve">. </w:t>
      </w:r>
    </w:p>
    <w:p w14:paraId="4CE9416D" w14:textId="26D08B0A" w:rsidR="00032F43" w:rsidRPr="00884F65" w:rsidRDefault="00032F43" w:rsidP="00032F43">
      <w:pPr>
        <w:shd w:val="clear" w:color="auto" w:fill="FFFFFF"/>
        <w:spacing w:before="100" w:beforeAutospacing="1" w:after="100" w:afterAutospacing="1"/>
        <w:rPr>
          <w:rFonts w:ascii="Gill Sans MT" w:eastAsia="Gill Sans" w:hAnsi="Gill Sans MT" w:cs="Gill Sans"/>
          <w:color w:val="00379F" w:themeColor="text1"/>
          <w:szCs w:val="22"/>
        </w:rPr>
      </w:pPr>
      <w:r w:rsidRPr="00884F65">
        <w:rPr>
          <w:rFonts w:ascii="Gill Sans MT" w:eastAsia="Gill Sans" w:hAnsi="Gill Sans MT" w:cs="Gill Sans"/>
          <w:color w:val="00379F" w:themeColor="text1"/>
          <w:szCs w:val="22"/>
        </w:rPr>
        <w:t>The EMA represents payments, crypto</w:t>
      </w:r>
      <w:r>
        <w:rPr>
          <w:rFonts w:ascii="Gill Sans MT" w:eastAsia="Gill Sans" w:hAnsi="Gill Sans MT" w:cs="Gill Sans"/>
          <w:color w:val="00379F" w:themeColor="text1"/>
          <w:szCs w:val="22"/>
        </w:rPr>
        <w:t>-</w:t>
      </w:r>
      <w:r w:rsidRPr="00884F65">
        <w:rPr>
          <w:rFonts w:ascii="Gill Sans MT" w:eastAsia="Gill Sans" w:hAnsi="Gill Sans MT" w:cs="Gill Sans"/>
          <w:color w:val="00379F" w:themeColor="text1"/>
          <w:szCs w:val="22"/>
        </w:rPr>
        <w:t xml:space="preserve">asset and FinTech firms, engaging in the provision of innovative payment services, including the issuance of e-money, stable coins (including e-money tokens as covered by the EU’s </w:t>
      </w:r>
      <w:proofErr w:type="spellStart"/>
      <w:r w:rsidRPr="00884F65">
        <w:rPr>
          <w:rFonts w:ascii="Gill Sans MT" w:eastAsia="Gill Sans" w:hAnsi="Gill Sans MT" w:cs="Gill Sans"/>
          <w:color w:val="00379F" w:themeColor="text1"/>
          <w:szCs w:val="22"/>
        </w:rPr>
        <w:t>MiCA</w:t>
      </w:r>
      <w:r>
        <w:rPr>
          <w:rFonts w:ascii="Gill Sans MT" w:eastAsia="Gill Sans" w:hAnsi="Gill Sans MT" w:cs="Gill Sans"/>
          <w:color w:val="00379F" w:themeColor="text1"/>
          <w:szCs w:val="22"/>
        </w:rPr>
        <w:t>R</w:t>
      </w:r>
      <w:proofErr w:type="spellEnd"/>
      <w:r w:rsidRPr="00884F65">
        <w:rPr>
          <w:rFonts w:ascii="Gill Sans MT" w:eastAsia="Gill Sans" w:hAnsi="Gill Sans MT" w:cs="Gill Sans"/>
          <w:color w:val="00379F" w:themeColor="text1"/>
          <w:szCs w:val="22"/>
        </w:rPr>
        <w:t>), open banking payment services, and crypto-asset-related services. A full list of our members is provided in the appendix to this document.</w:t>
      </w:r>
    </w:p>
    <w:p w14:paraId="2B7FE40A" w14:textId="77777777" w:rsidR="00032F43" w:rsidRPr="00884F65" w:rsidRDefault="00032F43" w:rsidP="00032F43">
      <w:pPr>
        <w:shd w:val="clear" w:color="auto" w:fill="FFFFFF"/>
        <w:spacing w:before="100" w:beforeAutospacing="1" w:after="100" w:afterAutospacing="1"/>
        <w:rPr>
          <w:rFonts w:ascii="Gill Sans MT" w:eastAsia="Gill Sans" w:hAnsi="Gill Sans MT" w:cs="Gill Sans"/>
          <w:color w:val="00379F" w:themeColor="text1"/>
          <w:szCs w:val="22"/>
        </w:rPr>
      </w:pPr>
      <w:r w:rsidRPr="00884F65">
        <w:rPr>
          <w:rFonts w:ascii="Gill Sans MT" w:eastAsia="Gill Sans" w:hAnsi="Gill Sans MT" w:cs="Gill Sans"/>
          <w:color w:val="00379F" w:themeColor="text1"/>
          <w:szCs w:val="22"/>
        </w:rPr>
        <w:t>The EMA was established some 20 years ago and has a wealth of experience in regulatory policy relating to payments, electronic money and more recently crypto-assets.</w:t>
      </w:r>
    </w:p>
    <w:p w14:paraId="5E65D407" w14:textId="66C19CF0" w:rsidR="00053B66" w:rsidRDefault="00032F43" w:rsidP="00053B66">
      <w:pPr>
        <w:spacing w:after="0"/>
      </w:pPr>
      <w:r w:rsidRPr="00884F65">
        <w:rPr>
          <w:rFonts w:ascii="Gill Sans MT" w:eastAsia="Gill Sans" w:hAnsi="Gill Sans MT" w:cs="Gill Sans"/>
          <w:color w:val="00379F" w:themeColor="text1"/>
          <w:szCs w:val="22"/>
        </w:rPr>
        <w:t xml:space="preserve">We would be grateful for your consideration of our comments, which are set out below. </w:t>
      </w:r>
      <w:permEnd w:id="1420179027"/>
      <w:r w:rsidR="00053B66">
        <w:t>&lt;ESMA_QUESTION_MICA_0&gt;</w:t>
      </w:r>
    </w:p>
    <w:p w14:paraId="45F72D20" w14:textId="77777777" w:rsidR="00053B66" w:rsidRPr="00053B66" w:rsidRDefault="00053B66" w:rsidP="00053B66"/>
    <w:p w14:paraId="1BE54313" w14:textId="7A710EFF" w:rsidR="00557BD2" w:rsidRPr="00557BD2" w:rsidRDefault="00557BD2" w:rsidP="00B15C0B">
      <w:pPr>
        <w:pStyle w:val="Heading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797465C5" w14:textId="299DDC88" w:rsidR="00053B66" w:rsidRDefault="00032F43" w:rsidP="00053B66">
      <w:pPr>
        <w:spacing w:after="0"/>
      </w:pPr>
      <w:permStart w:id="879384799" w:edGrp="everyone"/>
      <w:r>
        <w:lastRenderedPageBreak/>
        <w:t xml:space="preserve">No. Given the restricted scope of the grandfathering for EMIs under Article 60 (4), which </w:t>
      </w:r>
      <w:r w:rsidR="00610C81">
        <w:t xml:space="preserve">applies exclusively </w:t>
      </w:r>
      <w:r>
        <w:t>to custody, administration and transfer services with regard to e-money tokens issued by that same EMI</w:t>
      </w:r>
      <w:r w:rsidR="00610C81">
        <w:t>,</w:t>
      </w:r>
      <w:r>
        <w:t xml:space="preserve"> we would expect minimal additional information to be required.</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02AE5E41" w14:textId="77777777" w:rsidR="00C95C32" w:rsidRDefault="00032F43" w:rsidP="00053B66">
      <w:pPr>
        <w:spacing w:after="0"/>
      </w:pPr>
      <w:permStart w:id="1467231046" w:edGrp="everyone"/>
      <w:r>
        <w:t>Yes</w:t>
      </w:r>
      <w:r w:rsidR="00610C81">
        <w:t xml:space="preserve">. Applications for authorisation should be processed by regulators in a fully consistent and proportionate manner for all firms and activities in the financial sector. The authorisation requirements and the scrutiny and screening of applicants should be applied commensurate with the risks the firm and the activity represent for their clients and </w:t>
      </w:r>
      <w:r w:rsidR="00C01EE3">
        <w:t xml:space="preserve">for </w:t>
      </w:r>
      <w:r w:rsidR="00610C81">
        <w:t xml:space="preserve">the integrity of the market. </w:t>
      </w:r>
    </w:p>
    <w:p w14:paraId="3C4E816E" w14:textId="77777777" w:rsidR="00C95C32" w:rsidRDefault="00C95C32" w:rsidP="00053B66">
      <w:pPr>
        <w:spacing w:after="0"/>
      </w:pPr>
    </w:p>
    <w:p w14:paraId="5D7ABE76" w14:textId="7BDC9487" w:rsidR="00053B66" w:rsidRDefault="00234AB6" w:rsidP="00053B66">
      <w:pPr>
        <w:spacing w:after="0"/>
      </w:pPr>
      <w:r>
        <w:t xml:space="preserve">That said, we welcome the introduction of authorisation and ongoing supervision of CASPs by </w:t>
      </w:r>
      <w:proofErr w:type="spellStart"/>
      <w:r>
        <w:t>MiCAR</w:t>
      </w:r>
      <w:proofErr w:type="spellEnd"/>
      <w:r>
        <w:t xml:space="preserve"> and encourage regulators to implement this Regulation</w:t>
      </w:r>
      <w:r w:rsidR="00C95C32">
        <w:t>,</w:t>
      </w:r>
      <w:r>
        <w:t xml:space="preserve"> including its authorisation requirement</w:t>
      </w:r>
      <w:r w:rsidR="00C95C32">
        <w:t>,</w:t>
      </w:r>
      <w:r>
        <w:t xml:space="preserve"> in such a way as to provide a strong and effective regulatory regime for crypto-assets</w:t>
      </w:r>
      <w:r w:rsidR="00C01EE3">
        <w:t xml:space="preserve">. The objective of introducing with </w:t>
      </w:r>
      <w:proofErr w:type="spellStart"/>
      <w:r w:rsidR="00C01EE3">
        <w:t>MiCAR</w:t>
      </w:r>
      <w:proofErr w:type="spellEnd"/>
      <w:r w:rsidR="00C01EE3">
        <w:t xml:space="preserve"> a regulatory framework</w:t>
      </w:r>
      <w:r>
        <w:t xml:space="preserve"> </w:t>
      </w:r>
      <w:r w:rsidR="00C95C32">
        <w:t xml:space="preserve">that </w:t>
      </w:r>
      <w:r>
        <w:t>assist</w:t>
      </w:r>
      <w:r w:rsidR="00C95C32">
        <w:t>s</w:t>
      </w:r>
      <w:r>
        <w:t xml:space="preserve"> the rapidly emerging and maturing crypto-asset market</w:t>
      </w:r>
      <w:r w:rsidR="000300AB">
        <w:t>s</w:t>
      </w:r>
      <w:r>
        <w:t xml:space="preserve"> and the enormous innovative potential </w:t>
      </w:r>
      <w:r w:rsidR="000300AB">
        <w:t xml:space="preserve">they </w:t>
      </w:r>
      <w:r>
        <w:t>offer</w:t>
      </w:r>
      <w:r w:rsidR="00C95C32">
        <w:t>,</w:t>
      </w:r>
      <w:r>
        <w:t xml:space="preserve"> </w:t>
      </w:r>
      <w:r w:rsidR="00C01EE3">
        <w:t>can only be achieved if it is implemented in supervisory practices including authorisation procedures with adequate rigor across all EU/EEA jurisdictions</w:t>
      </w:r>
      <w:r>
        <w:t>.</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A4FD113" w14:textId="40795A2D" w:rsidR="00053B66" w:rsidRDefault="00610C81" w:rsidP="00053B66">
      <w:pPr>
        <w:spacing w:after="0"/>
      </w:pPr>
      <w:permStart w:id="1984053842" w:edGrp="everyone"/>
      <w:r>
        <w:t>Yes</w:t>
      </w:r>
      <w:r w:rsidR="00234AB6">
        <w:t>.</w:t>
      </w:r>
      <w:r w:rsidR="000300AB">
        <w:t xml:space="preserve"> As set out </w:t>
      </w:r>
      <w:r w:rsidR="00C95C32">
        <w:t>earlier in this response</w:t>
      </w:r>
      <w:r w:rsidR="000300AB">
        <w:t xml:space="preserve">, in order to achieve the ultimate objective of </w:t>
      </w:r>
      <w:proofErr w:type="spellStart"/>
      <w:r w:rsidR="000300AB">
        <w:t>MiCAR</w:t>
      </w:r>
      <w:proofErr w:type="spellEnd"/>
      <w:r w:rsidR="000300AB">
        <w:t xml:space="preserve"> it is necessary to extend current regulatory standards and supervisory practices in the financial sector to crypto-asset markets. </w:t>
      </w:r>
      <w:r w:rsidR="00A72AD5">
        <w:t>C</w:t>
      </w:r>
      <w:r w:rsidR="000300AB">
        <w:t xml:space="preserve">onsistency across all financial sectors including </w:t>
      </w:r>
      <w:r w:rsidR="00C714EF">
        <w:t xml:space="preserve">with regard to the issuance of crypto-assets and the provision of crypto-asset services </w:t>
      </w:r>
      <w:r w:rsidR="00A72AD5">
        <w:t xml:space="preserve">is a key prerequisite and should also be pursued </w:t>
      </w:r>
      <w:r w:rsidR="00C714EF">
        <w:t>by common technical and procedural standards.</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36D1CE9F" w14:textId="103F5F1E" w:rsidR="00C95C32" w:rsidRDefault="002C2207" w:rsidP="00C95C32">
      <w:pPr>
        <w:spacing w:after="0"/>
      </w:pPr>
      <w:permStart w:id="1200903695" w:edGrp="everyone"/>
      <w:r>
        <w:lastRenderedPageBreak/>
        <w:t xml:space="preserve">No. We </w:t>
      </w:r>
      <w:r w:rsidR="00C95C32">
        <w:t>support</w:t>
      </w:r>
      <w:r>
        <w:t xml:space="preserve"> the EBA approach </w:t>
      </w:r>
      <w:r w:rsidR="00C95C32">
        <w:t xml:space="preserve">of </w:t>
      </w:r>
      <w:r w:rsidR="00FD080D">
        <w:t xml:space="preserve">aligning </w:t>
      </w:r>
      <w:r w:rsidR="0024190C">
        <w:t>as much as possible its draft</w:t>
      </w:r>
      <w:r w:rsidR="00FD080D">
        <w:t xml:space="preserve"> RTS on complaint handling by IARTs</w:t>
      </w:r>
      <w:r w:rsidR="00412E5B">
        <w:t xml:space="preserve"> </w:t>
      </w:r>
      <w:r w:rsidR="00D13EFB">
        <w:t xml:space="preserve">under Article 31 (5) </w:t>
      </w:r>
      <w:r w:rsidR="0024190C">
        <w:t xml:space="preserve">(see </w:t>
      </w:r>
      <w:r w:rsidR="0024190C" w:rsidRPr="00FD080D">
        <w:rPr>
          <w:rFonts w:ascii="Calibri" w:hAnsi="Calibri" w:cs="Calibri"/>
        </w:rPr>
        <w:t>﻿</w:t>
      </w:r>
      <w:r w:rsidR="0024190C" w:rsidRPr="00FD080D">
        <w:t>EBA/CP/2023/13</w:t>
      </w:r>
      <w:r w:rsidR="0024190C">
        <w:t xml:space="preserve"> of 12 July 2023) </w:t>
      </w:r>
      <w:r w:rsidR="00412E5B">
        <w:t>to</w:t>
      </w:r>
      <w:r w:rsidR="00C95C32">
        <w:t xml:space="preserve"> </w:t>
      </w:r>
      <w:r w:rsidR="00FD080D">
        <w:t>the guidelines on the subject developed jointly with ESMA</w:t>
      </w:r>
      <w:r w:rsidR="00BC173D">
        <w:t xml:space="preserve"> including</w:t>
      </w:r>
      <w:r w:rsidR="00C95C32">
        <w:t>:</w:t>
      </w:r>
    </w:p>
    <w:p w14:paraId="6486B2EE" w14:textId="130302B0" w:rsidR="00C95C32" w:rsidRDefault="00FD080D" w:rsidP="00C95C32">
      <w:pPr>
        <w:pStyle w:val="ListParagraph"/>
        <w:numPr>
          <w:ilvl w:val="0"/>
          <w:numId w:val="13"/>
        </w:numPr>
        <w:spacing w:after="0"/>
      </w:pPr>
      <w:r w:rsidRPr="00FD080D">
        <w:t xml:space="preserve">Joint Committee Final Report on guidelines for complaints-handling for the securities (ESMA) and banking (EBA) sectors, JC 2014 43, 13 June 2014; </w:t>
      </w:r>
    </w:p>
    <w:p w14:paraId="441F0000" w14:textId="77777777" w:rsidR="00C95C32" w:rsidRDefault="00FD080D" w:rsidP="00C95C32">
      <w:pPr>
        <w:pStyle w:val="ListParagraph"/>
        <w:numPr>
          <w:ilvl w:val="0"/>
          <w:numId w:val="13"/>
        </w:numPr>
        <w:spacing w:after="0"/>
      </w:pPr>
      <w:r w:rsidRPr="00FD080D">
        <w:t xml:space="preserve">Final report on the application of the existing Joint Committee Guidelines on complaints-handling to authorities competent for supervising the new institutions under PSD2 and/or the MCD, JC 2018 35, 31 July 2018; </w:t>
      </w:r>
    </w:p>
    <w:p w14:paraId="37E04DB5" w14:textId="6909FCC9" w:rsidR="00C95C32" w:rsidRDefault="00FD080D" w:rsidP="00C95C32">
      <w:pPr>
        <w:pStyle w:val="ListParagraph"/>
        <w:numPr>
          <w:ilvl w:val="0"/>
          <w:numId w:val="13"/>
        </w:numPr>
        <w:spacing w:after="0"/>
      </w:pPr>
      <w:r w:rsidRPr="00FD080D">
        <w:t>Joint Committee Report on the assessment of the application of the Guidelines on complaints-handling, JC 2021 24, 18 February 2021</w:t>
      </w:r>
      <w:r>
        <w:t>.</w:t>
      </w:r>
    </w:p>
    <w:p w14:paraId="70D18E62" w14:textId="77777777" w:rsidR="00C95C32" w:rsidRDefault="00C95C32" w:rsidP="00C95C32">
      <w:pPr>
        <w:spacing w:after="0"/>
      </w:pPr>
    </w:p>
    <w:p w14:paraId="404BFB00" w14:textId="01F356D9" w:rsidR="00D13EFB" w:rsidRDefault="00FD080D" w:rsidP="00C95C32">
      <w:pPr>
        <w:spacing w:after="0"/>
      </w:pPr>
      <w:r>
        <w:t xml:space="preserve">The benefits of </w:t>
      </w:r>
      <w:r w:rsidR="00412E5B">
        <w:t xml:space="preserve">uniform complaint handling </w:t>
      </w:r>
      <w:r w:rsidR="0024190C">
        <w:t>standards</w:t>
      </w:r>
      <w:r w:rsidR="00412E5B">
        <w:t xml:space="preserve"> and guidelines </w:t>
      </w:r>
      <w:r>
        <w:t xml:space="preserve">applicable across all financial sectors </w:t>
      </w:r>
      <w:r w:rsidR="00BF122C">
        <w:t xml:space="preserve">and extensively and successfully tested over many years </w:t>
      </w:r>
      <w:r>
        <w:t>are set out eloquently in the EBA</w:t>
      </w:r>
      <w:r w:rsidR="00BF122C">
        <w:t>’s</w:t>
      </w:r>
      <w:r>
        <w:t xml:space="preserve"> CP (see </w:t>
      </w:r>
      <w:r w:rsidRPr="00C95C32">
        <w:rPr>
          <w:rFonts w:ascii="Calibri" w:hAnsi="Calibri" w:cs="Calibri"/>
        </w:rPr>
        <w:t>﻿</w:t>
      </w:r>
      <w:r w:rsidRPr="00FD080D">
        <w:t>EBA/CP/2023/13</w:t>
      </w:r>
      <w:r w:rsidR="0024190C">
        <w:t xml:space="preserve"> para 6 to 9)</w:t>
      </w:r>
      <w:r w:rsidRPr="00FD080D">
        <w:t>.</w:t>
      </w:r>
      <w:r>
        <w:t xml:space="preserve"> </w:t>
      </w:r>
      <w:r w:rsidR="005F793F">
        <w:t xml:space="preserve">In our view, proposing draft RTS </w:t>
      </w:r>
      <w:r w:rsidR="00BF122C">
        <w:t xml:space="preserve">on complaint handling by CASPs </w:t>
      </w:r>
      <w:r w:rsidR="005F793F">
        <w:t xml:space="preserve">that diverge from </w:t>
      </w:r>
      <w:r w:rsidR="00BF122C">
        <w:t xml:space="preserve">both </w:t>
      </w:r>
      <w:r w:rsidR="005F793F">
        <w:t xml:space="preserve">the EBA </w:t>
      </w:r>
      <w:r w:rsidR="00BF122C">
        <w:t xml:space="preserve">approach </w:t>
      </w:r>
      <w:r w:rsidR="005F793F">
        <w:t xml:space="preserve">and </w:t>
      </w:r>
      <w:r w:rsidR="00BF122C">
        <w:t xml:space="preserve">from </w:t>
      </w:r>
      <w:r w:rsidR="005F793F">
        <w:t>the joint EBA and ESMA guidelines on th</w:t>
      </w:r>
      <w:r w:rsidR="00BF122C">
        <w:t>at</w:t>
      </w:r>
      <w:r w:rsidR="005F793F">
        <w:t xml:space="preserve"> same subject </w:t>
      </w:r>
      <w:r w:rsidR="00196222">
        <w:t xml:space="preserve">does not respond to the </w:t>
      </w:r>
      <w:r w:rsidR="006F06FC">
        <w:t xml:space="preserve">ESMA </w:t>
      </w:r>
      <w:r w:rsidR="005F793F">
        <w:t xml:space="preserve">mandate under Article </w:t>
      </w:r>
      <w:r w:rsidR="00D60CB3">
        <w:t xml:space="preserve">71 (5) </w:t>
      </w:r>
      <w:r w:rsidR="006F06FC">
        <w:t xml:space="preserve">and the explicit request </w:t>
      </w:r>
      <w:r w:rsidR="00C95C32">
        <w:t>to</w:t>
      </w:r>
      <w:r w:rsidR="00196222">
        <w:t xml:space="preserve"> </w:t>
      </w:r>
      <w:r w:rsidR="005F793F">
        <w:t xml:space="preserve">develop standards “in close cooperation with the EBA”. </w:t>
      </w:r>
      <w:r w:rsidR="006F06FC">
        <w:t>C</w:t>
      </w:r>
      <w:r w:rsidR="00196222">
        <w:t xml:space="preserve">omplaint handling </w:t>
      </w:r>
      <w:r w:rsidR="0024190C">
        <w:t xml:space="preserve">in crypto-asset markets </w:t>
      </w:r>
      <w:r w:rsidR="006F06FC">
        <w:t xml:space="preserve">should </w:t>
      </w:r>
      <w:r w:rsidR="0024190C">
        <w:t>be subject to the same regulatory standards across the full</w:t>
      </w:r>
      <w:r w:rsidR="00BF122C">
        <w:t>, often highly integrated</w:t>
      </w:r>
      <w:r w:rsidR="0024190C">
        <w:t xml:space="preserve"> value chain from the issuing of crypto-assets through to the provision of any related </w:t>
      </w:r>
      <w:r w:rsidR="006F06FC">
        <w:t xml:space="preserve">crypto-asset </w:t>
      </w:r>
      <w:r w:rsidR="0024190C">
        <w:t xml:space="preserve">services </w:t>
      </w:r>
      <w:r w:rsidR="00BF122C">
        <w:t xml:space="preserve">and </w:t>
      </w:r>
      <w:r w:rsidR="0024190C">
        <w:t xml:space="preserve">including other related financial services not subject to </w:t>
      </w:r>
      <w:proofErr w:type="spellStart"/>
      <w:r w:rsidR="0024190C">
        <w:t>MiCAR</w:t>
      </w:r>
      <w:proofErr w:type="spellEnd"/>
      <w:r w:rsidR="0024190C">
        <w:t xml:space="preserve">.  </w:t>
      </w:r>
    </w:p>
    <w:p w14:paraId="30EDC74E" w14:textId="77777777" w:rsidR="00D13EFB" w:rsidRDefault="00D13EFB" w:rsidP="00FD080D">
      <w:pPr>
        <w:spacing w:after="0"/>
      </w:pPr>
    </w:p>
    <w:p w14:paraId="58E6131C" w14:textId="573A1D6B" w:rsidR="00053B66" w:rsidRDefault="00834791" w:rsidP="002345F2">
      <w:pPr>
        <w:spacing w:after="0"/>
      </w:pPr>
      <w:r>
        <w:t xml:space="preserve">Regarding the discrepancies between the different </w:t>
      </w:r>
      <w:proofErr w:type="gramStart"/>
      <w:r>
        <w:t>standards</w:t>
      </w:r>
      <w:proofErr w:type="gramEnd"/>
      <w:r>
        <w:t xml:space="preserve"> we would highlight in particular the </w:t>
      </w:r>
      <w:r w:rsidR="002345F2">
        <w:t xml:space="preserve">additional </w:t>
      </w:r>
      <w:r>
        <w:t>language requirements under Article 1 (4) of the draft RTS</w:t>
      </w:r>
      <w:r w:rsidR="002345F2">
        <w:t>, also specifically addressed in the EBA CP</w:t>
      </w:r>
      <w:r>
        <w:t>. In line with the key characteristics of the product</w:t>
      </w:r>
      <w:r w:rsidR="002345F2">
        <w:t>,</w:t>
      </w:r>
      <w:r>
        <w:t xml:space="preserve"> crypto-asset services are typically provided cross-border</w:t>
      </w:r>
      <w:r w:rsidR="002345F2">
        <w:t xml:space="preserve"> using English as the “lingua franca”</w:t>
      </w:r>
      <w:r w:rsidR="00BC173D">
        <w:t>,</w:t>
      </w:r>
      <w:r w:rsidR="002345F2">
        <w:t xml:space="preserve"> and effectively the native language of all crypto-asset market participants</w:t>
      </w:r>
      <w:r>
        <w:t xml:space="preserve">. The requirement </w:t>
      </w:r>
      <w:r w:rsidR="002345F2">
        <w:t>to provide “the description of the complaints handling procedure and the standard template … in at least one of the official languages of the home Member State and each (!) host Member State” represents a potentially significant market entry hurdle for many of the smaller EU/EEA jurisdictions</w:t>
      </w:r>
      <w:r w:rsidR="00BC173D">
        <w:t xml:space="preserve">. This </w:t>
      </w:r>
      <w:r w:rsidR="002345F2">
        <w:t>effectively undermin</w:t>
      </w:r>
      <w:r w:rsidR="00BC173D">
        <w:t>es</w:t>
      </w:r>
      <w:r w:rsidR="002345F2">
        <w:t xml:space="preserve"> the </w:t>
      </w:r>
      <w:r w:rsidR="00BC173D">
        <w:t xml:space="preserve">benefit and </w:t>
      </w:r>
      <w:r w:rsidR="002345F2">
        <w:t>purpose of EU passporting rights</w:t>
      </w:r>
      <w:r w:rsidR="00BC173D">
        <w:t>,</w:t>
      </w:r>
      <w:r w:rsidR="002345F2">
        <w:t xml:space="preserve"> </w:t>
      </w:r>
      <w:r w:rsidR="00BC173D">
        <w:t>whilst at the same time</w:t>
      </w:r>
      <w:r w:rsidR="00C01EE3">
        <w:t xml:space="preserve"> </w:t>
      </w:r>
      <w:r w:rsidR="00BC173D">
        <w:t>offering</w:t>
      </w:r>
      <w:r w:rsidR="00C01EE3">
        <w:t xml:space="preserve"> little added value </w:t>
      </w:r>
      <w:r w:rsidR="00BC173D">
        <w:t>or</w:t>
      </w:r>
      <w:r w:rsidR="00C01EE3">
        <w:t xml:space="preserve"> improved customer protection for retail, let alone, wholesale investors</w:t>
      </w:r>
      <w:r w:rsidR="002345F2">
        <w:t>.</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7B88CA8" w14:textId="0924AC1B" w:rsidR="00053B66" w:rsidRDefault="002C2207" w:rsidP="00053B66">
      <w:pPr>
        <w:spacing w:after="0"/>
      </w:pPr>
      <w:permStart w:id="1017461311" w:edGrp="everyone"/>
      <w:r>
        <w:t>No. Crypto-asset services are</w:t>
      </w:r>
      <w:r w:rsidR="00C01EE3">
        <w:t>,</w:t>
      </w:r>
      <w:r>
        <w:t xml:space="preserve"> due to the nature of the product</w:t>
      </w:r>
      <w:r w:rsidR="00C01EE3">
        <w:t>,</w:t>
      </w:r>
      <w:r>
        <w:t xml:space="preserve"> provided by electronic means. We cannot see any need for keeping the possibility for clients to file complaints by post.</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lastRenderedPageBreak/>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0D7C6C82" w14:textId="77BABA76" w:rsidR="00053B66" w:rsidRDefault="00095D26" w:rsidP="00053B66">
      <w:pPr>
        <w:spacing w:after="0"/>
      </w:pPr>
      <w:permStart w:id="701847922" w:edGrp="everyone"/>
      <w:r>
        <w:t xml:space="preserve">No. </w:t>
      </w:r>
      <w:r w:rsidR="00C26CF3">
        <w:t xml:space="preserve">In particular, we believe consistency with the approach under MiFID is critical not least to avoid regulatory arbitrage, which could occur where </w:t>
      </w:r>
      <w:r w:rsidR="00066A0C">
        <w:t>potentially limited changes of the design of crypto-asset products could give rise to their qualification as financial instruments</w:t>
      </w:r>
      <w:r w:rsidR="00C26CF3">
        <w:t>.</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3CE8AE21" w14:textId="10E3D7F4" w:rsidR="00053B66" w:rsidRDefault="00C26CF3" w:rsidP="00053B66">
      <w:pPr>
        <w:spacing w:after="0"/>
      </w:pPr>
      <w:permStart w:id="1511019203" w:edGrp="everyone"/>
      <w:r>
        <w:t>No.</w:t>
      </w:r>
      <w:r w:rsidR="00066A0C">
        <w:t xml:space="preserve"> Here again consistency with the approach under </w:t>
      </w:r>
      <w:proofErr w:type="spellStart"/>
      <w:r w:rsidR="00066A0C">
        <w:t>MiCA</w:t>
      </w:r>
      <w:proofErr w:type="spellEnd"/>
      <w:r w:rsidR="00066A0C">
        <w:t xml:space="preserve"> is crucial.</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4EAB8E57" w:rsidR="00053B66" w:rsidRDefault="00066A0C" w:rsidP="00053B66">
      <w:pPr>
        <w:spacing w:after="0"/>
      </w:pPr>
      <w:permStart w:id="970919143" w:edGrp="everyone"/>
      <w:r>
        <w:t>Yes.</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375AE318" w:rsidR="00053B66" w:rsidRDefault="00066A0C" w:rsidP="00053B66">
      <w:pPr>
        <w:spacing w:after="0"/>
      </w:pPr>
      <w:permStart w:id="505041785" w:edGrp="everyone"/>
      <w:r>
        <w:t xml:space="preserve">Yes. We believe the proposed approach to be proportionate. </w:t>
      </w:r>
      <w:proofErr w:type="gramStart"/>
      <w:r>
        <w:t>Also</w:t>
      </w:r>
      <w:proofErr w:type="gramEnd"/>
      <w:r>
        <w:t xml:space="preserve"> in this regard consistency across all financial sectors is crucial. Standards set for CASPs in level 2 RTS should not diverge from standards applicable elsewhere. Competent authorities will retain discretion to require additional information if deemed necessary and proportionate.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208250D9" w:rsidR="00053B66" w:rsidRDefault="00066A0C" w:rsidP="00053B66">
      <w:pPr>
        <w:spacing w:after="0"/>
      </w:pPr>
      <w:permStart w:id="1604132244" w:edGrp="everyone"/>
      <w:r>
        <w:lastRenderedPageBreak/>
        <w:t>Yes.</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27805774" w:rsidR="00053B66" w:rsidRDefault="00C714EF" w:rsidP="00053B66">
      <w:pPr>
        <w:spacing w:after="0"/>
      </w:pPr>
      <w:permStart w:id="2039561759" w:edGrp="everyone"/>
      <w:r>
        <w:t>Yes. The reduced information requirements reflect what under the principle of proportionality should apply anyhow.</w:t>
      </w:r>
      <w:r w:rsidR="00F64289">
        <w:t xml:space="preserve"> </w:t>
      </w:r>
      <w:r w:rsidR="00095D26">
        <w:t xml:space="preserve">Competent authorities will retain discretion to require additional information if </w:t>
      </w:r>
      <w:r w:rsidR="00F64289">
        <w:t xml:space="preserve">proportionate and </w:t>
      </w:r>
      <w:r w:rsidR="00095D26">
        <w:t>deemed necessary.</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31E078B8" w:rsidR="00053B66" w:rsidRDefault="004F12E6" w:rsidP="00053B66">
      <w:pPr>
        <w:spacing w:after="0"/>
      </w:pPr>
      <w:permStart w:id="383456857" w:edGrp="everyone"/>
      <w:r>
        <w:t>Questions 12 to 16 are addressed to individual firms and cannot be answered by us.</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lastRenderedPageBreak/>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A69D7" w14:textId="77777777" w:rsidR="005155BF" w:rsidRDefault="005155BF" w:rsidP="007E7997">
      <w:pPr>
        <w:spacing w:line="240" w:lineRule="auto"/>
      </w:pPr>
      <w:r>
        <w:separator/>
      </w:r>
    </w:p>
  </w:endnote>
  <w:endnote w:type="continuationSeparator" w:id="0">
    <w:p w14:paraId="0CBCC10A" w14:textId="77777777" w:rsidR="005155BF" w:rsidRDefault="005155BF" w:rsidP="007E7997">
      <w:pPr>
        <w:spacing w:line="240" w:lineRule="auto"/>
      </w:pPr>
      <w:r>
        <w:continuationSeparator/>
      </w:r>
    </w:p>
  </w:endnote>
  <w:endnote w:type="continuationNotice" w:id="1">
    <w:p w14:paraId="6567C93D" w14:textId="77777777" w:rsidR="005155BF" w:rsidRDefault="00515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23C4" w14:textId="77777777" w:rsidR="005155BF" w:rsidRDefault="005155BF" w:rsidP="007E7997">
      <w:pPr>
        <w:spacing w:line="240" w:lineRule="auto"/>
      </w:pPr>
      <w:r>
        <w:separator/>
      </w:r>
    </w:p>
  </w:footnote>
  <w:footnote w:type="continuationSeparator" w:id="0">
    <w:p w14:paraId="78191DD6" w14:textId="77777777" w:rsidR="005155BF" w:rsidRDefault="005155BF" w:rsidP="007E7997">
      <w:pPr>
        <w:spacing w:line="240" w:lineRule="auto"/>
      </w:pPr>
      <w:r>
        <w:continuationSeparator/>
      </w:r>
    </w:p>
  </w:footnote>
  <w:footnote w:type="continuationNotice" w:id="1">
    <w:p w14:paraId="2334534D" w14:textId="77777777" w:rsidR="005155BF" w:rsidRDefault="00515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Header"/>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07229907" w14:textId="72859089" w:rsidR="00AD0B10" w:rsidRPr="0043139E" w:rsidRDefault="00AD0B10" w:rsidP="00AD0B10">
    <w:pPr>
      <w:pStyle w:val="Header"/>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40663CB"/>
    <w:multiLevelType w:val="hybridMultilevel"/>
    <w:tmpl w:val="B3F40CA6"/>
    <w:lvl w:ilvl="0" w:tplc="ACB06F0C">
      <w:start w:val="1"/>
      <w:numFmt w:val="bullet"/>
      <w:pStyle w:val="ListParagraph"/>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2EE5B5B"/>
    <w:multiLevelType w:val="hybridMultilevel"/>
    <w:tmpl w:val="13C48F9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893464995">
    <w:abstractNumId w:val="3"/>
  </w:num>
  <w:num w:numId="2" w16cid:durableId="1222054594">
    <w:abstractNumId w:val="3"/>
  </w:num>
  <w:num w:numId="3" w16cid:durableId="2071421525">
    <w:abstractNumId w:val="9"/>
  </w:num>
  <w:num w:numId="4" w16cid:durableId="270287514">
    <w:abstractNumId w:val="4"/>
  </w:num>
  <w:num w:numId="5" w16cid:durableId="1824855989">
    <w:abstractNumId w:val="8"/>
  </w:num>
  <w:num w:numId="6" w16cid:durableId="1651521833">
    <w:abstractNumId w:val="6"/>
  </w:num>
  <w:num w:numId="7" w16cid:durableId="650520466">
    <w:abstractNumId w:val="0"/>
  </w:num>
  <w:num w:numId="8" w16cid:durableId="1913006406">
    <w:abstractNumId w:val="5"/>
  </w:num>
  <w:num w:numId="9" w16cid:durableId="1653871588">
    <w:abstractNumId w:val="2"/>
  </w:num>
  <w:num w:numId="10" w16cid:durableId="67121918">
    <w:abstractNumId w:val="1"/>
  </w:num>
  <w:num w:numId="11" w16cid:durableId="1675497260">
    <w:abstractNumId w:val="7"/>
  </w:num>
  <w:num w:numId="12" w16cid:durableId="1146706333">
    <w:abstractNumId w:val="3"/>
  </w:num>
  <w:num w:numId="13" w16cid:durableId="11476040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20300"/>
    <w:rsid w:val="00021485"/>
    <w:rsid w:val="00025A7F"/>
    <w:rsid w:val="000300AB"/>
    <w:rsid w:val="00032F43"/>
    <w:rsid w:val="000372BF"/>
    <w:rsid w:val="0004167A"/>
    <w:rsid w:val="0004374E"/>
    <w:rsid w:val="00044C5A"/>
    <w:rsid w:val="00045BA9"/>
    <w:rsid w:val="000504AC"/>
    <w:rsid w:val="00053B66"/>
    <w:rsid w:val="00054C9F"/>
    <w:rsid w:val="00066A0C"/>
    <w:rsid w:val="00087D2D"/>
    <w:rsid w:val="00095D26"/>
    <w:rsid w:val="000A7CF6"/>
    <w:rsid w:val="000B5D3D"/>
    <w:rsid w:val="000B69A0"/>
    <w:rsid w:val="000C0CE0"/>
    <w:rsid w:val="000C1E78"/>
    <w:rsid w:val="000C7EDE"/>
    <w:rsid w:val="000D1038"/>
    <w:rsid w:val="000D1E53"/>
    <w:rsid w:val="000E7879"/>
    <w:rsid w:val="00100177"/>
    <w:rsid w:val="00110E98"/>
    <w:rsid w:val="00115648"/>
    <w:rsid w:val="00130EF9"/>
    <w:rsid w:val="00144AAD"/>
    <w:rsid w:val="00157895"/>
    <w:rsid w:val="0016369E"/>
    <w:rsid w:val="00170D8A"/>
    <w:rsid w:val="001752CF"/>
    <w:rsid w:val="0018540C"/>
    <w:rsid w:val="00194440"/>
    <w:rsid w:val="00196222"/>
    <w:rsid w:val="00197FF5"/>
    <w:rsid w:val="001B2151"/>
    <w:rsid w:val="001B4996"/>
    <w:rsid w:val="001B73E7"/>
    <w:rsid w:val="001C69A8"/>
    <w:rsid w:val="001D7492"/>
    <w:rsid w:val="001E0367"/>
    <w:rsid w:val="001F6DD6"/>
    <w:rsid w:val="001F7E7D"/>
    <w:rsid w:val="00205C40"/>
    <w:rsid w:val="0020622B"/>
    <w:rsid w:val="0021101C"/>
    <w:rsid w:val="00213569"/>
    <w:rsid w:val="00233DDB"/>
    <w:rsid w:val="002345F2"/>
    <w:rsid w:val="00234AB6"/>
    <w:rsid w:val="0024051F"/>
    <w:rsid w:val="0024190C"/>
    <w:rsid w:val="00245056"/>
    <w:rsid w:val="002533FC"/>
    <w:rsid w:val="002537CE"/>
    <w:rsid w:val="002574D1"/>
    <w:rsid w:val="00263AFF"/>
    <w:rsid w:val="0026459D"/>
    <w:rsid w:val="00287547"/>
    <w:rsid w:val="002A0C3C"/>
    <w:rsid w:val="002B59F0"/>
    <w:rsid w:val="002C2207"/>
    <w:rsid w:val="002D557C"/>
    <w:rsid w:val="002D6FF0"/>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C4EB5"/>
    <w:rsid w:val="003D61FE"/>
    <w:rsid w:val="003E2667"/>
    <w:rsid w:val="003F0BBC"/>
    <w:rsid w:val="003F39B1"/>
    <w:rsid w:val="003F4AFE"/>
    <w:rsid w:val="00405453"/>
    <w:rsid w:val="00412E5B"/>
    <w:rsid w:val="00415D98"/>
    <w:rsid w:val="00424573"/>
    <w:rsid w:val="004302ED"/>
    <w:rsid w:val="0043139E"/>
    <w:rsid w:val="00435FE9"/>
    <w:rsid w:val="00445696"/>
    <w:rsid w:val="00454259"/>
    <w:rsid w:val="00463479"/>
    <w:rsid w:val="0048000F"/>
    <w:rsid w:val="004D7F13"/>
    <w:rsid w:val="004E5FF8"/>
    <w:rsid w:val="004F12E6"/>
    <w:rsid w:val="00501C1C"/>
    <w:rsid w:val="00501EF4"/>
    <w:rsid w:val="005155BF"/>
    <w:rsid w:val="00516CBA"/>
    <w:rsid w:val="005264C5"/>
    <w:rsid w:val="00526E5D"/>
    <w:rsid w:val="00527C09"/>
    <w:rsid w:val="00557BD2"/>
    <w:rsid w:val="00563C1F"/>
    <w:rsid w:val="005647ED"/>
    <w:rsid w:val="00565193"/>
    <w:rsid w:val="00572A06"/>
    <w:rsid w:val="0057524C"/>
    <w:rsid w:val="005A07B6"/>
    <w:rsid w:val="005A7EDB"/>
    <w:rsid w:val="005B3BA8"/>
    <w:rsid w:val="005B6B12"/>
    <w:rsid w:val="005E0F48"/>
    <w:rsid w:val="005E2E82"/>
    <w:rsid w:val="005F002F"/>
    <w:rsid w:val="005F0F25"/>
    <w:rsid w:val="005F1194"/>
    <w:rsid w:val="005F793F"/>
    <w:rsid w:val="006014B2"/>
    <w:rsid w:val="00601C34"/>
    <w:rsid w:val="006035B0"/>
    <w:rsid w:val="00610C81"/>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5680"/>
    <w:rsid w:val="006B6CDB"/>
    <w:rsid w:val="006C0D3A"/>
    <w:rsid w:val="006C5A3D"/>
    <w:rsid w:val="006E1AAD"/>
    <w:rsid w:val="006F06FC"/>
    <w:rsid w:val="006F53E8"/>
    <w:rsid w:val="007023F5"/>
    <w:rsid w:val="00706072"/>
    <w:rsid w:val="00712300"/>
    <w:rsid w:val="007151BF"/>
    <w:rsid w:val="007205F7"/>
    <w:rsid w:val="00734107"/>
    <w:rsid w:val="00740218"/>
    <w:rsid w:val="00740229"/>
    <w:rsid w:val="00747785"/>
    <w:rsid w:val="0076571A"/>
    <w:rsid w:val="00766D94"/>
    <w:rsid w:val="007675BB"/>
    <w:rsid w:val="007823A2"/>
    <w:rsid w:val="00784292"/>
    <w:rsid w:val="00787413"/>
    <w:rsid w:val="00794595"/>
    <w:rsid w:val="00794C71"/>
    <w:rsid w:val="00797E0C"/>
    <w:rsid w:val="007D0DC1"/>
    <w:rsid w:val="007D5C4D"/>
    <w:rsid w:val="007E7997"/>
    <w:rsid w:val="00810C3D"/>
    <w:rsid w:val="0082744A"/>
    <w:rsid w:val="00834791"/>
    <w:rsid w:val="00840EC8"/>
    <w:rsid w:val="00842AC5"/>
    <w:rsid w:val="00843C16"/>
    <w:rsid w:val="0085754A"/>
    <w:rsid w:val="008638AF"/>
    <w:rsid w:val="008755EE"/>
    <w:rsid w:val="008858FE"/>
    <w:rsid w:val="0089075A"/>
    <w:rsid w:val="00891391"/>
    <w:rsid w:val="00895081"/>
    <w:rsid w:val="008A1115"/>
    <w:rsid w:val="008C767A"/>
    <w:rsid w:val="008D5C28"/>
    <w:rsid w:val="008D7023"/>
    <w:rsid w:val="00906D18"/>
    <w:rsid w:val="00925E04"/>
    <w:rsid w:val="00932A63"/>
    <w:rsid w:val="00944EC7"/>
    <w:rsid w:val="00966881"/>
    <w:rsid w:val="00972E4C"/>
    <w:rsid w:val="0098532F"/>
    <w:rsid w:val="0099526D"/>
    <w:rsid w:val="009A3DA7"/>
    <w:rsid w:val="009A7F6B"/>
    <w:rsid w:val="009B2BFF"/>
    <w:rsid w:val="009C7694"/>
    <w:rsid w:val="009D7294"/>
    <w:rsid w:val="009E2971"/>
    <w:rsid w:val="00A026A4"/>
    <w:rsid w:val="00A0307C"/>
    <w:rsid w:val="00A410CC"/>
    <w:rsid w:val="00A465A6"/>
    <w:rsid w:val="00A72AD5"/>
    <w:rsid w:val="00A772D0"/>
    <w:rsid w:val="00A85E27"/>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55D1"/>
    <w:rsid w:val="00B73281"/>
    <w:rsid w:val="00B74FA7"/>
    <w:rsid w:val="00B7765E"/>
    <w:rsid w:val="00B85764"/>
    <w:rsid w:val="00B91B6E"/>
    <w:rsid w:val="00B947F8"/>
    <w:rsid w:val="00BB449C"/>
    <w:rsid w:val="00BC173D"/>
    <w:rsid w:val="00BC2561"/>
    <w:rsid w:val="00BC422A"/>
    <w:rsid w:val="00BE225E"/>
    <w:rsid w:val="00BE2B4F"/>
    <w:rsid w:val="00BE32FB"/>
    <w:rsid w:val="00BF122C"/>
    <w:rsid w:val="00BF25CD"/>
    <w:rsid w:val="00C01EE3"/>
    <w:rsid w:val="00C0696A"/>
    <w:rsid w:val="00C123AA"/>
    <w:rsid w:val="00C138DD"/>
    <w:rsid w:val="00C26CF3"/>
    <w:rsid w:val="00C36B53"/>
    <w:rsid w:val="00C570F9"/>
    <w:rsid w:val="00C714EF"/>
    <w:rsid w:val="00C717BC"/>
    <w:rsid w:val="00C73DBB"/>
    <w:rsid w:val="00C775F7"/>
    <w:rsid w:val="00C84A0F"/>
    <w:rsid w:val="00C90566"/>
    <w:rsid w:val="00C95C32"/>
    <w:rsid w:val="00CA04B9"/>
    <w:rsid w:val="00CA565A"/>
    <w:rsid w:val="00CB50EF"/>
    <w:rsid w:val="00CB64EB"/>
    <w:rsid w:val="00CB791A"/>
    <w:rsid w:val="00CD47B2"/>
    <w:rsid w:val="00CE49F8"/>
    <w:rsid w:val="00CE55C4"/>
    <w:rsid w:val="00CF01DC"/>
    <w:rsid w:val="00CF0BAC"/>
    <w:rsid w:val="00D0373D"/>
    <w:rsid w:val="00D13EFB"/>
    <w:rsid w:val="00D1409C"/>
    <w:rsid w:val="00D22F2F"/>
    <w:rsid w:val="00D23A01"/>
    <w:rsid w:val="00D33C31"/>
    <w:rsid w:val="00D37F23"/>
    <w:rsid w:val="00D46275"/>
    <w:rsid w:val="00D604F0"/>
    <w:rsid w:val="00D60C99"/>
    <w:rsid w:val="00D60CB3"/>
    <w:rsid w:val="00D60E36"/>
    <w:rsid w:val="00D70C07"/>
    <w:rsid w:val="00D73338"/>
    <w:rsid w:val="00D73444"/>
    <w:rsid w:val="00D740B5"/>
    <w:rsid w:val="00D77369"/>
    <w:rsid w:val="00DA74C1"/>
    <w:rsid w:val="00DB40AB"/>
    <w:rsid w:val="00DE3473"/>
    <w:rsid w:val="00DF3785"/>
    <w:rsid w:val="00E02098"/>
    <w:rsid w:val="00E203AD"/>
    <w:rsid w:val="00E2046D"/>
    <w:rsid w:val="00E21617"/>
    <w:rsid w:val="00E27B64"/>
    <w:rsid w:val="00E3456B"/>
    <w:rsid w:val="00E366E2"/>
    <w:rsid w:val="00E40D9D"/>
    <w:rsid w:val="00E500AC"/>
    <w:rsid w:val="00E55BB9"/>
    <w:rsid w:val="00E65F35"/>
    <w:rsid w:val="00E74E8C"/>
    <w:rsid w:val="00E775AE"/>
    <w:rsid w:val="00E81C78"/>
    <w:rsid w:val="00E96120"/>
    <w:rsid w:val="00EA03D7"/>
    <w:rsid w:val="00EC6BD8"/>
    <w:rsid w:val="00ED4213"/>
    <w:rsid w:val="00ED74D7"/>
    <w:rsid w:val="00EF34F9"/>
    <w:rsid w:val="00EF6E2A"/>
    <w:rsid w:val="00F01F41"/>
    <w:rsid w:val="00F06455"/>
    <w:rsid w:val="00F1604B"/>
    <w:rsid w:val="00F205B9"/>
    <w:rsid w:val="00F219DE"/>
    <w:rsid w:val="00F226E0"/>
    <w:rsid w:val="00F64289"/>
    <w:rsid w:val="00F67EBD"/>
    <w:rsid w:val="00F72D28"/>
    <w:rsid w:val="00F80FAB"/>
    <w:rsid w:val="00F87C05"/>
    <w:rsid w:val="00F96C99"/>
    <w:rsid w:val="00FA0D71"/>
    <w:rsid w:val="00FB3B3B"/>
    <w:rsid w:val="00FC18B4"/>
    <w:rsid w:val="00FD0060"/>
    <w:rsid w:val="00FD080D"/>
    <w:rsid w:val="00FD5617"/>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DefaultParagraphFont"/>
    <w:link w:val="Title1"/>
    <w:rsid w:val="00F205B9"/>
    <w:rPr>
      <w:rFonts w:asciiTheme="majorHAnsi" w:hAnsiTheme="majorHAnsi"/>
      <w:b/>
      <w:color w:val="00379F" w:themeColor="text1"/>
      <w:sz w:val="28"/>
      <w:lang w:val="en-GB"/>
    </w:rPr>
  </w:style>
  <w:style w:type="paragraph" w:styleId="ListParagraph">
    <w:name w:val="List Paragraph"/>
    <w:basedOn w:val="Normal"/>
    <w:autoRedefine/>
    <w:uiPriority w:val="34"/>
    <w:qFormat/>
    <w:rsid w:val="005B6B12"/>
    <w:pPr>
      <w:numPr>
        <w:numId w:val="6"/>
      </w:numPr>
    </w:pPr>
  </w:style>
  <w:style w:type="paragraph" w:customStyle="1" w:styleId="Title3">
    <w:name w:val="Title 3"/>
    <w:basedOn w:val="ListParagraph"/>
    <w:link w:val="Title3Char"/>
    <w:autoRedefine/>
    <w:rsid w:val="00F205B9"/>
    <w:pPr>
      <w:numPr>
        <w:ilvl w:val="3"/>
        <w:numId w:val="1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013CA1"/>
    <w:pPr>
      <w:ind w:hanging="567"/>
      <w:contextualSpacing/>
    </w:pPr>
    <w:rPr>
      <w:b/>
    </w:rPr>
  </w:style>
  <w:style w:type="character" w:customStyle="1" w:styleId="QuestionstyleChar">
    <w:name w:val="Question style Char"/>
    <w:basedOn w:val="DefaultParagraphFont"/>
    <w:link w:val="Questionstyle"/>
    <w:rsid w:val="00013CA1"/>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semiHidden/>
    <w:unhideWhenUsed/>
    <w:rsid w:val="00D33C31"/>
    <w:pPr>
      <w:spacing w:line="240" w:lineRule="auto"/>
    </w:pPr>
    <w:rPr>
      <w:sz w:val="20"/>
    </w:rPr>
  </w:style>
  <w:style w:type="character" w:customStyle="1" w:styleId="CommentTextChar">
    <w:name w:val="Comment Text Char"/>
    <w:basedOn w:val="DefaultParagraphFont"/>
    <w:link w:val="CommentText"/>
    <w:uiPriority w:val="99"/>
    <w:semiHidden/>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styleId="PlaceholderText">
    <w:name w:val="Placeholder Text"/>
    <w:basedOn w:val="DefaultParagraphFont"/>
    <w:uiPriority w:val="99"/>
    <w:semiHidden/>
    <w:rsid w:val="00013C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231EE2"/>
    <w:rsid w:val="00543E4C"/>
    <w:rsid w:val="005D399A"/>
    <w:rsid w:val="00763EA0"/>
    <w:rsid w:val="00917A1D"/>
    <w:rsid w:val="009F6BA7"/>
    <w:rsid w:val="00A56298"/>
    <w:rsid w:val="00AF7E35"/>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2388</Words>
  <Characters>13617</Characters>
  <Application>Microsoft Office Word</Application>
  <DocSecurity>8</DocSecurity>
  <Lines>113</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Judith Crawford</cp:lastModifiedBy>
  <cp:revision>2</cp:revision>
  <dcterms:created xsi:type="dcterms:W3CDTF">2023-09-20T15:25:00Z</dcterms:created>
  <dcterms:modified xsi:type="dcterms:W3CDTF">2023-09-20T15:25:00Z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ies>
</file>