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7A69F087" w:rsidR="00563C1F" w:rsidRDefault="0026459D" w:rsidP="00F72D28">
          <w:pPr>
            <w:pStyle w:val="Title"/>
          </w:pPr>
          <w:r>
            <w:t>Reply form</w:t>
          </w:r>
          <w:r w:rsidR="00563C1F">
            <w:t xml:space="preserve"> </w:t>
          </w:r>
          <w:permStart w:id="921725456" w:edGrp="everyone"/>
          <w:permEnd w:id="921725456"/>
        </w:p>
        <w:p w14:paraId="031F2108" w14:textId="7F17ECB9" w:rsidR="007E7997" w:rsidRDefault="0026459D" w:rsidP="00D77369">
          <w:pPr>
            <w:pStyle w:val="Subtitle"/>
            <w:rPr>
              <w:rFonts w:cs="Arial"/>
            </w:rPr>
          </w:pPr>
          <w:r w:rsidRPr="0026459D">
            <w:rPr>
              <w:rFonts w:cs="Arial"/>
              <w:b/>
              <w:bCs/>
            </w:rPr>
            <w:t>on</w:t>
          </w:r>
          <w:r>
            <w:rPr>
              <w:rFonts w:cs="Arial"/>
            </w:rPr>
            <w:t xml:space="preserve"> </w:t>
          </w:r>
          <w:r w:rsidRPr="0026459D">
            <w:rPr>
              <w:rFonts w:cs="Arial"/>
              <w:b/>
              <w:bCs/>
            </w:rPr>
            <w:t>the first Consultation Paper for MiCA implementation</w:t>
          </w:r>
          <w:r w:rsidR="00D77369">
            <w:rPr>
              <w:noProof/>
            </w:rPr>
            <mc:AlternateContent>
              <mc:Choice Requires="wps">
                <w:drawing>
                  <wp:anchor distT="0" distB="0" distL="114300" distR="114300" simplePos="0" relativeHeight="251659264"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760F7"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050C015" w:rsidR="002533FC" w:rsidRPr="005B6B12" w:rsidRDefault="002533FC" w:rsidP="002533FC">
          <w:r w:rsidRPr="005B6B12">
            <w:t xml:space="preserve">ESMA invites comments on all matters in this paper and in particular </w:t>
          </w:r>
          <w:r>
            <w:t>on the specific questions summa</w:t>
          </w:r>
          <w:r w:rsidRPr="005B6B12">
            <w:t>rised in Annex 1</w:t>
          </w:r>
          <w:r w:rsidR="0057524C">
            <w:t xml:space="preserve"> </w:t>
          </w:r>
          <w:r w:rsidRPr="005B6B12">
            <w:t>. Comments are most helpful if they:</w:t>
          </w:r>
        </w:p>
        <w:p w14:paraId="491CDAA8" w14:textId="77777777" w:rsidR="002533FC" w:rsidRPr="005B6B12" w:rsidRDefault="002533FC" w:rsidP="002533FC">
          <w:pPr>
            <w:pStyle w:val="ListParagraph"/>
          </w:pPr>
          <w:r w:rsidRPr="005B6B12">
            <w:t>respond to the question stated;</w:t>
          </w:r>
        </w:p>
        <w:p w14:paraId="72FD40F6" w14:textId="77777777" w:rsidR="002533FC" w:rsidRPr="005B6B12" w:rsidRDefault="002533FC" w:rsidP="002533FC">
          <w:pPr>
            <w:pStyle w:val="ListParagraph"/>
          </w:pPr>
          <w:r w:rsidRPr="005B6B12">
            <w:t>indicate the specific question to which the comment relates;</w:t>
          </w:r>
        </w:p>
        <w:p w14:paraId="78B206B7" w14:textId="77777777" w:rsidR="002533FC" w:rsidRPr="005B6B12" w:rsidRDefault="002533FC" w:rsidP="002533FC">
          <w:pPr>
            <w:pStyle w:val="ListParagraph"/>
          </w:pPr>
          <w:r w:rsidRPr="005B6B12">
            <w:t>contain a clear rationale; and</w:t>
          </w:r>
        </w:p>
        <w:p w14:paraId="60B8834E" w14:textId="77777777" w:rsidR="002533FC" w:rsidRPr="005B6B12" w:rsidRDefault="002533FC" w:rsidP="002533FC">
          <w:pPr>
            <w:pStyle w:val="ListParagraph"/>
          </w:pPr>
          <w:r w:rsidRPr="005B6B12">
            <w:t>describe any alternatives ESMA should consider.</w:t>
          </w:r>
        </w:p>
        <w:p w14:paraId="219225AC" w14:textId="046C7967" w:rsidR="002533FC" w:rsidRPr="005B6B12" w:rsidRDefault="002533FC" w:rsidP="002533FC">
          <w:r w:rsidRPr="005B6B12">
            <w:t xml:space="preserve">ESMA will consider all comments received </w:t>
          </w:r>
          <w:r w:rsidRPr="00053B66">
            <w:t xml:space="preserve">by </w:t>
          </w:r>
          <w:r w:rsidR="00501EF4" w:rsidRPr="00053B66">
            <w:rPr>
              <w:b/>
            </w:rPr>
            <w:t>20 September 2023</w:t>
          </w:r>
          <w:r w:rsidRPr="00053B66">
            <w:rPr>
              <w:b/>
            </w:rPr>
            <w:t>.</w:t>
          </w:r>
          <w:r w:rsidRPr="005B6B12">
            <w:rPr>
              <w:b/>
            </w:rPr>
            <w:t xml:space="preserve"> </w:t>
          </w:r>
        </w:p>
        <w:p w14:paraId="7EBC0542" w14:textId="77777777" w:rsidR="002533FC" w:rsidRPr="005B6B12"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w:t>
          </w:r>
          <w:r w:rsidRPr="0057524C">
            <w:rPr>
              <w:i/>
              <w:iCs/>
            </w:rPr>
            <w:t>Your input - Consultations’</w:t>
          </w:r>
          <w:r w:rsidRPr="005B6B12">
            <w:t xml:space="preserve">. </w:t>
          </w:r>
        </w:p>
        <w:p w14:paraId="645C36DD" w14:textId="77777777" w:rsidR="00013CA1" w:rsidRDefault="00013CA1" w:rsidP="0026459D">
          <w:pPr>
            <w:rPr>
              <w:b/>
              <w:sz w:val="24"/>
              <w:szCs w:val="22"/>
            </w:rPr>
          </w:pPr>
        </w:p>
        <w:p w14:paraId="2F13BF05" w14:textId="0906C911" w:rsidR="0026459D" w:rsidRPr="0026459D" w:rsidRDefault="0026459D" w:rsidP="00013CA1">
          <w:pPr>
            <w:pStyle w:val="Subtitle"/>
            <w:rPr>
              <w:b/>
              <w:sz w:val="24"/>
              <w:szCs w:val="22"/>
            </w:rPr>
          </w:pPr>
          <w:r w:rsidRPr="00013CA1">
            <w:t>Instructions</w:t>
          </w:r>
        </w:p>
        <w:p w14:paraId="2393F132" w14:textId="77777777" w:rsidR="0026459D" w:rsidRPr="0026459D" w:rsidRDefault="0026459D" w:rsidP="0026459D">
          <w:pPr>
            <w:rPr>
              <w:bCs/>
            </w:rPr>
          </w:pPr>
          <w:r w:rsidRPr="0026459D">
            <w:rPr>
              <w:bCs/>
            </w:rPr>
            <w:t>In order to facilitate analysis of responses to the Consultation Paper, respondents are requested to follow the below steps when preparing and submitting their response:</w:t>
          </w:r>
        </w:p>
        <w:p w14:paraId="7D98BE7D" w14:textId="77777777" w:rsidR="0026459D" w:rsidRPr="0026459D" w:rsidRDefault="0026459D" w:rsidP="0026459D">
          <w:pPr>
            <w:ind w:left="142"/>
            <w:rPr>
              <w:bCs/>
            </w:rPr>
          </w:pPr>
          <w:r w:rsidRPr="0026459D">
            <w:rPr>
              <w:bCs/>
            </w:rPr>
            <w:t>•</w:t>
          </w:r>
          <w:r w:rsidRPr="0026459D">
            <w:rPr>
              <w:bCs/>
            </w:rPr>
            <w:tab/>
            <w:t xml:space="preserve">Insert your responses to the questions in the Consultation Paper in this reply form. </w:t>
          </w:r>
        </w:p>
        <w:p w14:paraId="67D0AB82" w14:textId="16E0551E" w:rsidR="0026459D" w:rsidRPr="0026459D" w:rsidRDefault="0026459D" w:rsidP="0026459D">
          <w:pPr>
            <w:ind w:left="142"/>
            <w:rPr>
              <w:bCs/>
            </w:rPr>
          </w:pPr>
          <w:r w:rsidRPr="0026459D">
            <w:rPr>
              <w:bCs/>
            </w:rPr>
            <w:t>•</w:t>
          </w:r>
          <w:r w:rsidRPr="0026459D">
            <w:rPr>
              <w:bCs/>
            </w:rPr>
            <w:tab/>
            <w:t>Please do not remove tags of the type &lt;</w:t>
          </w:r>
          <w:r w:rsidR="00557BD2" w:rsidRPr="00557BD2">
            <w:t xml:space="preserve"> </w:t>
          </w:r>
          <w:r w:rsidR="00557BD2" w:rsidRPr="00557BD2">
            <w:rPr>
              <w:bCs/>
            </w:rPr>
            <w:t>ESMA_QUESTION_MICA_0</w:t>
          </w:r>
          <w:r w:rsidRPr="0026459D">
            <w:rPr>
              <w:bCs/>
            </w:rPr>
            <w:t xml:space="preserve">&gt;. Your response </w:t>
          </w:r>
          <w:r>
            <w:rPr>
              <w:bCs/>
            </w:rPr>
            <w:tab/>
          </w:r>
          <w:r w:rsidRPr="0026459D">
            <w:rPr>
              <w:bCs/>
            </w:rPr>
            <w:t>to each question has to be framed by the two tags corresponding to the question.</w:t>
          </w:r>
        </w:p>
        <w:p w14:paraId="4B507BDC" w14:textId="4A2D1316" w:rsidR="0026459D" w:rsidRPr="0026459D" w:rsidRDefault="0026459D" w:rsidP="0026459D">
          <w:pPr>
            <w:ind w:left="142"/>
            <w:rPr>
              <w:bCs/>
            </w:rPr>
          </w:pPr>
          <w:r w:rsidRPr="0026459D">
            <w:rPr>
              <w:bCs/>
            </w:rPr>
            <w:t>•</w:t>
          </w:r>
          <w:r w:rsidRPr="0026459D">
            <w:rPr>
              <w:bCs/>
            </w:rPr>
            <w:tab/>
            <w:t xml:space="preserve">If you do not wish to respond to a given question, please do not delete it but simply </w:t>
          </w:r>
          <w:r>
            <w:rPr>
              <w:bCs/>
            </w:rPr>
            <w:tab/>
          </w:r>
          <w:r w:rsidRPr="0026459D">
            <w:rPr>
              <w:bCs/>
            </w:rPr>
            <w:t>leave the text “TYPE YOUR TEXT HERE” between the tags.</w:t>
          </w:r>
        </w:p>
        <w:p w14:paraId="69AC7465" w14:textId="691DE5C9" w:rsidR="0026459D" w:rsidRPr="0026459D" w:rsidRDefault="0026459D" w:rsidP="0026459D">
          <w:pPr>
            <w:ind w:left="142"/>
            <w:rPr>
              <w:bCs/>
            </w:rPr>
          </w:pPr>
          <w:r w:rsidRPr="0026459D">
            <w:rPr>
              <w:bCs/>
            </w:rPr>
            <w:t>•</w:t>
          </w:r>
          <w:r w:rsidRPr="0026459D">
            <w:rPr>
              <w:bCs/>
            </w:rPr>
            <w:tab/>
            <w:t xml:space="preserve">When you have drafted your responses, save the reply form according to the following </w:t>
          </w:r>
          <w:r>
            <w:rPr>
              <w:bCs/>
            </w:rPr>
            <w:tab/>
          </w:r>
          <w:r w:rsidRPr="0026459D">
            <w:rPr>
              <w:bCs/>
            </w:rPr>
            <w:t>convention: ESMA_CP</w:t>
          </w:r>
          <w:r w:rsidR="00557BD2">
            <w:rPr>
              <w:bCs/>
            </w:rPr>
            <w:t>1</w:t>
          </w:r>
          <w:r w:rsidRPr="0026459D">
            <w:rPr>
              <w:bCs/>
            </w:rPr>
            <w:t>_</w:t>
          </w:r>
          <w:r w:rsidR="00557BD2">
            <w:rPr>
              <w:bCs/>
            </w:rPr>
            <w:t>MiCA</w:t>
          </w:r>
          <w:r w:rsidRPr="0026459D">
            <w:rPr>
              <w:bCs/>
            </w:rPr>
            <w:t xml:space="preserve"> _nameofrespondent. </w:t>
          </w:r>
        </w:p>
        <w:p w14:paraId="17FA3FDA" w14:textId="62056116" w:rsidR="0026459D" w:rsidRPr="0026459D" w:rsidRDefault="0026459D" w:rsidP="0026459D">
          <w:pPr>
            <w:ind w:left="142"/>
            <w:rPr>
              <w:bCs/>
            </w:rPr>
          </w:pPr>
          <w:r>
            <w:rPr>
              <w:bCs/>
            </w:rPr>
            <w:tab/>
          </w:r>
          <w:r w:rsidRPr="0026459D">
            <w:rPr>
              <w:bCs/>
            </w:rPr>
            <w:t xml:space="preserve">For example, for a respondent named ABCD, the reply form would be saved with the </w:t>
          </w:r>
          <w:r>
            <w:rPr>
              <w:bCs/>
            </w:rPr>
            <w:tab/>
          </w:r>
          <w:r w:rsidRPr="0026459D">
            <w:rPr>
              <w:bCs/>
            </w:rPr>
            <w:t xml:space="preserve">following name: </w:t>
          </w:r>
          <w:r w:rsidR="00557BD2" w:rsidRPr="0026459D">
            <w:rPr>
              <w:bCs/>
            </w:rPr>
            <w:t>ESMA_CP</w:t>
          </w:r>
          <w:r w:rsidR="00557BD2">
            <w:rPr>
              <w:bCs/>
            </w:rPr>
            <w:t>1</w:t>
          </w:r>
          <w:r w:rsidR="00557BD2" w:rsidRPr="0026459D">
            <w:rPr>
              <w:bCs/>
            </w:rPr>
            <w:t>_</w:t>
          </w:r>
          <w:r w:rsidR="00557BD2">
            <w:rPr>
              <w:bCs/>
            </w:rPr>
            <w:t>MiCA</w:t>
          </w:r>
          <w:r w:rsidR="00557BD2" w:rsidRPr="0026459D">
            <w:rPr>
              <w:bCs/>
            </w:rPr>
            <w:t xml:space="preserve"> </w:t>
          </w:r>
          <w:r w:rsidRPr="0026459D">
            <w:rPr>
              <w:bCs/>
            </w:rPr>
            <w:t>_ABCD.</w:t>
          </w:r>
        </w:p>
        <w:p w14:paraId="53DD7175" w14:textId="71039BA0" w:rsidR="0026459D" w:rsidRPr="0026459D" w:rsidRDefault="0026459D" w:rsidP="0026459D">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lastRenderedPageBreak/>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79F2A31C" w14:textId="77777777" w:rsidR="00013CA1" w:rsidRDefault="00013CA1" w:rsidP="002533FC">
          <w:pPr>
            <w:rPr>
              <w:b/>
            </w:rPr>
          </w:pPr>
        </w:p>
        <w:p w14:paraId="0E22A3A6" w14:textId="40B1A423" w:rsidR="002533FC" w:rsidRPr="00013CA1" w:rsidRDefault="002533FC" w:rsidP="00013CA1">
          <w:pPr>
            <w:pStyle w:val="Subtitle"/>
          </w:pPr>
          <w:r w:rsidRPr="00013CA1">
            <w:t>Publication of responses</w:t>
          </w:r>
        </w:p>
        <w:p w14:paraId="626CF6FC" w14:textId="5CD2D250" w:rsidR="00944EC7" w:rsidRDefault="00944EC7" w:rsidP="002533FC">
          <w:r w:rsidRPr="00944EC7">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4032A9C" w14:textId="77777777" w:rsidR="00944EC7" w:rsidRDefault="00944EC7" w:rsidP="002533FC"/>
        <w:p w14:paraId="55CFD972" w14:textId="094C025C" w:rsidR="002533FC" w:rsidRPr="00013CA1" w:rsidRDefault="002533FC" w:rsidP="00013CA1">
          <w:pPr>
            <w:pStyle w:val="Subtitle"/>
          </w:pPr>
          <w:r w:rsidRPr="00013CA1">
            <w:t>Data protection</w:t>
          </w:r>
        </w:p>
        <w:p w14:paraId="21D5CFF2" w14:textId="77777777" w:rsidR="002533FC" w:rsidRPr="005B6B12" w:rsidRDefault="002533FC" w:rsidP="002533FC">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12C0B1F6" w14:textId="77777777" w:rsidR="00944EC7" w:rsidRDefault="00944EC7" w:rsidP="002533FC">
          <w:pPr>
            <w:rPr>
              <w:b/>
            </w:rPr>
          </w:pPr>
        </w:p>
        <w:p w14:paraId="22972F1D" w14:textId="17CF9CD7" w:rsidR="002533FC" w:rsidRPr="00013CA1" w:rsidRDefault="002533FC" w:rsidP="00013CA1">
          <w:pPr>
            <w:pStyle w:val="Subtitle"/>
          </w:pPr>
          <w:r w:rsidRPr="00013CA1">
            <w:t>Who should read this paper?</w:t>
          </w:r>
        </w:p>
        <w:p w14:paraId="50C0B880" w14:textId="583274AE" w:rsidR="002533FC" w:rsidRPr="002533FC" w:rsidRDefault="00C717BC" w:rsidP="002533FC">
          <w:pPr>
            <w:rPr>
              <w:rFonts w:asciiTheme="majorHAnsi" w:eastAsiaTheme="majorEastAsia" w:hAnsiTheme="majorHAnsi" w:cstheme="majorBidi"/>
              <w:sz w:val="28"/>
              <w:szCs w:val="24"/>
              <w:highlight w:val="yellow"/>
            </w:rPr>
            <w:sectPr w:rsidR="002533FC" w:rsidRPr="002533FC"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r>
            <w:t>A</w:t>
          </w:r>
          <w:r w:rsidRPr="00C717BC">
            <w:t xml:space="preserve">ll interested stakeholders are invited to respond to this consultation paper. In particular, ESMA invites crypto-assets issuers, crypto-asset service providers and financial entities dealing with crypto-assets as well as all stakeholders that have an interest in </w:t>
          </w:r>
          <w:r w:rsidR="009E2971">
            <w:t>crypto-assets</w:t>
          </w:r>
          <w:r w:rsidRPr="00C717BC">
            <w:t>.</w:t>
          </w:r>
        </w:p>
      </w:sdtContent>
    </w:sdt>
    <w:p w14:paraId="1223007A" w14:textId="6259C47F" w:rsidR="00557BD2" w:rsidRPr="00557BD2" w:rsidRDefault="00557BD2" w:rsidP="00557BD2">
      <w:pPr>
        <w:pStyle w:val="Heading1"/>
        <w:rPr>
          <w:lang w:val="fr-BE"/>
        </w:rPr>
      </w:pPr>
      <w:r>
        <w:rPr>
          <w:lang w:val="fr-BE"/>
        </w:rPr>
        <w:lastRenderedPageBreak/>
        <w:t xml:space="preserve">General information about </w:t>
      </w:r>
      <w:r w:rsidRPr="00501EF4">
        <w:t>responden</w:t>
      </w:r>
      <w:r w:rsidR="00501EF4" w:rsidRPr="00501EF4">
        <w:t>t</w:t>
      </w:r>
    </w:p>
    <w:tbl>
      <w:tblPr>
        <w:tblStyle w:val="TableGrid"/>
        <w:tblW w:w="0" w:type="auto"/>
        <w:tblLook w:val="04A0" w:firstRow="1" w:lastRow="0" w:firstColumn="1" w:lastColumn="0" w:noHBand="0" w:noVBand="1"/>
      </w:tblPr>
      <w:tblGrid>
        <w:gridCol w:w="4531"/>
        <w:gridCol w:w="4531"/>
      </w:tblGrid>
      <w:tr w:rsidR="00557BD2" w:rsidRPr="00557BD2" w14:paraId="4D230495" w14:textId="77777777" w:rsidTr="00557BD2">
        <w:tc>
          <w:tcPr>
            <w:tcW w:w="4531" w:type="dxa"/>
          </w:tcPr>
          <w:p w14:paraId="0AE13211" w14:textId="09F20E49" w:rsidR="00557BD2" w:rsidRPr="00557BD2" w:rsidRDefault="00557BD2" w:rsidP="00557BD2">
            <w:pPr>
              <w:rPr>
                <w:color w:val="00379F" w:themeColor="text1"/>
                <w:sz w:val="24"/>
                <w:szCs w:val="22"/>
              </w:rPr>
            </w:pPr>
            <w:r w:rsidRPr="00557BD2">
              <w:rPr>
                <w:color w:val="00379F" w:themeColor="text1"/>
                <w:sz w:val="24"/>
                <w:szCs w:val="22"/>
              </w:rPr>
              <w:t>Name of the company / organisation</w:t>
            </w:r>
          </w:p>
        </w:tc>
        <w:permStart w:id="1281448110" w:edGrp="everyone" w:displacedByCustomXml="next"/>
        <w:sdt>
          <w:sdtPr>
            <w:id w:val="-803776227"/>
            <w:placeholder>
              <w:docPart w:val="DefaultPlaceholder_-1854013440"/>
            </w:placeholder>
          </w:sdtPr>
          <w:sdtContent>
            <w:tc>
              <w:tcPr>
                <w:tcW w:w="4531" w:type="dxa"/>
              </w:tcPr>
              <w:p w14:paraId="7C4A6574" w14:textId="1E455900" w:rsidR="00557BD2" w:rsidRPr="00557BD2" w:rsidRDefault="00601B9D" w:rsidP="00557BD2">
                <w:r>
                  <w:t>Lukka</w:t>
                </w:r>
              </w:p>
            </w:tc>
          </w:sdtContent>
        </w:sdt>
        <w:permEnd w:id="1281448110" w:displacedByCustomXml="prev"/>
      </w:tr>
      <w:tr w:rsidR="00557BD2" w:rsidRPr="00557BD2" w14:paraId="23547828" w14:textId="77777777" w:rsidTr="00557BD2">
        <w:tc>
          <w:tcPr>
            <w:tcW w:w="4531" w:type="dxa"/>
          </w:tcPr>
          <w:p w14:paraId="5373A244" w14:textId="42A3AF17" w:rsidR="00557BD2" w:rsidRPr="00557BD2" w:rsidRDefault="00557BD2" w:rsidP="00557BD2">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DefaultPlaceholder_-1854013438"/>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249600727" w:edGrp="everyone" w:displacedByCustomXml="prev"/>
            <w:tc>
              <w:tcPr>
                <w:tcW w:w="4531" w:type="dxa"/>
              </w:tcPr>
              <w:p w14:paraId="1624F840" w14:textId="2FAC9F89" w:rsidR="00557BD2" w:rsidRPr="00557BD2" w:rsidRDefault="00601B9D" w:rsidP="00557BD2">
                <w:r>
                  <w:t>Others</w:t>
                </w:r>
              </w:p>
            </w:tc>
            <w:permEnd w:id="1249600727" w:displacedByCustomXml="next"/>
          </w:sdtContent>
        </w:sdt>
      </w:tr>
      <w:tr w:rsidR="00557BD2" w:rsidRPr="00557BD2" w14:paraId="3A84134D" w14:textId="77777777" w:rsidTr="00557BD2">
        <w:tc>
          <w:tcPr>
            <w:tcW w:w="4531" w:type="dxa"/>
          </w:tcPr>
          <w:p w14:paraId="7A926640" w14:textId="1D9DCFE2" w:rsidR="00557BD2" w:rsidRPr="00557BD2" w:rsidRDefault="00557BD2" w:rsidP="00557BD2">
            <w:pPr>
              <w:rPr>
                <w:color w:val="00379F" w:themeColor="text1"/>
                <w:sz w:val="24"/>
                <w:szCs w:val="22"/>
              </w:rPr>
            </w:pPr>
            <w:r w:rsidRPr="00557BD2">
              <w:rPr>
                <w:color w:val="00379F" w:themeColor="text1"/>
                <w:sz w:val="24"/>
                <w:szCs w:val="22"/>
              </w:rPr>
              <w:t>Are you representing an association?</w:t>
            </w:r>
          </w:p>
        </w:tc>
        <w:permStart w:id="633473255" w:edGrp="everyone" w:displacedByCustomXml="next"/>
        <w:sdt>
          <w:sdtPr>
            <w:id w:val="456152326"/>
            <w14:checkbox>
              <w14:checked w14:val="0"/>
              <w14:checkedState w14:val="2612" w14:font="MS Gothic"/>
              <w14:uncheckedState w14:val="2610" w14:font="MS Gothic"/>
            </w14:checkbox>
          </w:sdtPr>
          <w:sdtContent>
            <w:tc>
              <w:tcPr>
                <w:tcW w:w="4531" w:type="dxa"/>
              </w:tcPr>
              <w:p w14:paraId="5D69AFA4" w14:textId="5FC80B34" w:rsidR="00557BD2" w:rsidRPr="00557BD2" w:rsidRDefault="00601B9D" w:rsidP="00557BD2">
                <w:r>
                  <w:rPr>
                    <w:rFonts w:ascii="MS Gothic" w:eastAsia="MS Gothic" w:hAnsi="MS Gothic" w:hint="eastAsia"/>
                  </w:rPr>
                  <w:t>☐</w:t>
                </w:r>
              </w:p>
            </w:tc>
          </w:sdtContent>
        </w:sdt>
        <w:permEnd w:id="633473255" w:displacedByCustomXml="prev"/>
      </w:tr>
      <w:tr w:rsidR="00557BD2" w:rsidRPr="00557BD2" w14:paraId="3664C8DD" w14:textId="77777777" w:rsidTr="00557BD2">
        <w:tc>
          <w:tcPr>
            <w:tcW w:w="4531" w:type="dxa"/>
          </w:tcPr>
          <w:p w14:paraId="77E539F3" w14:textId="78D570D0" w:rsidR="00557BD2" w:rsidRPr="00557BD2" w:rsidRDefault="00557BD2" w:rsidP="00557BD2">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DefaultPlaceholder_-1854013438"/>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635844015" w:edGrp="everyone" w:displacedByCustomXml="prev"/>
            <w:tc>
              <w:tcPr>
                <w:tcW w:w="4531" w:type="dxa"/>
              </w:tcPr>
              <w:p w14:paraId="2FED1C55" w14:textId="1F0CE21F" w:rsidR="00557BD2" w:rsidRPr="00557BD2" w:rsidRDefault="00601B9D" w:rsidP="00557BD2">
                <w:r>
                  <w:t>International</w:t>
                </w:r>
              </w:p>
            </w:tc>
            <w:permEnd w:id="635844015" w:displacedByCustomXml="next"/>
          </w:sdtContent>
        </w:sdt>
      </w:tr>
    </w:tbl>
    <w:p w14:paraId="4ACCFE94" w14:textId="77777777" w:rsidR="009E2971" w:rsidRDefault="009E2971" w:rsidP="00557BD2">
      <w:pPr>
        <w:sectPr w:rsidR="009E2971" w:rsidSect="00AD0B10">
          <w:headerReference w:type="default" r:id="rId21"/>
          <w:footerReference w:type="default" r:id="rId22"/>
          <w:pgSz w:w="11906" w:h="16838"/>
          <w:pgMar w:top="1417" w:right="1417" w:bottom="1417" w:left="1417" w:header="862" w:footer="708" w:gutter="0"/>
          <w:cols w:space="708"/>
          <w:docGrid w:linePitch="360"/>
        </w:sectPr>
      </w:pPr>
    </w:p>
    <w:p w14:paraId="0DAA4F62" w14:textId="66B4F506" w:rsidR="00557BD2" w:rsidRDefault="00557BD2" w:rsidP="00557BD2"/>
    <w:p w14:paraId="4728E044" w14:textId="783C8CEC" w:rsidR="00053B66" w:rsidRDefault="00053B66" w:rsidP="00053B66">
      <w:pPr>
        <w:pStyle w:val="Heading1"/>
      </w:pPr>
      <w:r>
        <w:t>Introduction</w:t>
      </w:r>
    </w:p>
    <w:p w14:paraId="1FA502A3" w14:textId="77777777" w:rsidR="00053B66" w:rsidRPr="0056371D" w:rsidRDefault="00053B66" w:rsidP="00053B66">
      <w:pPr>
        <w:pStyle w:val="Questionstyle"/>
        <w:rPr>
          <w:bCs/>
          <w:i/>
          <w:iCs/>
        </w:rPr>
      </w:pPr>
      <w:r w:rsidRPr="00D62227">
        <w:rPr>
          <w:lang w:val="en-US"/>
        </w:rPr>
        <w:t>Q0:</w:t>
      </w:r>
      <w:r>
        <w:rPr>
          <w:lang w:val="en-US"/>
        </w:rPr>
        <w:t xml:space="preserve"> </w:t>
      </w:r>
      <w:r w:rsidRPr="00D62227">
        <w:rPr>
          <w:lang w:val="en-US"/>
        </w:rPr>
        <w:t>Please make your introductory comments below, if any:</w:t>
      </w:r>
    </w:p>
    <w:p w14:paraId="1862EBB4" w14:textId="77777777" w:rsidR="00053B66" w:rsidRDefault="00053B66" w:rsidP="00053B66">
      <w:pPr>
        <w:spacing w:after="0"/>
      </w:pPr>
      <w:r>
        <w:t>&lt;ESMA_QUESTION_MICA_0&gt;</w:t>
      </w:r>
    </w:p>
    <w:p w14:paraId="4C142F5A" w14:textId="2F0E53E1" w:rsidR="00601B9D" w:rsidRDefault="00601B9D" w:rsidP="00601B9D">
      <w:pPr>
        <w:spacing w:after="0"/>
        <w:rPr>
          <w:color w:val="000000"/>
        </w:rPr>
      </w:pPr>
      <w:permStart w:id="1420179027" w:edGrp="everyone"/>
      <w:r>
        <w:rPr>
          <w:color w:val="000000"/>
        </w:rPr>
        <w:t xml:space="preserve">We serve the most risk-mature businesses in the world with institutional data and software solutions. Our customers include both traditional and digital asset exchanges, trading desks, CPA &amp; accounting firms, banks, fund and financial auditors, fund administrators, miners, protocols, individuals, and numerous other businesses interacting with digital assets. Lukka also engages and advises tax authorities and regulators at all levels of governments globally and has proudly supported the United States Internal Revenue Service as a customer for over three years. Lastly, our </w:t>
      </w:r>
      <w:r>
        <w:rPr>
          <w:rFonts w:ascii="Arial" w:eastAsia="Arial" w:hAnsi="Arial" w:cs="Arial"/>
          <w:color w:val="000000"/>
        </w:rPr>
        <w:t xml:space="preserve">blockchain and analytics capabilities create a safer blockchain economy by being at the innovative forefront of crypto AML compliance, </w:t>
      </w:r>
      <w:proofErr w:type="gramStart"/>
      <w:r>
        <w:rPr>
          <w:rFonts w:ascii="Arial" w:eastAsia="Arial" w:hAnsi="Arial" w:cs="Arial"/>
          <w:color w:val="000000"/>
        </w:rPr>
        <w:t>analytics</w:t>
      </w:r>
      <w:proofErr w:type="gramEnd"/>
      <w:r>
        <w:rPr>
          <w:rFonts w:ascii="Arial" w:eastAsia="Arial" w:hAnsi="Arial" w:cs="Arial"/>
          <w:color w:val="000000"/>
        </w:rPr>
        <w:t xml:space="preserve"> and illicit asset tracing. Lukka’s industry-leading risk management helps 1M+ blockchain protocols scale sustainably.</w:t>
      </w:r>
    </w:p>
    <w:p w14:paraId="3D697C6B" w14:textId="77777777" w:rsidR="00601B9D" w:rsidRDefault="00601B9D" w:rsidP="00601B9D">
      <w:pPr>
        <w:spacing w:after="0"/>
        <w:rPr>
          <w:color w:val="000000"/>
        </w:rPr>
      </w:pPr>
    </w:p>
    <w:p w14:paraId="12D6DDDB" w14:textId="77777777" w:rsidR="00601B9D" w:rsidRDefault="00601B9D" w:rsidP="00601B9D">
      <w:pPr>
        <w:spacing w:after="0"/>
        <w:rPr>
          <w:color w:val="000000"/>
        </w:rPr>
      </w:pPr>
      <w:r>
        <w:rPr>
          <w:color w:val="000000"/>
        </w:rPr>
        <w:t xml:space="preserve">As a company that focuses on post-trade information and services, Lukka does not meet the definition of a crypto-asset service provider; however, our extensive crypto-specific data allows us to understand and have insights into a wide variety of benefits and issues across the ecosystem. Additionally, we </w:t>
      </w:r>
      <w:proofErr w:type="gramStart"/>
      <w:r>
        <w:rPr>
          <w:color w:val="000000"/>
        </w:rPr>
        <w:t>are able to</w:t>
      </w:r>
      <w:proofErr w:type="gramEnd"/>
      <w:r>
        <w:rPr>
          <w:color w:val="000000"/>
        </w:rPr>
        <w:t xml:space="preserve"> examine market activity across an expansive list of crypto asset participants and tokens. With this knowledge, we welcome, and appreciate, the opportunity to provide input.</w:t>
      </w:r>
    </w:p>
    <w:permEnd w:id="1420179027"/>
    <w:p w14:paraId="5E65D407" w14:textId="5809CAE3" w:rsidR="00053B66" w:rsidRDefault="00053B66" w:rsidP="00053B66">
      <w:pPr>
        <w:spacing w:after="0"/>
      </w:pPr>
      <w:r>
        <w:t>&lt;ESMA_QUESTION_MICA_0&gt;</w:t>
      </w:r>
    </w:p>
    <w:p w14:paraId="45F72D20" w14:textId="77777777" w:rsidR="00053B66" w:rsidRPr="00053B66" w:rsidRDefault="00053B66" w:rsidP="00053B66"/>
    <w:p w14:paraId="1BE54313" w14:textId="7A710EFF" w:rsidR="00557BD2" w:rsidRPr="00557BD2" w:rsidRDefault="00557BD2" w:rsidP="00B15C0B">
      <w:pPr>
        <w:pStyle w:val="Heading1"/>
        <w:rPr>
          <w:lang w:val="fr-BE"/>
        </w:rPr>
      </w:pPr>
      <w:r w:rsidRPr="00557BD2">
        <w:rPr>
          <w:lang w:val="fr-BE"/>
        </w:rPr>
        <w:t xml:space="preserve">Questions </w:t>
      </w:r>
    </w:p>
    <w:p w14:paraId="66162D5A" w14:textId="77777777" w:rsidR="00053B66" w:rsidRDefault="00053B66" w:rsidP="00053B66">
      <w:pPr>
        <w:pStyle w:val="Questionstyle"/>
        <w:ind w:hanging="426"/>
        <w:rPr>
          <w:lang w:val="en-US"/>
        </w:rPr>
      </w:pPr>
      <w:r w:rsidRPr="00232FE1">
        <w:rPr>
          <w:lang w:val="en-US"/>
        </w:rPr>
        <w:t>Q1:</w:t>
      </w:r>
      <w:bookmarkStart w:id="0" w:name="_Hlk139527730"/>
      <w:r>
        <w:rPr>
          <w:lang w:val="en-US"/>
        </w:rPr>
        <w:tab/>
      </w:r>
      <w:bookmarkStart w:id="1" w:name="_Hlk139527770"/>
      <w:r w:rsidRPr="00232FE1">
        <w:rPr>
          <w:lang w:val="en-US"/>
        </w:rPr>
        <w:t>Do you think that anything is missing from the draft RTS and ITS on the</w:t>
      </w:r>
      <w:r>
        <w:rPr>
          <w:lang w:val="en-US"/>
        </w:rPr>
        <w:t xml:space="preserve"> </w:t>
      </w:r>
      <w:r w:rsidRPr="00232FE1">
        <w:rPr>
          <w:lang w:val="en-US"/>
        </w:rPr>
        <w:t>notification by certain financial entities to provide crypto-asset services</w:t>
      </w:r>
      <w:r>
        <w:rPr>
          <w:lang w:val="en-US"/>
        </w:rPr>
        <w:t xml:space="preserve"> </w:t>
      </w:r>
      <w:r w:rsidRPr="00232FE1">
        <w:rPr>
          <w:lang w:val="en-US"/>
        </w:rPr>
        <w:t xml:space="preserve">referred </w:t>
      </w:r>
      <w:r w:rsidRPr="00232FE1">
        <w:rPr>
          <w:lang w:val="en-US"/>
        </w:rPr>
        <w:tab/>
        <w:t>to in Articles 60(13) and 60(14) of MiCA?</w:t>
      </w:r>
      <w:bookmarkEnd w:id="0"/>
      <w:bookmarkEnd w:id="1"/>
    </w:p>
    <w:p w14:paraId="7BD6C5EF" w14:textId="77777777" w:rsidR="00053B66" w:rsidRDefault="00053B66" w:rsidP="00053B66">
      <w:pPr>
        <w:spacing w:after="0"/>
      </w:pPr>
      <w:r>
        <w:lastRenderedPageBreak/>
        <w:t>&lt;ESMA_QUESTION_MICA_0&gt;</w:t>
      </w:r>
    </w:p>
    <w:p w14:paraId="4C19EA92" w14:textId="620F8E48" w:rsidR="00601B9D" w:rsidRDefault="00601B9D" w:rsidP="00601B9D">
      <w:pPr>
        <w:ind w:left="720" w:hanging="360"/>
      </w:pPr>
      <w:permStart w:id="879384799" w:edGrp="everyone"/>
      <w:r>
        <w:t>YES. With reference to 3.2(8) in the Consultation Paper, if the CASP is not already duly licensed, then the list should include the following additional information—we recognise that some of this information may be provided as part of the application requirements but recommend that at least a brief description of each of the following also be a part of the notification. These descriptions and the related requirements should be written in plain language to ensure their understandability.</w:t>
      </w:r>
    </w:p>
    <w:p w14:paraId="1948C8F2" w14:textId="77777777" w:rsidR="00601B9D" w:rsidRDefault="00601B9D" w:rsidP="00601B9D">
      <w:pPr>
        <w:ind w:left="720" w:hanging="360"/>
      </w:pPr>
      <w:r>
        <w:t>Recommended supplemental information in the notification:</w:t>
      </w:r>
    </w:p>
    <w:p w14:paraId="1851A097"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brief description of the entity’s internal controls and governance provisions beyond those related to AML and terrorism. </w:t>
      </w:r>
    </w:p>
    <w:p w14:paraId="0E8A8EEF"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 xml:space="preserve">This description should focus on matters related to the quality of internal controls and governance of the entity’s overall operations, and most importantly, its financial reporting. The failings of multiple businesses in 2022 are prime examples of why this additional information should be provided to regulators and to the public prior to authorisation to conduct business. </w:t>
      </w:r>
    </w:p>
    <w:p w14:paraId="749A24A3"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Any relevant certifications or reports, such as AICPA SOC, or IOSCO, etc., along with the name of the auditor or supplier used to write those reports.</w:t>
      </w:r>
    </w:p>
    <w:p w14:paraId="587C7BCC"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brief description of how held or custodied funds will be treated in the event of a bankruptcy, including customer funds access and recovery process. Also, the CASP’s responsibilities for communication in the event of insolvency. </w:t>
      </w:r>
    </w:p>
    <w:p w14:paraId="3AA6213E"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brief description of how held or custodied funds will be treated in the event of a hack, including customer funds access and recovery process. Also, the CASP’s responsibilities for communication in the event of insolvency. </w:t>
      </w:r>
    </w:p>
    <w:p w14:paraId="12562317"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statement on whether customers’ funds either held or custodied will be supported by the licensed country’s financial markets support programmes, such as FDIC.</w:t>
      </w:r>
    </w:p>
    <w:p w14:paraId="0D8CDB7C"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brief description of related parties and entities and any potential or perceived conflicts of interest therein. </w:t>
      </w:r>
    </w:p>
    <w:p w14:paraId="6FCCEB60"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brief description of the CASP’s approach to the handling of unexpected down-time of its systems, and the potential financial loss to its customers during that time.</w:t>
      </w:r>
    </w:p>
    <w:p w14:paraId="236EBF15"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brief description of the CASP’s internal employee trading policies. </w:t>
      </w:r>
      <w:proofErr w:type="gramStart"/>
      <w:r>
        <w:rPr>
          <w:rFonts w:ascii="Arial" w:eastAsia="Arial" w:hAnsi="Arial" w:cs="Arial"/>
          <w:color w:val="181818"/>
          <w:szCs w:val="22"/>
        </w:rPr>
        <w:t>As well as,</w:t>
      </w:r>
      <w:proofErr w:type="gramEnd"/>
      <w:r>
        <w:rPr>
          <w:rFonts w:ascii="Arial" w:eastAsia="Arial" w:hAnsi="Arial" w:cs="Arial"/>
          <w:color w:val="181818"/>
          <w:szCs w:val="22"/>
        </w:rPr>
        <w:t xml:space="preserve"> the CASP’s own policies around it participating in trading on its own platform.</w:t>
      </w:r>
    </w:p>
    <w:p w14:paraId="6AA5502F"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statement (provided separately for customer vs CASP holdings) that discloses the IFRS fair value levels or NAV, fair value amounts by level or NAV, and the exact methodology used per level or NAV - </w:t>
      </w:r>
      <w:proofErr w:type="gramStart"/>
      <w:r>
        <w:rPr>
          <w:rFonts w:ascii="Arial" w:eastAsia="Arial" w:hAnsi="Arial" w:cs="Arial"/>
          <w:color w:val="181818"/>
          <w:szCs w:val="22"/>
        </w:rPr>
        <w:t>eg</w:t>
      </w:r>
      <w:proofErr w:type="gramEnd"/>
      <w:r>
        <w:rPr>
          <w:rFonts w:ascii="Arial" w:eastAsia="Arial" w:hAnsi="Arial" w:cs="Arial"/>
          <w:color w:val="181818"/>
          <w:szCs w:val="22"/>
        </w:rPr>
        <w:t xml:space="preserve"> principal market, mark to model, etc.</w:t>
      </w:r>
    </w:p>
    <w:p w14:paraId="630206D2" w14:textId="77777777" w:rsidR="00601B9D" w:rsidRDefault="00601B9D" w:rsidP="00601B9D">
      <w:pPr>
        <w:spacing w:after="0"/>
      </w:pPr>
    </w:p>
    <w:p w14:paraId="5FCC87C5" w14:textId="77777777" w:rsidR="00601B9D" w:rsidRDefault="00601B9D" w:rsidP="00601B9D">
      <w:pPr>
        <w:spacing w:after="0"/>
      </w:pPr>
      <w:r>
        <w:t xml:space="preserve">We also commend the approach to avoiding duplicative information that may have already been provided by a given CASP that already provides financial services and has met the information requirements in that context. The approach suggested by ESMA to therefore limit the information required by such a CASP to that which is specific to its new crypto assets line of business is welcomed. </w:t>
      </w:r>
    </w:p>
    <w:permEnd w:id="879384799"/>
    <w:p w14:paraId="017131D4" w14:textId="44817678" w:rsidR="00053B66" w:rsidRDefault="00053B66" w:rsidP="00053B66">
      <w:pPr>
        <w:spacing w:after="0"/>
      </w:pPr>
      <w:r>
        <w:t>&lt;ESMA_QUESTION_MICA_0&gt;</w:t>
      </w:r>
    </w:p>
    <w:p w14:paraId="6E913DD9" w14:textId="77777777" w:rsidR="00053B66" w:rsidRDefault="00053B66" w:rsidP="00053B66"/>
    <w:p w14:paraId="54FE91A3" w14:textId="77777777" w:rsidR="00053B66" w:rsidRPr="00232FE1" w:rsidRDefault="00053B66" w:rsidP="00053B66">
      <w:pPr>
        <w:pStyle w:val="Questionstyle"/>
        <w:ind w:hanging="426"/>
        <w:rPr>
          <w:lang w:val="en-US"/>
        </w:rPr>
      </w:pPr>
      <w:r w:rsidRPr="00232FE1">
        <w:rPr>
          <w:lang w:val="en-US"/>
        </w:rPr>
        <w:lastRenderedPageBreak/>
        <w:t>Q2:</w:t>
      </w:r>
      <w:r w:rsidRPr="00232FE1">
        <w:rPr>
          <w:lang w:val="en-US"/>
        </w:rPr>
        <w:tab/>
        <w:t>Do you agree with the list of information to be provided with an application for authorisation as a crypto-asset service provider? Please also state the reasons for your answer.:</w:t>
      </w:r>
    </w:p>
    <w:p w14:paraId="4525FD7F" w14:textId="77777777" w:rsidR="00053B66" w:rsidRDefault="00053B66" w:rsidP="00053B66">
      <w:pPr>
        <w:spacing w:after="0"/>
      </w:pPr>
      <w:r>
        <w:t>&lt;ESMA_QUESTION_MICA_0&gt;</w:t>
      </w:r>
    </w:p>
    <w:p w14:paraId="27392C75" w14:textId="440E7E67" w:rsidR="00601B9D" w:rsidRDefault="00601B9D" w:rsidP="00601B9D">
      <w:pPr>
        <w:spacing w:after="0"/>
      </w:pPr>
      <w:permStart w:id="1467231046" w:edGrp="everyone"/>
      <w:r>
        <w:t>We support the comprehensive list of information, but would recommend the following additional information be provided as part of the application process:</w:t>
      </w:r>
    </w:p>
    <w:p w14:paraId="576B3BBA" w14:textId="77777777" w:rsidR="00601B9D" w:rsidRDefault="00601B9D" w:rsidP="00601B9D">
      <w:pPr>
        <w:spacing w:after="0"/>
      </w:pPr>
    </w:p>
    <w:p w14:paraId="47DF2364"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detailed description of any relevant certifications or reports, such as AICPA, SOC, or IOSCO, along with:</w:t>
      </w:r>
    </w:p>
    <w:p w14:paraId="565D7E7B"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the name of the auditor or supplier</w:t>
      </w:r>
    </w:p>
    <w:p w14:paraId="5BCA15A4"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a detailed description of the certification or report</w:t>
      </w:r>
    </w:p>
    <w:p w14:paraId="72AD1010"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 xml:space="preserve">its significance to the CASP and its customers. </w:t>
      </w:r>
    </w:p>
    <w:p w14:paraId="744E2DB2"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Any related party or potential conflicts of interest within the management team or Board</w:t>
      </w:r>
    </w:p>
    <w:p w14:paraId="763BF77A"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detailed description of how investors’ funds will be treated in the event of a bankruptcy, including customer funds access and recovery process. Also, the CASP’s responsibilities for communication in the event of insolvency.</w:t>
      </w:r>
    </w:p>
    <w:p w14:paraId="75920039"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detailed description of the CASP’s approach to unexpected down-time of its systems, and the potential financial loss to its customers during that time.</w:t>
      </w:r>
    </w:p>
    <w:p w14:paraId="7D1F831D"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A detailed statement on whether customers’ funds either held or custodied will be supported by the licensed country’s financial markets support programmes, such as FDIC.</w:t>
      </w:r>
    </w:p>
    <w:p w14:paraId="3CF5EBD7"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detailed description of the CASP’s internal employee trading policies. </w:t>
      </w:r>
      <w:proofErr w:type="gramStart"/>
      <w:r>
        <w:rPr>
          <w:rFonts w:ascii="Arial" w:eastAsia="Arial" w:hAnsi="Arial" w:cs="Arial"/>
          <w:color w:val="181818"/>
          <w:szCs w:val="22"/>
        </w:rPr>
        <w:t>As well as,</w:t>
      </w:r>
      <w:proofErr w:type="gramEnd"/>
      <w:r>
        <w:rPr>
          <w:rFonts w:ascii="Arial" w:eastAsia="Arial" w:hAnsi="Arial" w:cs="Arial"/>
          <w:color w:val="181818"/>
          <w:szCs w:val="22"/>
        </w:rPr>
        <w:t xml:space="preserve"> the CASP’s own policies around it participating in trading on its own platform.</w:t>
      </w:r>
    </w:p>
    <w:p w14:paraId="41657E22"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detailed description of related parties and entities and any potential or perceived conflicts of interest therein. </w:t>
      </w:r>
    </w:p>
    <w:p w14:paraId="6DA4AED2" w14:textId="77777777" w:rsidR="00601B9D" w:rsidRDefault="00601B9D" w:rsidP="00601B9D">
      <w:pPr>
        <w:numPr>
          <w:ilvl w:val="0"/>
          <w:numId w:val="13"/>
        </w:numPr>
        <w:pBdr>
          <w:top w:val="nil"/>
          <w:left w:val="nil"/>
          <w:bottom w:val="nil"/>
          <w:right w:val="nil"/>
          <w:between w:val="nil"/>
        </w:pBdr>
        <w:spacing w:after="0"/>
      </w:pPr>
      <w:r>
        <w:rPr>
          <w:rFonts w:ascii="Arial" w:eastAsia="Arial" w:hAnsi="Arial" w:cs="Arial"/>
          <w:color w:val="181818"/>
          <w:szCs w:val="22"/>
        </w:rPr>
        <w:t xml:space="preserve">A detailed statement (provided separately for customer vs CASP holdings) that discloses the IFRS fair value levels or NAV, fair value amounts by level or NAV, and the exact methodology used per level or NAV - </w:t>
      </w:r>
      <w:proofErr w:type="gramStart"/>
      <w:r>
        <w:rPr>
          <w:rFonts w:ascii="Arial" w:eastAsia="Arial" w:hAnsi="Arial" w:cs="Arial"/>
          <w:color w:val="181818"/>
          <w:szCs w:val="22"/>
        </w:rPr>
        <w:t>eg</w:t>
      </w:r>
      <w:proofErr w:type="gramEnd"/>
      <w:r>
        <w:rPr>
          <w:rFonts w:ascii="Arial" w:eastAsia="Arial" w:hAnsi="Arial" w:cs="Arial"/>
          <w:color w:val="181818"/>
          <w:szCs w:val="22"/>
        </w:rPr>
        <w:t xml:space="preserve"> principal market, mark to model, etc.</w:t>
      </w:r>
    </w:p>
    <w:p w14:paraId="61D3B1A3" w14:textId="77777777" w:rsidR="00601B9D" w:rsidRDefault="00601B9D" w:rsidP="00601B9D">
      <w:pPr>
        <w:numPr>
          <w:ilvl w:val="1"/>
          <w:numId w:val="13"/>
        </w:numPr>
        <w:pBdr>
          <w:top w:val="nil"/>
          <w:left w:val="nil"/>
          <w:bottom w:val="nil"/>
          <w:right w:val="nil"/>
          <w:between w:val="nil"/>
        </w:pBdr>
        <w:spacing w:after="0"/>
      </w:pPr>
      <w:r>
        <w:rPr>
          <w:rFonts w:ascii="Arial" w:eastAsia="Arial" w:hAnsi="Arial" w:cs="Arial"/>
          <w:color w:val="181818"/>
          <w:szCs w:val="22"/>
        </w:rPr>
        <w:t>The internal methodology or 3</w:t>
      </w:r>
      <w:r>
        <w:rPr>
          <w:rFonts w:ascii="Arial" w:eastAsia="Arial" w:hAnsi="Arial" w:cs="Arial"/>
          <w:color w:val="181818"/>
          <w:szCs w:val="22"/>
          <w:vertAlign w:val="superscript"/>
        </w:rPr>
        <w:t>rd</w:t>
      </w:r>
      <w:r>
        <w:rPr>
          <w:rFonts w:ascii="Arial" w:eastAsia="Arial" w:hAnsi="Arial" w:cs="Arial"/>
          <w:color w:val="181818"/>
          <w:szCs w:val="22"/>
        </w:rPr>
        <w:t>-party pricing provider should be disclosed, along with the latter’s credentials, certifications, attestations, whether they align with AIMA’s Good Practices Guide, etc.</w:t>
      </w:r>
    </w:p>
    <w:p w14:paraId="1152A417" w14:textId="77777777" w:rsidR="00601B9D" w:rsidRDefault="00601B9D" w:rsidP="00601B9D">
      <w:pPr>
        <w:pBdr>
          <w:top w:val="nil"/>
          <w:left w:val="nil"/>
          <w:bottom w:val="nil"/>
          <w:right w:val="nil"/>
          <w:between w:val="nil"/>
        </w:pBdr>
        <w:spacing w:after="0"/>
      </w:pPr>
    </w:p>
    <w:p w14:paraId="2A6DD315" w14:textId="77777777" w:rsidR="00601B9D" w:rsidRDefault="00601B9D" w:rsidP="00601B9D">
      <w:pPr>
        <w:spacing w:after="0"/>
      </w:pPr>
      <w:r>
        <w:t xml:space="preserve">Lukka strongly believes in proper risk management within the crypto ecosystem, and we have built our business on the idea that clean, usable data provides more confidence in the market. These additional pieces of information are recommended based on our direct experience with an expansive variety of entities across many regulatory regimes. They also reflect, in our view, important data for assessing the quality of the entity and its ability to protect its customers - whether, for example, via its own financial health or via how its systems are functioning. Fair value information anchored to a high-quality reporting standard such as that in IFRS 13 allows regulators to best understand and assess any valuation amounts provided by CASPs. </w:t>
      </w:r>
    </w:p>
    <w:permEnd w:id="1467231046"/>
    <w:p w14:paraId="48E9A017" w14:textId="5247A678" w:rsidR="00053B66" w:rsidRDefault="00053B66" w:rsidP="00053B66">
      <w:pPr>
        <w:spacing w:after="0"/>
      </w:pPr>
      <w:r>
        <w:t>&lt;ESMA_QUESTION_MICA_0&gt;</w:t>
      </w:r>
    </w:p>
    <w:p w14:paraId="45AF696C" w14:textId="77777777" w:rsidR="00053B66" w:rsidRDefault="00053B66" w:rsidP="00053B66"/>
    <w:p w14:paraId="756C309E" w14:textId="77777777" w:rsidR="00053B66" w:rsidRPr="00232FE1" w:rsidRDefault="00053B66" w:rsidP="00053B66">
      <w:pPr>
        <w:pStyle w:val="Questionstyle"/>
        <w:ind w:hanging="426"/>
        <w:rPr>
          <w:lang w:val="en-US"/>
        </w:rPr>
      </w:pPr>
      <w:r w:rsidRPr="00232FE1">
        <w:rPr>
          <w:lang w:val="en-US"/>
        </w:rPr>
        <w:lastRenderedPageBreak/>
        <w:t xml:space="preserve">Q3:  </w:t>
      </w:r>
      <w:r w:rsidRPr="00232FE1">
        <w:rPr>
          <w:lang w:val="en-US"/>
        </w:rPr>
        <w:tab/>
        <w:t>Do you agree with ESMA’s proposals on standard forms, templates and procedures for the information to be included in the application for authorisation as a crypto-asset service provider? Please also state the reasons for your answer.</w:t>
      </w:r>
    </w:p>
    <w:p w14:paraId="52921C2D" w14:textId="77777777" w:rsidR="00053B66" w:rsidRDefault="00053B66" w:rsidP="00053B66">
      <w:pPr>
        <w:spacing w:after="0"/>
      </w:pPr>
      <w:r>
        <w:t>&lt;ESMA_QUESTION_MICA_0&gt;</w:t>
      </w:r>
    </w:p>
    <w:p w14:paraId="25561ECA" w14:textId="2E5F28E2" w:rsidR="00601B9D" w:rsidRDefault="00601B9D" w:rsidP="00601B9D">
      <w:pPr>
        <w:spacing w:after="0"/>
      </w:pPr>
      <w:permStart w:id="1984053842" w:edGrp="everyone"/>
      <w:r>
        <w:t>YES. However, we would recommend that there be adequate measures in place for the standard templates and forms to be updated in a timely manner should items arise that cannot be adequately presented in the standard templates. The use of open answer text boxes would be recommended to initially capture items not adequately addressed in the standard formats. However, those should be regularly assessed so that modifications to the standardised formats and requirements can be made in a timely manner.</w:t>
      </w:r>
    </w:p>
    <w:permEnd w:id="1984053842"/>
    <w:p w14:paraId="7314A0DD" w14:textId="73E7F5DC" w:rsidR="00053B66" w:rsidRDefault="00053B66" w:rsidP="00053B66">
      <w:pPr>
        <w:spacing w:after="0"/>
      </w:pPr>
      <w:r>
        <w:t>&lt;ESMA_QUESTION_MICA_0&gt;</w:t>
      </w:r>
    </w:p>
    <w:p w14:paraId="796C2BC1" w14:textId="77777777" w:rsidR="00053B66" w:rsidRDefault="00053B66" w:rsidP="00053B66"/>
    <w:p w14:paraId="45D7737D" w14:textId="77777777" w:rsidR="00053B66" w:rsidRDefault="00053B66" w:rsidP="00053B66">
      <w:pPr>
        <w:pStyle w:val="Questionstyle"/>
        <w:ind w:hanging="426"/>
        <w:rPr>
          <w:lang w:val="en-US"/>
        </w:rPr>
      </w:pPr>
      <w:r w:rsidRPr="00232FE1">
        <w:rPr>
          <w:lang w:val="en-US"/>
        </w:rPr>
        <w:t>Q4:</w:t>
      </w:r>
      <w:r w:rsidRPr="00232FE1">
        <w:rPr>
          <w:lang w:val="en-US"/>
        </w:rPr>
        <w:tab/>
        <w:t xml:space="preserve">Do you agree with ESMA’s proposals to specify the requirements, templates and </w:t>
      </w:r>
      <w:r w:rsidRPr="00232FE1">
        <w:rPr>
          <w:lang w:val="en-US"/>
        </w:rPr>
        <w:tab/>
        <w:t>procedures for the handling of client complaints by crypto-asset service providers? Please also state the reasons for your answer.</w:t>
      </w:r>
    </w:p>
    <w:p w14:paraId="75765D4C" w14:textId="77777777" w:rsidR="00053B66" w:rsidRDefault="00053B66" w:rsidP="00053B66">
      <w:pPr>
        <w:spacing w:after="0"/>
      </w:pPr>
      <w:r>
        <w:t>&lt;ESMA_QUESTION_MICA_0&gt;</w:t>
      </w:r>
    </w:p>
    <w:p w14:paraId="5C71CFE3" w14:textId="525995C4" w:rsidR="00601B9D" w:rsidRDefault="00601B9D" w:rsidP="00601B9D">
      <w:pPr>
        <w:spacing w:after="0"/>
      </w:pPr>
      <w:permStart w:id="1200903695" w:edGrp="everyone"/>
      <w:r>
        <w:t>YES. We would recommend that these be written in plain language, easily understood by a variety of types of inves</w:t>
      </w:r>
      <w:r>
        <w:t>tors and clients</w:t>
      </w:r>
      <w:r>
        <w:t>.</w:t>
      </w:r>
    </w:p>
    <w:permEnd w:id="1200903695"/>
    <w:p w14:paraId="0D780599" w14:textId="15410E9C" w:rsidR="00053B66" w:rsidRDefault="00053B66" w:rsidP="00053B66">
      <w:pPr>
        <w:spacing w:after="0"/>
      </w:pPr>
      <w:r>
        <w:t>&lt;ESMA_QUESTION_MICA_0&gt;</w:t>
      </w:r>
    </w:p>
    <w:p w14:paraId="507B6BB0" w14:textId="77777777" w:rsidR="00053B66" w:rsidRDefault="00053B66" w:rsidP="00053B66"/>
    <w:p w14:paraId="29DF261E" w14:textId="77777777" w:rsidR="00053B66" w:rsidRDefault="00053B66" w:rsidP="00053B66">
      <w:pPr>
        <w:pStyle w:val="Questionstyle"/>
        <w:ind w:hanging="426"/>
        <w:rPr>
          <w:lang w:val="en-US"/>
        </w:rPr>
      </w:pPr>
      <w:r w:rsidRPr="00232FE1">
        <w:rPr>
          <w:lang w:val="en-US"/>
        </w:rPr>
        <w:t xml:space="preserve">Q5: </w:t>
      </w:r>
      <w:r w:rsidRPr="00232FE1">
        <w:rPr>
          <w:lang w:val="en-US"/>
        </w:rPr>
        <w:tab/>
        <w:t>Do you think that it is useful to keep the possibility for clients of CASPs to file their complaints by post, in addition to electronic means?</w:t>
      </w:r>
    </w:p>
    <w:p w14:paraId="70C604F1" w14:textId="77777777" w:rsidR="00053B66" w:rsidRDefault="00053B66" w:rsidP="00053B66">
      <w:pPr>
        <w:spacing w:after="0"/>
      </w:pPr>
      <w:r>
        <w:t>&lt;ESMA_QUESTION_MICA_0&gt;</w:t>
      </w:r>
    </w:p>
    <w:p w14:paraId="2EA33818" w14:textId="2BA0BDDB" w:rsidR="00601B9D" w:rsidRDefault="00601B9D" w:rsidP="00601B9D">
      <w:pPr>
        <w:spacing w:after="0"/>
      </w:pPr>
      <w:permStart w:id="1017461311" w:edGrp="everyone"/>
      <w:r>
        <w:t>YES. As long as post is still a commonly-used or sometimes solely-used method of communication by some retail consumers</w:t>
      </w:r>
      <w:proofErr w:type="gramStart"/>
      <w:r>
        <w:t>, in particular, it</w:t>
      </w:r>
      <w:proofErr w:type="gramEnd"/>
      <w:r>
        <w:t xml:space="preserve"> would be important to ensure that avenue remains open.</w:t>
      </w:r>
    </w:p>
    <w:permEnd w:id="1017461311"/>
    <w:p w14:paraId="7DF8F3A7" w14:textId="46ABB56E" w:rsidR="00053B66" w:rsidRDefault="00053B66" w:rsidP="00053B66">
      <w:pPr>
        <w:spacing w:after="0"/>
      </w:pPr>
      <w:r>
        <w:t>&lt;ESMA_QUESTION_MICA_0&gt;</w:t>
      </w:r>
    </w:p>
    <w:p w14:paraId="52A839CA" w14:textId="77777777" w:rsidR="00053B66" w:rsidRDefault="00053B66" w:rsidP="00053B66"/>
    <w:p w14:paraId="1ABDD86C" w14:textId="77777777" w:rsidR="00053B66" w:rsidRDefault="00053B66" w:rsidP="00053B66">
      <w:pPr>
        <w:pStyle w:val="Questionstyle"/>
        <w:ind w:hanging="426"/>
        <w:rPr>
          <w:lang w:val="en-US"/>
        </w:rPr>
      </w:pPr>
      <w:r w:rsidRPr="00232FE1">
        <w:rPr>
          <w:lang w:val="en-US"/>
        </w:rPr>
        <w:t>Q6:</w:t>
      </w:r>
      <w:r w:rsidRPr="00232FE1">
        <w:rPr>
          <w:lang w:val="en-US"/>
        </w:rPr>
        <w:tab/>
        <w:t>Do you think that other types of specific circumstances, relationships or affiliations should be covered by Articles 1 and 2 of the draft RTS on the identification, prevention, management and disclosure of conflicts of interest by crypto-asset service providers?</w:t>
      </w:r>
    </w:p>
    <w:p w14:paraId="00245924" w14:textId="77777777" w:rsidR="00053B66" w:rsidRDefault="00053B66" w:rsidP="00053B66">
      <w:pPr>
        <w:spacing w:after="0"/>
      </w:pPr>
      <w:r>
        <w:t>&lt;ESMA_QUESTION_MICA_0&gt;</w:t>
      </w:r>
    </w:p>
    <w:p w14:paraId="6BD1B561" w14:textId="21B5FAA8" w:rsidR="00601B9D" w:rsidRDefault="00601B9D" w:rsidP="00601B9D">
      <w:pPr>
        <w:spacing w:after="0"/>
      </w:pPr>
      <w:permStart w:id="701847922" w:edGrp="everyone"/>
      <w:r>
        <w:t xml:space="preserve">YES. We believe that the requirements are robust and necessary. However, we recommend that the language be adjusted to ensure that conflicts present in situations where seemingly two different entities who share single or multiple board members, leadership, or high-level employees are fully disclosed. Additionally, any conflicts of interests involving two entities that share single or multiple board members, leadership, or high-level employees, must disclose any cross-trading or the loaning of funds from one side of the business to the other.  </w:t>
      </w:r>
    </w:p>
    <w:p w14:paraId="67283FB9" w14:textId="77777777" w:rsidR="00601B9D" w:rsidRDefault="00601B9D" w:rsidP="00601B9D">
      <w:pPr>
        <w:spacing w:after="0"/>
      </w:pPr>
    </w:p>
    <w:p w14:paraId="0E219538" w14:textId="77777777" w:rsidR="00601B9D" w:rsidRDefault="00601B9D" w:rsidP="00601B9D">
      <w:pPr>
        <w:spacing w:after="0"/>
      </w:pPr>
      <w:r>
        <w:lastRenderedPageBreak/>
        <w:t xml:space="preserve">Additionally, Lukka recommends that language concerning the employee trading practices be properly disclosed, including those surrounding the listing of new assets (or in situations like a fork or air-drop) on a platform be added to the disclosure requirements. </w:t>
      </w:r>
    </w:p>
    <w:permEnd w:id="701847922"/>
    <w:p w14:paraId="795B7411" w14:textId="3966463B" w:rsidR="00053B66" w:rsidRDefault="00053B66" w:rsidP="00053B66">
      <w:pPr>
        <w:spacing w:after="0"/>
      </w:pPr>
      <w:r>
        <w:t>&lt;ESMA_QUESTION_MICA_0&gt;</w:t>
      </w:r>
    </w:p>
    <w:p w14:paraId="4480AB44" w14:textId="77777777" w:rsidR="00053B66" w:rsidRDefault="00053B66" w:rsidP="00053B66"/>
    <w:p w14:paraId="17371BC2" w14:textId="77777777" w:rsidR="00053B66" w:rsidRDefault="00053B66" w:rsidP="00053B66">
      <w:pPr>
        <w:pStyle w:val="Questionstyle"/>
        <w:ind w:hanging="426"/>
        <w:rPr>
          <w:lang w:val="en-US"/>
        </w:rPr>
      </w:pPr>
      <w:r w:rsidRPr="00232FE1">
        <w:rPr>
          <w:lang w:val="en-US"/>
        </w:rPr>
        <w:t>Q7:</w:t>
      </w:r>
      <w:r w:rsidRPr="00232FE1">
        <w:rPr>
          <w:lang w:val="en-US"/>
        </w:rPr>
        <w:tab/>
        <w:t>Do you think that other types of specific prevention or mitigation measures should be highlighted in the minimum requirements of Article 3 of the draft RTS on the identification, prevention, management and disclosure of conflicts of interest by crypto-asset service providers?</w:t>
      </w:r>
    </w:p>
    <w:p w14:paraId="3830A2F7" w14:textId="77777777" w:rsidR="00053B66" w:rsidRDefault="00053B66" w:rsidP="00053B66">
      <w:pPr>
        <w:spacing w:after="0"/>
      </w:pPr>
      <w:r>
        <w:t>&lt;ESMA_QUESTION_MICA_0&gt;</w:t>
      </w:r>
    </w:p>
    <w:p w14:paraId="09EF74BC" w14:textId="34277F5A" w:rsidR="00601B9D" w:rsidRDefault="00601B9D" w:rsidP="00601B9D">
      <w:pPr>
        <w:spacing w:after="0"/>
      </w:pPr>
      <w:permStart w:id="1511019203" w:edGrp="everyone"/>
      <w:r>
        <w:t xml:space="preserve">YES. ESMA may wish to ensure that the disclosure requirements specific to related parties within IFRS guidance is fully considered here. It may be important to address materiality, as well as whether the Article, as worded, might permit a CASP to avoid disclosing conflicts because they appear immaterial by a solely bright line measurement, such as percent ownership. Again, anchoring to high-quality, well-respected reporting standards, such as IFRS standards can provide additional information to regulators, without creating additional burden to reporting entities or regulators. </w:t>
      </w:r>
    </w:p>
    <w:permEnd w:id="1511019203"/>
    <w:p w14:paraId="456CFE02" w14:textId="425E0293" w:rsidR="00053B66" w:rsidRDefault="00053B66" w:rsidP="00053B66">
      <w:pPr>
        <w:spacing w:after="0"/>
      </w:pPr>
      <w:r>
        <w:t>&lt;ESMA_QUESTION_MICA_0&gt;</w:t>
      </w:r>
    </w:p>
    <w:p w14:paraId="01595A4A" w14:textId="77777777" w:rsidR="00053B66" w:rsidRDefault="00053B66" w:rsidP="00053B66"/>
    <w:p w14:paraId="5BE967E7" w14:textId="77777777" w:rsidR="00053B66" w:rsidRDefault="00053B66" w:rsidP="00053B66">
      <w:pPr>
        <w:pStyle w:val="Questionstyle"/>
        <w:ind w:hanging="426"/>
        <w:rPr>
          <w:lang w:val="en-US"/>
        </w:rPr>
      </w:pPr>
      <w:r w:rsidRPr="00232FE1">
        <w:rPr>
          <w:lang w:val="en-US"/>
        </w:rPr>
        <w:t>Q8:</w:t>
      </w:r>
      <w:r w:rsidRPr="00232FE1">
        <w:rPr>
          <w:lang w:val="en-US"/>
        </w:rPr>
        <w:tab/>
        <w:t>Do you agree with the information request laid down in Article 1 and with the granularity envisaged for the information to be provided by proposed acquirers that are trusts, AIF or UCITS management companies or sovereign wealth funds?</w:t>
      </w:r>
    </w:p>
    <w:p w14:paraId="2443EA67" w14:textId="77777777" w:rsidR="00053B66" w:rsidRDefault="00053B66" w:rsidP="00053B66">
      <w:pPr>
        <w:spacing w:after="0"/>
      </w:pPr>
      <w:r>
        <w:t>&lt;ESMA_QUESTION_MICA_0&gt;</w:t>
      </w:r>
    </w:p>
    <w:p w14:paraId="5C843C6B" w14:textId="77777777" w:rsidR="00053B66" w:rsidRDefault="00053B66" w:rsidP="00053B66">
      <w:pPr>
        <w:spacing w:after="0"/>
      </w:pPr>
      <w:permStart w:id="970919143" w:edGrp="everyone"/>
      <w:r>
        <w:t>TYPE YOUR TEXT HERE</w:t>
      </w:r>
    </w:p>
    <w:permEnd w:id="970919143"/>
    <w:p w14:paraId="580ECE41" w14:textId="77777777" w:rsidR="00053B66" w:rsidRDefault="00053B66" w:rsidP="00053B66">
      <w:pPr>
        <w:spacing w:after="0"/>
      </w:pPr>
      <w:r>
        <w:t>&lt;ESMA_QUESTION_MICA_0&gt;</w:t>
      </w:r>
    </w:p>
    <w:p w14:paraId="4B0B7758" w14:textId="77777777" w:rsidR="00053B66" w:rsidRDefault="00053B66" w:rsidP="00053B66"/>
    <w:p w14:paraId="11EE3BBF" w14:textId="77777777" w:rsidR="00053B66" w:rsidRDefault="00053B66" w:rsidP="00053B66">
      <w:pPr>
        <w:pStyle w:val="Questionstyle"/>
        <w:ind w:hanging="426"/>
        <w:rPr>
          <w:lang w:val="en-US"/>
        </w:rPr>
      </w:pPr>
      <w:r w:rsidRPr="00232FE1">
        <w:rPr>
          <w:lang w:val="en-US"/>
        </w:rPr>
        <w:t>Q9: Do you agree with the proportionate approach to the request of information to be submitted by proposed indirect acquirers of qualifying holdings based on whether they are identified via the control or the multiplication criterion?</w:t>
      </w:r>
    </w:p>
    <w:p w14:paraId="7B76BA84" w14:textId="77777777" w:rsidR="00053B66" w:rsidRDefault="00053B66" w:rsidP="00053B66">
      <w:pPr>
        <w:spacing w:after="0"/>
      </w:pPr>
      <w:r>
        <w:t>&lt;ESMA_QUESTION_MICA_0&gt;</w:t>
      </w:r>
    </w:p>
    <w:p w14:paraId="14DE59A2" w14:textId="6F2B335A" w:rsidR="00053B66" w:rsidRDefault="00601B9D" w:rsidP="00053B66">
      <w:pPr>
        <w:spacing w:after="0"/>
      </w:pPr>
      <w:permStart w:id="505041785" w:edGrp="everyone"/>
      <w:r>
        <w:t>YES</w:t>
      </w:r>
    </w:p>
    <w:permEnd w:id="505041785"/>
    <w:p w14:paraId="3121631C" w14:textId="77777777" w:rsidR="00053B66" w:rsidRDefault="00053B66" w:rsidP="00053B66">
      <w:pPr>
        <w:spacing w:after="0"/>
      </w:pPr>
      <w:r>
        <w:t>&lt;ESMA_QUESTION_MICA_0&gt;</w:t>
      </w:r>
    </w:p>
    <w:p w14:paraId="68E3F90B" w14:textId="77777777" w:rsidR="00053B66" w:rsidRDefault="00053B66" w:rsidP="00053B66"/>
    <w:p w14:paraId="0CD60CF7" w14:textId="77777777" w:rsidR="00053B66" w:rsidRPr="00232FE1" w:rsidRDefault="00053B66" w:rsidP="00053B66">
      <w:pPr>
        <w:pStyle w:val="Questionstyle"/>
        <w:ind w:hanging="426"/>
        <w:rPr>
          <w:lang w:val="en-US"/>
        </w:rPr>
      </w:pPr>
      <w:r w:rsidRPr="00232FE1">
        <w:rPr>
          <w:lang w:val="en-US"/>
        </w:rPr>
        <w:t xml:space="preserve">Q10: </w:t>
      </w:r>
      <w:r w:rsidRPr="00232FE1">
        <w:rPr>
          <w:lang w:val="en-US"/>
        </w:rPr>
        <w:tab/>
        <w:t xml:space="preserve">Do you consider the list of information under Article 8 complete and comprehensive to assess the financing of the acquisition, in particular as regards funding originated in the crypto ecosystem? </w:t>
      </w:r>
    </w:p>
    <w:p w14:paraId="0ABC1DC6" w14:textId="77777777" w:rsidR="00053B66" w:rsidRDefault="00053B66" w:rsidP="00053B66">
      <w:pPr>
        <w:spacing w:after="0"/>
      </w:pPr>
      <w:r>
        <w:t>&lt;ESMA_QUESTION_MICA_0&gt;</w:t>
      </w:r>
    </w:p>
    <w:p w14:paraId="6DCEF7B0" w14:textId="35873B74" w:rsidR="00053B66" w:rsidRDefault="00601B9D" w:rsidP="00053B66">
      <w:pPr>
        <w:spacing w:after="0"/>
      </w:pPr>
      <w:permStart w:id="1604132244" w:edGrp="everyone"/>
      <w:r>
        <w:t>YES</w:t>
      </w:r>
    </w:p>
    <w:permEnd w:id="1604132244"/>
    <w:p w14:paraId="38011512" w14:textId="77777777" w:rsidR="00053B66" w:rsidRDefault="00053B66" w:rsidP="00053B66">
      <w:pPr>
        <w:spacing w:after="0"/>
      </w:pPr>
      <w:r>
        <w:lastRenderedPageBreak/>
        <w:t>&lt;ESMA_QUESTION_MICA_0&gt;</w:t>
      </w:r>
    </w:p>
    <w:p w14:paraId="1C923061" w14:textId="77777777" w:rsidR="00053B66" w:rsidRDefault="00053B66" w:rsidP="00053B66"/>
    <w:p w14:paraId="2F56AEBD" w14:textId="77777777" w:rsidR="00053B66" w:rsidRPr="00232FE1" w:rsidRDefault="00053B66" w:rsidP="00053B66">
      <w:pPr>
        <w:pStyle w:val="Questionstyle"/>
        <w:ind w:hanging="426"/>
        <w:rPr>
          <w:lang w:val="en-US"/>
        </w:rPr>
      </w:pPr>
      <w:r w:rsidRPr="00232FE1">
        <w:rPr>
          <w:lang w:val="en-US"/>
        </w:rPr>
        <w:t xml:space="preserve">Q11: </w:t>
      </w:r>
      <w:r w:rsidRPr="00232FE1">
        <w:rPr>
          <w:lang w:val="en-US"/>
        </w:rPr>
        <w:tab/>
        <w:t>Do you agree with the identified cases where reduced information requirements apply and with the related requirements and safeguards?</w:t>
      </w:r>
    </w:p>
    <w:p w14:paraId="2B7A56A9" w14:textId="77777777" w:rsidR="00053B66" w:rsidRDefault="00053B66" w:rsidP="00053B66">
      <w:pPr>
        <w:spacing w:after="0"/>
      </w:pPr>
      <w:r>
        <w:t>&lt;ESMA_QUESTION_MICA_0&gt;</w:t>
      </w:r>
    </w:p>
    <w:p w14:paraId="2C833A74" w14:textId="1905ED61" w:rsidR="00601B9D" w:rsidRDefault="00601B9D" w:rsidP="00601B9D">
      <w:pPr>
        <w:spacing w:after="0"/>
      </w:pPr>
      <w:permStart w:id="2039561759" w:edGrp="everyone"/>
      <w:r>
        <w:t>YES. The reduced information requirements are specific to situations where the appropriate authority already possesses some of the required information and therefore does not require the CASP to resubmit duplicative information in this context.</w:t>
      </w:r>
    </w:p>
    <w:permEnd w:id="2039561759"/>
    <w:p w14:paraId="41AF08A6" w14:textId="416634F4" w:rsidR="00053B66" w:rsidRDefault="00053B66" w:rsidP="00053B66">
      <w:pPr>
        <w:spacing w:after="0"/>
      </w:pPr>
      <w:r>
        <w:t>&lt;ESMA_QUESTION_MICA_0&gt;</w:t>
      </w:r>
    </w:p>
    <w:p w14:paraId="72EBA80F" w14:textId="77777777" w:rsidR="00053B66" w:rsidRDefault="00053B66" w:rsidP="00053B66"/>
    <w:p w14:paraId="559B4CE5" w14:textId="77777777" w:rsidR="00053B66" w:rsidRPr="00232FE1" w:rsidRDefault="00053B66" w:rsidP="00053B66">
      <w:pPr>
        <w:pStyle w:val="Questionstyle"/>
        <w:ind w:hanging="426"/>
        <w:rPr>
          <w:lang w:val="en-US"/>
        </w:rPr>
      </w:pPr>
      <w:r w:rsidRPr="00232FE1">
        <w:rPr>
          <w:lang w:val="en-US"/>
        </w:rPr>
        <w:t xml:space="preserve">Q12: </w:t>
      </w:r>
      <w:r w:rsidRPr="00232FE1">
        <w:rPr>
          <w:lang w:val="en-US"/>
        </w:rPr>
        <w:tab/>
        <w:t xml:space="preserve">In which EU jurisdiction(s) do you plan to be authorised to provide CASP services? In which EU jurisdiction(s) do you plan to provide CASP services under cross-border provision of crypto-asset services as specified in Article 65 of </w:t>
      </w:r>
      <w:r w:rsidRPr="00232FE1">
        <w:rPr>
          <w:lang w:val="en-US"/>
        </w:rPr>
        <w:tab/>
        <w:t>Regulation (EU) 2023/1114?</w:t>
      </w:r>
    </w:p>
    <w:p w14:paraId="41E1DA5D" w14:textId="77777777" w:rsidR="00053B66" w:rsidRDefault="00053B66" w:rsidP="00053B66">
      <w:pPr>
        <w:spacing w:after="0"/>
      </w:pPr>
      <w:r>
        <w:t>&lt;ESMA_QUESTION_MICA_0&gt;</w:t>
      </w:r>
    </w:p>
    <w:p w14:paraId="1082EE37" w14:textId="77777777" w:rsidR="00053B66" w:rsidRDefault="00053B66" w:rsidP="00053B66">
      <w:pPr>
        <w:spacing w:after="0"/>
      </w:pPr>
      <w:permStart w:id="383456857" w:edGrp="everyone"/>
      <w:r>
        <w:t>TYPE YOUR TEXT HERE</w:t>
      </w:r>
    </w:p>
    <w:permEnd w:id="383456857"/>
    <w:p w14:paraId="09F971F3" w14:textId="77777777" w:rsidR="00053B66" w:rsidRDefault="00053B66" w:rsidP="00053B66">
      <w:pPr>
        <w:spacing w:after="0"/>
      </w:pPr>
      <w:r>
        <w:t>&lt;ESMA_QUESTION_MICA_0&gt;</w:t>
      </w:r>
    </w:p>
    <w:p w14:paraId="41953312" w14:textId="77777777" w:rsidR="00053B66" w:rsidRDefault="00053B66" w:rsidP="00053B66"/>
    <w:p w14:paraId="13D5116F" w14:textId="77777777" w:rsidR="00053B66" w:rsidRPr="00232FE1" w:rsidRDefault="00053B66" w:rsidP="00053B66">
      <w:pPr>
        <w:pStyle w:val="Questionstyle"/>
        <w:rPr>
          <w:lang w:val="en-US"/>
        </w:rPr>
      </w:pPr>
      <w:r w:rsidRPr="00232FE1">
        <w:rPr>
          <w:lang w:val="en-US"/>
        </w:rPr>
        <w:t xml:space="preserve">Q13: </w:t>
      </w:r>
      <w:r w:rsidRPr="00232FE1">
        <w:rPr>
          <w:lang w:val="en-US"/>
        </w:rPr>
        <w:tab/>
        <w:t>What crypto asset services as listed in point 16 of Article 3(1) of Regulation (EU) 2023/1114 do you plan to offer (e.g. reception/transmission of orders; execution of orders on behalf of clients; operation of a trading platform etc.)? In addition, please provide some high-level explanation of the business model, including, what type of trading systems do you plan to use.</w:t>
      </w:r>
    </w:p>
    <w:p w14:paraId="700A8545" w14:textId="77777777" w:rsidR="00053B66" w:rsidRDefault="00053B66" w:rsidP="00053B66">
      <w:pPr>
        <w:spacing w:after="0"/>
      </w:pPr>
      <w:r>
        <w:t>&lt;ESMA_QUESTION_MICA_0&gt;</w:t>
      </w:r>
    </w:p>
    <w:p w14:paraId="5EA79FE0" w14:textId="77777777" w:rsidR="00053B66" w:rsidRDefault="00053B66" w:rsidP="00053B66">
      <w:pPr>
        <w:spacing w:after="0"/>
      </w:pPr>
      <w:permStart w:id="582572925" w:edGrp="everyone"/>
      <w:r>
        <w:t>TYPE YOUR TEXT HERE</w:t>
      </w:r>
    </w:p>
    <w:permEnd w:id="582572925"/>
    <w:p w14:paraId="5FAD3F4C" w14:textId="77777777" w:rsidR="00053B66" w:rsidRDefault="00053B66" w:rsidP="00053B66">
      <w:pPr>
        <w:spacing w:after="0"/>
      </w:pPr>
      <w:r>
        <w:t>&lt;ESMA_QUESTION_MICA_0&gt;</w:t>
      </w:r>
    </w:p>
    <w:p w14:paraId="1462282B" w14:textId="77777777" w:rsidR="00053B66" w:rsidRDefault="00053B66" w:rsidP="00053B66"/>
    <w:p w14:paraId="14ABC022" w14:textId="77777777" w:rsidR="00053B66" w:rsidRDefault="00053B66" w:rsidP="00053B66">
      <w:pPr>
        <w:pStyle w:val="Questionstyle"/>
        <w:rPr>
          <w:lang w:val="en-US"/>
        </w:rPr>
      </w:pPr>
      <w:r w:rsidRPr="00232FE1">
        <w:rPr>
          <w:lang w:val="en-US"/>
        </w:rPr>
        <w:t xml:space="preserve">Q14: </w:t>
      </w:r>
      <w:r w:rsidRPr="00232FE1">
        <w:rPr>
          <w:lang w:val="en-US"/>
        </w:rPr>
        <w:tab/>
        <w:t>If you are planning to operate a trading platform:</w:t>
      </w:r>
    </w:p>
    <w:p w14:paraId="1BF688E8" w14:textId="77777777" w:rsidR="00053B66" w:rsidRDefault="00053B66" w:rsidP="00053B66">
      <w:pPr>
        <w:spacing w:after="0"/>
      </w:pPr>
      <w:r>
        <w:t>&lt;ESMA_QUESTION_MICA_0&gt;</w:t>
      </w:r>
    </w:p>
    <w:p w14:paraId="5BEEFABB" w14:textId="77777777" w:rsidR="00053B66" w:rsidRDefault="00053B66" w:rsidP="00053B66">
      <w:pPr>
        <w:spacing w:after="0"/>
      </w:pPr>
      <w:permStart w:id="161616433" w:edGrp="everyone"/>
      <w:r>
        <w:t>TYPE YOUR TEXT HERE</w:t>
      </w:r>
    </w:p>
    <w:permEnd w:id="161616433"/>
    <w:p w14:paraId="7A15B896" w14:textId="77777777" w:rsidR="00053B66" w:rsidRDefault="00053B66" w:rsidP="00053B66">
      <w:pPr>
        <w:spacing w:after="0"/>
      </w:pPr>
      <w:r>
        <w:t>&lt;ESMA_QUESTION_MICA_0&gt;</w:t>
      </w:r>
    </w:p>
    <w:p w14:paraId="2E575ED6" w14:textId="77777777" w:rsidR="00053B66" w:rsidRDefault="00053B66" w:rsidP="00053B66"/>
    <w:p w14:paraId="68DDF375" w14:textId="77777777" w:rsidR="00053B66" w:rsidRPr="00232FE1" w:rsidRDefault="00053B66" w:rsidP="00053B66">
      <w:pPr>
        <w:pStyle w:val="Questionstyle"/>
        <w:rPr>
          <w:lang w:val="en-US"/>
        </w:rPr>
      </w:pPr>
      <w:r w:rsidRPr="00232FE1">
        <w:rPr>
          <w:lang w:val="en-US"/>
        </w:rPr>
        <w:t>(a)</w:t>
      </w:r>
      <w:r w:rsidRPr="00232FE1">
        <w:rPr>
          <w:lang w:val="en-US"/>
        </w:rPr>
        <w:tab/>
        <w:t>How many white papers do you estimate to publish on you platform?</w:t>
      </w:r>
    </w:p>
    <w:p w14:paraId="25D1C6CB" w14:textId="77777777" w:rsidR="00053B66" w:rsidRDefault="00053B66" w:rsidP="00053B66">
      <w:pPr>
        <w:spacing w:after="0"/>
      </w:pPr>
      <w:r>
        <w:t>&lt;ESMA_QUESTION_MICA_0&gt;</w:t>
      </w:r>
    </w:p>
    <w:p w14:paraId="7BC413D0" w14:textId="77777777" w:rsidR="00053B66" w:rsidRDefault="00053B66" w:rsidP="00053B66">
      <w:pPr>
        <w:spacing w:after="0"/>
      </w:pPr>
      <w:permStart w:id="2066971662" w:edGrp="everyone"/>
      <w:r>
        <w:t>TYPE YOUR TEXT HERE</w:t>
      </w:r>
    </w:p>
    <w:permEnd w:id="2066971662"/>
    <w:p w14:paraId="2C390A00" w14:textId="77777777" w:rsidR="00053B66" w:rsidRDefault="00053B66" w:rsidP="00053B66">
      <w:pPr>
        <w:spacing w:after="0"/>
      </w:pPr>
      <w:r>
        <w:t>&lt;ESMA_QUESTION_MICA_0&gt;</w:t>
      </w:r>
    </w:p>
    <w:p w14:paraId="23416A28" w14:textId="77777777" w:rsidR="00053B66" w:rsidRDefault="00053B66" w:rsidP="00053B66"/>
    <w:p w14:paraId="1F92574D" w14:textId="77777777" w:rsidR="00053B66" w:rsidRPr="00232FE1" w:rsidRDefault="00053B66" w:rsidP="00053B66">
      <w:pPr>
        <w:pStyle w:val="Questionstyle"/>
        <w:rPr>
          <w:lang w:val="en-US"/>
        </w:rPr>
      </w:pPr>
      <w:r w:rsidRPr="00232FE1">
        <w:rPr>
          <w:lang w:val="en-US"/>
        </w:rPr>
        <w:lastRenderedPageBreak/>
        <w:t>(b)</w:t>
      </w:r>
      <w:r w:rsidRPr="00232FE1">
        <w:rPr>
          <w:lang w:val="en-US"/>
        </w:rPr>
        <w:tab/>
        <w:t>What turnover, in terms of crypto-assets trading volume, do you expect to</w:t>
      </w:r>
      <w:r>
        <w:rPr>
          <w:lang w:val="en-US"/>
        </w:rPr>
        <w:t xml:space="preserve"> </w:t>
      </w:r>
      <w:r w:rsidRPr="00232FE1">
        <w:rPr>
          <w:lang w:val="en-US"/>
        </w:rPr>
        <w:t>attract on your platform according to your business forecasts for the upcoming years?</w:t>
      </w:r>
    </w:p>
    <w:p w14:paraId="4C2BE57C" w14:textId="77777777" w:rsidR="00053B66" w:rsidRDefault="00053B66" w:rsidP="00053B66">
      <w:pPr>
        <w:spacing w:after="0"/>
      </w:pPr>
      <w:r>
        <w:t>&lt;ESMA_QUESTION_MICA_0&gt;</w:t>
      </w:r>
    </w:p>
    <w:p w14:paraId="4B0FAEF2" w14:textId="77777777" w:rsidR="00053B66" w:rsidRDefault="00053B66" w:rsidP="00053B66">
      <w:pPr>
        <w:spacing w:after="0"/>
      </w:pPr>
      <w:permStart w:id="1998288486" w:edGrp="everyone"/>
      <w:r>
        <w:t>TYPE YOUR TEXT HERE</w:t>
      </w:r>
    </w:p>
    <w:permEnd w:id="1998288486"/>
    <w:p w14:paraId="33B75F25" w14:textId="77777777" w:rsidR="00053B66" w:rsidRDefault="00053B66" w:rsidP="00053B66">
      <w:pPr>
        <w:spacing w:after="0"/>
      </w:pPr>
      <w:r>
        <w:t>&lt;ESMA_QUESTION_MICA_0&gt;</w:t>
      </w:r>
    </w:p>
    <w:p w14:paraId="1CC9D121" w14:textId="77777777" w:rsidR="00053B66" w:rsidRDefault="00053B66" w:rsidP="00053B66"/>
    <w:p w14:paraId="0568ABCB" w14:textId="77777777" w:rsidR="00053B66" w:rsidRDefault="00053B66" w:rsidP="00053B66">
      <w:pPr>
        <w:pStyle w:val="Questionstyle"/>
        <w:rPr>
          <w:lang w:val="en-US"/>
        </w:rPr>
      </w:pPr>
      <w:r w:rsidRPr="00232FE1">
        <w:rPr>
          <w:lang w:val="en-US"/>
        </w:rPr>
        <w:t>(c)</w:t>
      </w:r>
      <w:r w:rsidRPr="00232FE1">
        <w:rPr>
          <w:lang w:val="en-US"/>
        </w:rPr>
        <w:tab/>
        <w:t>Do you plan to undertake transactions on the basis of an on-chain ledger or an off-chain one?</w:t>
      </w:r>
    </w:p>
    <w:p w14:paraId="1B934531" w14:textId="77777777" w:rsidR="00053B66" w:rsidRDefault="00053B66" w:rsidP="00053B66">
      <w:pPr>
        <w:spacing w:after="0"/>
      </w:pPr>
      <w:r>
        <w:t>&lt;ESMA_QUESTION_MICA_0&gt;</w:t>
      </w:r>
    </w:p>
    <w:p w14:paraId="6B4A5C9B" w14:textId="15162207" w:rsidR="002F6AC4" w:rsidRDefault="002F6AC4" w:rsidP="002F6AC4">
      <w:pPr>
        <w:spacing w:after="0"/>
        <w:jc w:val="left"/>
      </w:pPr>
      <w:permStart w:id="801857389" w:edGrp="everyone"/>
      <w:r>
        <w:rPr>
          <w:color w:val="000000"/>
        </w:rPr>
        <w:t>As previously mentioned, Lukka does not operate as a CASP, nor do we execute trades or place orders on behalf of our customers. However, we are a data focused company that bridges the gap between on- and off-chain activity; therefore, we wanted to provide ESMA with what we believe are best practices when it comes to linking on-chain and off-chain transaction data.</w:t>
      </w:r>
    </w:p>
    <w:permEnd w:id="801857389"/>
    <w:p w14:paraId="4A7BF476" w14:textId="1ECFA9F6" w:rsidR="00053B66" w:rsidRDefault="00053B66" w:rsidP="00053B66">
      <w:pPr>
        <w:spacing w:after="0"/>
      </w:pPr>
      <w:r>
        <w:t>&lt;ESMA_QUESTION_MICA_0&gt;</w:t>
      </w:r>
    </w:p>
    <w:p w14:paraId="105E1DB9" w14:textId="77777777" w:rsidR="00053B66" w:rsidRDefault="00053B66" w:rsidP="00053B66"/>
    <w:p w14:paraId="05A7074B" w14:textId="77777777" w:rsidR="00053B66" w:rsidRDefault="00053B66" w:rsidP="00053B66">
      <w:pPr>
        <w:pStyle w:val="Questionstyle"/>
        <w:rPr>
          <w:lang w:val="en-US"/>
        </w:rPr>
      </w:pPr>
      <w:r>
        <w:rPr>
          <w:lang w:val="en-US"/>
        </w:rPr>
        <w:tab/>
      </w:r>
      <w:r w:rsidRPr="00232FE1">
        <w:rPr>
          <w:lang w:val="en-US"/>
        </w:rPr>
        <w:t>i.</w:t>
      </w:r>
      <w:r>
        <w:rPr>
          <w:lang w:val="en-US"/>
        </w:rPr>
        <w:t xml:space="preserve"> </w:t>
      </w:r>
      <w:r w:rsidRPr="00232FE1">
        <w:rPr>
          <w:lang w:val="en-US"/>
        </w:rPr>
        <w:t>In case of the former, which type of DLT are you planning to use (e.g. Ethereum, Corda, Stellar etc.)? Do you plan to store transaction data on-chain or off-chain or a mix of the two?</w:t>
      </w:r>
    </w:p>
    <w:p w14:paraId="73CF8DDA" w14:textId="77777777" w:rsidR="00053B66" w:rsidRDefault="00053B66" w:rsidP="00053B66">
      <w:pPr>
        <w:spacing w:after="0"/>
      </w:pPr>
      <w:r>
        <w:t>&lt;ESMA_QUESTION_MICA_0&gt;</w:t>
      </w:r>
    </w:p>
    <w:p w14:paraId="7C81DA94" w14:textId="77777777" w:rsidR="00053B66" w:rsidRDefault="00053B66" w:rsidP="00053B66">
      <w:pPr>
        <w:spacing w:after="0"/>
      </w:pPr>
      <w:permStart w:id="836922226" w:edGrp="everyone"/>
      <w:r>
        <w:t>TYPE YOUR TEXT HERE</w:t>
      </w:r>
    </w:p>
    <w:permEnd w:id="836922226"/>
    <w:p w14:paraId="1CAB5FAC" w14:textId="77777777" w:rsidR="00053B66" w:rsidRDefault="00053B66" w:rsidP="00053B66">
      <w:pPr>
        <w:spacing w:after="0"/>
      </w:pPr>
      <w:r>
        <w:t>&lt;ESMA_QUESTION_MICA_0&gt;</w:t>
      </w:r>
    </w:p>
    <w:p w14:paraId="7581FF5B" w14:textId="77777777" w:rsidR="00053B66" w:rsidRDefault="00053B66" w:rsidP="00053B66"/>
    <w:p w14:paraId="172E36E7" w14:textId="77777777" w:rsidR="00053B66" w:rsidRPr="00232FE1" w:rsidRDefault="00053B66" w:rsidP="00053B66">
      <w:pPr>
        <w:pStyle w:val="Questionstyle"/>
        <w:rPr>
          <w:lang w:val="en-US"/>
        </w:rPr>
      </w:pPr>
      <w:r>
        <w:rPr>
          <w:lang w:val="en-US"/>
        </w:rPr>
        <w:tab/>
      </w:r>
      <w:r w:rsidRPr="00232FE1">
        <w:rPr>
          <w:lang w:val="en-US"/>
        </w:rPr>
        <w:t>ii.</w:t>
      </w:r>
      <w:r>
        <w:rPr>
          <w:lang w:val="en-US"/>
        </w:rPr>
        <w:t xml:space="preserve"> </w:t>
      </w:r>
      <w:r w:rsidRPr="00232FE1">
        <w:rPr>
          <w:lang w:val="en-US"/>
        </w:rPr>
        <w:t>If the latter, how would you link on-chain and off-chain transaction data?</w:t>
      </w:r>
    </w:p>
    <w:p w14:paraId="62FD04AC" w14:textId="77777777" w:rsidR="00053B66" w:rsidRDefault="00053B66" w:rsidP="00053B66">
      <w:pPr>
        <w:spacing w:after="0"/>
      </w:pPr>
      <w:r>
        <w:t>&lt;ESMA_QUESTION_MICA_0&gt;</w:t>
      </w:r>
    </w:p>
    <w:p w14:paraId="4A495FAD" w14:textId="7AECCC6E" w:rsidR="002F6AC4" w:rsidRDefault="002F6AC4" w:rsidP="002F6AC4">
      <w:pPr>
        <w:spacing w:after="0"/>
        <w:jc w:val="left"/>
        <w:rPr>
          <w:color w:val="000000"/>
        </w:rPr>
      </w:pPr>
      <w:permStart w:id="1093928768" w:edGrp="everyone"/>
      <w:r>
        <w:rPr>
          <w:color w:val="000000"/>
        </w:rPr>
        <w:t xml:space="preserve">When dealing with linking on-chain and off-chain transactions as a CASP that is operating a trading platform or executing transactions on behalf of a client, it is best to ensure there is clear linkage of accounts and account ownership between the different environments. </w:t>
      </w:r>
    </w:p>
    <w:p w14:paraId="7BE846FC" w14:textId="77777777" w:rsidR="002F6AC4" w:rsidRDefault="002F6AC4" w:rsidP="002F6AC4">
      <w:pPr>
        <w:spacing w:after="0"/>
        <w:ind w:firstLine="720"/>
        <w:jc w:val="left"/>
        <w:rPr>
          <w:color w:val="000000"/>
        </w:rPr>
      </w:pPr>
    </w:p>
    <w:p w14:paraId="18F83B45" w14:textId="77777777" w:rsidR="002F6AC4" w:rsidRDefault="002F6AC4" w:rsidP="002F6AC4">
      <w:pPr>
        <w:spacing w:after="0"/>
        <w:jc w:val="left"/>
        <w:rPr>
          <w:color w:val="000000"/>
        </w:rPr>
      </w:pPr>
      <w:r>
        <w:rPr>
          <w:color w:val="000000"/>
        </w:rPr>
        <w:t xml:space="preserve">On-chain transactions will be recorded on a public blockchain, with one account of the transaction being linked to the CASP. Off-chain transactions often occur when there is a centralised order book or OTC type platform where a user of one CASP linked account can interact with another user that has an account on the same CASP platform, and thus transactions may not be validated on chain - they would settle within the operating system of the CASP. The CASP linked account should serve as the bridge to link the two on-chain and off-chain environments and proper KYC/KYB procedures should be in place to ensure the CASP linked account </w:t>
      </w:r>
      <w:proofErr w:type="gramStart"/>
      <w:r>
        <w:rPr>
          <w:color w:val="000000"/>
        </w:rPr>
        <w:t>is in compliance with</w:t>
      </w:r>
      <w:proofErr w:type="gramEnd"/>
      <w:r>
        <w:rPr>
          <w:color w:val="000000"/>
        </w:rPr>
        <w:t xml:space="preserve"> the appropriate regulations. </w:t>
      </w:r>
    </w:p>
    <w:p w14:paraId="06067400" w14:textId="77777777" w:rsidR="002F6AC4" w:rsidRDefault="002F6AC4" w:rsidP="002F6AC4">
      <w:pPr>
        <w:spacing w:after="0"/>
        <w:ind w:firstLine="720"/>
        <w:jc w:val="left"/>
        <w:rPr>
          <w:color w:val="000000"/>
        </w:rPr>
      </w:pPr>
    </w:p>
    <w:p w14:paraId="409CE4BD" w14:textId="77777777" w:rsidR="002F6AC4" w:rsidRDefault="002F6AC4" w:rsidP="002F6AC4">
      <w:pPr>
        <w:spacing w:after="0"/>
        <w:jc w:val="left"/>
        <w:rPr>
          <w:color w:val="000000"/>
        </w:rPr>
      </w:pPr>
      <w:r>
        <w:rPr>
          <w:color w:val="000000"/>
        </w:rPr>
        <w:lastRenderedPageBreak/>
        <w:t>In the context of on-chain transactions, one side of the transaction is pseudo anonymous - whether it be deposits from an external on-chain address to a CASP linked account, or withdrawals from a CASP linked account to an external blockchain address. It is important for CASPs to maintain records regarding what external public addresses (that have not undergone KYC/KYB activities) are linked to the CASP account where the user information is known. This creates a more seamless customer experience but also can be valuable data in the case of an investigation. Additionally, the on-chain accounts where the CASP does not have certainty of the end user’s identity should be frequently screened for known regulatory violations or suspicious activity (OFAC sanctions, links to wallets that have received funds from hacks, links to “mixers” / other transaction shielding services, etc). Standard operating and escalation procedures should be in place in the scenario where a linked account is flagged as suspicious or violating local regulations.</w:t>
      </w:r>
    </w:p>
    <w:p w14:paraId="5DFFFE1A" w14:textId="77777777" w:rsidR="002F6AC4" w:rsidRDefault="002F6AC4" w:rsidP="002F6AC4">
      <w:pPr>
        <w:spacing w:after="0"/>
        <w:ind w:firstLine="720"/>
        <w:jc w:val="left"/>
        <w:rPr>
          <w:color w:val="000000"/>
        </w:rPr>
      </w:pPr>
    </w:p>
    <w:p w14:paraId="40C4044F" w14:textId="77777777" w:rsidR="002F6AC4" w:rsidRDefault="002F6AC4" w:rsidP="002F6AC4">
      <w:pPr>
        <w:spacing w:after="0"/>
        <w:jc w:val="left"/>
        <w:rPr>
          <w:color w:val="000000"/>
        </w:rPr>
      </w:pPr>
      <w:r>
        <w:rPr>
          <w:color w:val="000000"/>
        </w:rPr>
        <w:t xml:space="preserve">In the context of off-chain transactions, CASPs should ensure proper operating procedures are in place for segregation of accounts, segregation of funds, and clear books of record which show all transactions linked to a specific account on the CASP platform. Furthermore, the internal books of record should be audited by a </w:t>
      </w:r>
      <w:proofErr w:type="gramStart"/>
      <w:r>
        <w:rPr>
          <w:color w:val="000000"/>
        </w:rPr>
        <w:t>third party</w:t>
      </w:r>
      <w:proofErr w:type="gramEnd"/>
      <w:r>
        <w:rPr>
          <w:color w:val="000000"/>
        </w:rPr>
        <w:t xml:space="preserve"> service provider on a periodic basis to ensure accounts can be reconciled. This audit should include inflows and outflows of funds to pseudo anonymous on-chain addresses to ensure all funds into and out of the CASP provider can be reconciled. </w:t>
      </w:r>
    </w:p>
    <w:p w14:paraId="3AE634E0" w14:textId="77777777" w:rsidR="002F6AC4" w:rsidRDefault="002F6AC4" w:rsidP="002F6AC4">
      <w:pPr>
        <w:spacing w:after="0"/>
        <w:ind w:firstLine="720"/>
        <w:jc w:val="left"/>
        <w:rPr>
          <w:color w:val="000000"/>
        </w:rPr>
      </w:pPr>
    </w:p>
    <w:p w14:paraId="2C87379D" w14:textId="77777777" w:rsidR="002F6AC4" w:rsidRDefault="002F6AC4" w:rsidP="002F6AC4">
      <w:pPr>
        <w:spacing w:after="0"/>
        <w:jc w:val="left"/>
      </w:pPr>
      <w:r>
        <w:rPr>
          <w:color w:val="000000"/>
        </w:rPr>
        <w:t>By having the linkage between the CASP account and external addresses recorded with periodic reviews of suspicious activity on the external accounts, in addition to strong segregation of accounts and operating procedures within the off-chain CASP environment, CASP’s can have greater confidence in their ability to know the activity of their users and their flow of funds.</w:t>
      </w:r>
    </w:p>
    <w:p w14:paraId="1FA922A3" w14:textId="5A6D4B63" w:rsidR="00053B66" w:rsidRDefault="00053B66" w:rsidP="00053B66">
      <w:pPr>
        <w:spacing w:after="0"/>
      </w:pPr>
    </w:p>
    <w:permEnd w:id="1093928768"/>
    <w:p w14:paraId="36A28D20" w14:textId="77777777" w:rsidR="00053B66" w:rsidRDefault="00053B66" w:rsidP="00053B66">
      <w:pPr>
        <w:spacing w:after="0"/>
      </w:pPr>
      <w:r>
        <w:t>&lt;ESMA_QUESTION_MICA_0&gt;</w:t>
      </w:r>
    </w:p>
    <w:p w14:paraId="150CCA29" w14:textId="77777777" w:rsidR="00053B66" w:rsidRDefault="00053B66" w:rsidP="00053B66"/>
    <w:p w14:paraId="26B44FF4" w14:textId="77777777" w:rsidR="00053B66" w:rsidRDefault="00053B66" w:rsidP="00053B66">
      <w:pPr>
        <w:pStyle w:val="Questionstyle"/>
        <w:rPr>
          <w:lang w:val="en-US"/>
        </w:rPr>
      </w:pPr>
      <w:r w:rsidRPr="00232FE1">
        <w:rPr>
          <w:lang w:val="en-US"/>
        </w:rPr>
        <w:t xml:space="preserve">Q15: </w:t>
      </w:r>
      <w:r w:rsidRPr="00232FE1">
        <w:rPr>
          <w:lang w:val="en-US"/>
        </w:rPr>
        <w:tab/>
        <w:t>If you are planning to execute/place orders on behalf of clients:</w:t>
      </w:r>
    </w:p>
    <w:p w14:paraId="6E6BFAEF" w14:textId="77777777" w:rsidR="00053B66" w:rsidRDefault="00053B66" w:rsidP="00053B66">
      <w:pPr>
        <w:spacing w:after="0"/>
      </w:pPr>
      <w:r>
        <w:t>&lt;ESMA_QUESTION_MICA_0&gt;</w:t>
      </w:r>
    </w:p>
    <w:p w14:paraId="3F86A4FA" w14:textId="77777777" w:rsidR="00053B66" w:rsidRDefault="00053B66" w:rsidP="00053B66">
      <w:pPr>
        <w:spacing w:after="0"/>
      </w:pPr>
      <w:permStart w:id="62880092" w:edGrp="everyone"/>
      <w:r>
        <w:t>TYPE YOUR TEXT HERE</w:t>
      </w:r>
    </w:p>
    <w:permEnd w:id="62880092"/>
    <w:p w14:paraId="2B73D1EE" w14:textId="77777777" w:rsidR="00053B66" w:rsidRDefault="00053B66" w:rsidP="00053B66">
      <w:pPr>
        <w:spacing w:after="0"/>
      </w:pPr>
      <w:r>
        <w:t>&lt;ESMA_QUESTION_MICA_0&gt;</w:t>
      </w:r>
    </w:p>
    <w:p w14:paraId="15495967" w14:textId="77777777" w:rsidR="00053B66" w:rsidRDefault="00053B66" w:rsidP="00053B66"/>
    <w:p w14:paraId="39F771E6" w14:textId="77777777" w:rsidR="00053B66" w:rsidRDefault="00053B66" w:rsidP="00053B66">
      <w:pPr>
        <w:pStyle w:val="Questionstyle"/>
        <w:rPr>
          <w:lang w:val="en-US"/>
        </w:rPr>
      </w:pPr>
      <w:r w:rsidRPr="00232FE1">
        <w:rPr>
          <w:lang w:val="en-US"/>
        </w:rPr>
        <w:t>(a)</w:t>
      </w:r>
      <w:r w:rsidRPr="00232FE1">
        <w:rPr>
          <w:lang w:val="en-US"/>
        </w:rPr>
        <w:tab/>
        <w:t>How many white papers do you estimate to offer to your clients for execution/order placement?</w:t>
      </w:r>
    </w:p>
    <w:p w14:paraId="64D96835" w14:textId="77777777" w:rsidR="00053B66" w:rsidRDefault="00053B66" w:rsidP="00053B66">
      <w:pPr>
        <w:spacing w:after="0"/>
      </w:pPr>
      <w:r>
        <w:t>&lt;ESMA_QUESTION_MICA_0&gt;</w:t>
      </w:r>
    </w:p>
    <w:p w14:paraId="037FA96D" w14:textId="77777777" w:rsidR="00053B66" w:rsidRDefault="00053B66" w:rsidP="00053B66">
      <w:pPr>
        <w:spacing w:after="0"/>
      </w:pPr>
      <w:permStart w:id="92292884" w:edGrp="everyone"/>
      <w:r>
        <w:t>TYPE YOUR TEXT HERE</w:t>
      </w:r>
    </w:p>
    <w:permEnd w:id="92292884"/>
    <w:p w14:paraId="53936ADA" w14:textId="77777777" w:rsidR="00053B66" w:rsidRDefault="00053B66" w:rsidP="00053B66">
      <w:pPr>
        <w:spacing w:after="0"/>
      </w:pPr>
      <w:r>
        <w:t>&lt;ESMA_QUESTION_MICA_0&gt;</w:t>
      </w:r>
    </w:p>
    <w:p w14:paraId="59770622" w14:textId="77777777" w:rsidR="00053B66" w:rsidRDefault="00053B66" w:rsidP="00053B66"/>
    <w:p w14:paraId="4633377E" w14:textId="77777777" w:rsidR="00053B66" w:rsidRDefault="00053B66" w:rsidP="00053B66">
      <w:pPr>
        <w:pStyle w:val="Questionstyle"/>
        <w:rPr>
          <w:lang w:val="en-US"/>
        </w:rPr>
      </w:pPr>
      <w:r w:rsidRPr="00232FE1">
        <w:rPr>
          <w:lang w:val="en-US"/>
        </w:rPr>
        <w:lastRenderedPageBreak/>
        <w:t>(b)</w:t>
      </w:r>
      <w:r w:rsidRPr="00232FE1">
        <w:rPr>
          <w:lang w:val="en-US"/>
        </w:rPr>
        <w:tab/>
        <w:t>What is the expected turnover (i.e. revenues) according to your business forecasts for the upcoming years?</w:t>
      </w:r>
    </w:p>
    <w:p w14:paraId="35E4C141" w14:textId="77777777" w:rsidR="00053B66" w:rsidRDefault="00053B66" w:rsidP="00053B66">
      <w:pPr>
        <w:spacing w:after="0"/>
      </w:pPr>
      <w:r>
        <w:t>&lt;ESMA_QUESTION_MICA_0&gt;</w:t>
      </w:r>
    </w:p>
    <w:p w14:paraId="23D6A458" w14:textId="77777777" w:rsidR="00053B66" w:rsidRDefault="00053B66" w:rsidP="00053B66">
      <w:pPr>
        <w:spacing w:after="0"/>
      </w:pPr>
      <w:permStart w:id="1208879879" w:edGrp="everyone"/>
      <w:r>
        <w:t>TYPE YOUR TEXT HERE</w:t>
      </w:r>
    </w:p>
    <w:permEnd w:id="1208879879"/>
    <w:p w14:paraId="7C6B939D" w14:textId="77777777" w:rsidR="00053B66" w:rsidRDefault="00053B66" w:rsidP="00053B66">
      <w:pPr>
        <w:spacing w:after="0"/>
      </w:pPr>
      <w:r>
        <w:t>&lt;ESMA_QUESTION_MICA_0&gt;</w:t>
      </w:r>
    </w:p>
    <w:p w14:paraId="460AF176" w14:textId="77777777" w:rsidR="00053B66" w:rsidRDefault="00053B66" w:rsidP="00053B66"/>
    <w:p w14:paraId="2CDE066C" w14:textId="77777777" w:rsidR="00053B66" w:rsidRPr="00232FE1" w:rsidRDefault="00053B66" w:rsidP="00053B66">
      <w:pPr>
        <w:pStyle w:val="Questionstyle"/>
        <w:rPr>
          <w:lang w:val="en-US"/>
        </w:rPr>
      </w:pPr>
      <w:r w:rsidRPr="00232FE1">
        <w:rPr>
          <w:lang w:val="en-US"/>
        </w:rPr>
        <w:t>(c)</w:t>
      </w:r>
      <w:r w:rsidRPr="00232FE1">
        <w:rPr>
          <w:lang w:val="en-US"/>
        </w:rPr>
        <w:tab/>
        <w:t xml:space="preserve">Do you plan to undertake transactions on the basis of an on-chain ledger </w:t>
      </w:r>
      <w:r w:rsidRPr="00232FE1">
        <w:rPr>
          <w:lang w:val="en-US"/>
        </w:rPr>
        <w:tab/>
      </w:r>
      <w:r w:rsidRPr="00232FE1">
        <w:rPr>
          <w:lang w:val="en-US"/>
        </w:rPr>
        <w:tab/>
        <w:t>or an off-chain one?</w:t>
      </w:r>
    </w:p>
    <w:p w14:paraId="5CA92CCF" w14:textId="77777777" w:rsidR="00053B66" w:rsidRDefault="00053B66" w:rsidP="00053B66">
      <w:pPr>
        <w:spacing w:after="0"/>
      </w:pPr>
      <w:r>
        <w:t>&lt;ESMA_QUESTION_MICA_0&gt;</w:t>
      </w:r>
    </w:p>
    <w:p w14:paraId="6128D74A" w14:textId="77777777" w:rsidR="00053B66" w:rsidRDefault="00053B66" w:rsidP="00053B66">
      <w:pPr>
        <w:spacing w:after="0"/>
      </w:pPr>
      <w:permStart w:id="1270486936" w:edGrp="everyone"/>
      <w:r>
        <w:t>TYPE YOUR TEXT HERE</w:t>
      </w:r>
    </w:p>
    <w:permEnd w:id="1270486936"/>
    <w:p w14:paraId="76D826C5" w14:textId="77777777" w:rsidR="00053B66" w:rsidRDefault="00053B66" w:rsidP="00053B66">
      <w:pPr>
        <w:spacing w:after="0"/>
      </w:pPr>
      <w:r>
        <w:t>&lt;ESMA_QUESTION_MICA_0&gt;</w:t>
      </w:r>
    </w:p>
    <w:p w14:paraId="5D543B31" w14:textId="77777777" w:rsidR="00053B66" w:rsidRDefault="00053B66" w:rsidP="00053B66"/>
    <w:p w14:paraId="036FA8BC" w14:textId="77777777" w:rsidR="00053B66" w:rsidRDefault="00053B66" w:rsidP="00053B66">
      <w:pPr>
        <w:pStyle w:val="Questionstyle"/>
        <w:rPr>
          <w:lang w:val="en-US"/>
        </w:rPr>
      </w:pPr>
      <w:r>
        <w:rPr>
          <w:lang w:val="en-US"/>
        </w:rPr>
        <w:tab/>
      </w:r>
      <w:r w:rsidRPr="00232FE1">
        <w:rPr>
          <w:lang w:val="en-US"/>
        </w:rPr>
        <w:t>i.</w:t>
      </w:r>
      <w:r>
        <w:rPr>
          <w:lang w:val="en-US"/>
        </w:rPr>
        <w:t xml:space="preserve"> </w:t>
      </w:r>
      <w:r w:rsidRPr="00232FE1">
        <w:rPr>
          <w:lang w:val="en-US"/>
        </w:rPr>
        <w:t>In case of the former, is transaction data stored on-chain or off</w:t>
      </w:r>
      <w:r>
        <w:rPr>
          <w:lang w:val="en-US"/>
        </w:rPr>
        <w:t>-</w:t>
      </w:r>
      <w:r w:rsidRPr="00232FE1">
        <w:rPr>
          <w:lang w:val="en-US"/>
        </w:rPr>
        <w:t>chain or a mixed of the two?</w:t>
      </w:r>
    </w:p>
    <w:p w14:paraId="6DA8F748" w14:textId="77777777" w:rsidR="00053B66" w:rsidRDefault="00053B66" w:rsidP="00053B66">
      <w:pPr>
        <w:spacing w:after="0"/>
      </w:pPr>
      <w:r>
        <w:t>&lt;ESMA_QUESTION_MICA_0&gt;</w:t>
      </w:r>
    </w:p>
    <w:p w14:paraId="06236DD6" w14:textId="77777777" w:rsidR="00053B66" w:rsidRDefault="00053B66" w:rsidP="00053B66">
      <w:pPr>
        <w:spacing w:after="0"/>
      </w:pPr>
      <w:permStart w:id="1095572356" w:edGrp="everyone"/>
      <w:r>
        <w:t>TYPE YOUR TEXT HERE</w:t>
      </w:r>
    </w:p>
    <w:permEnd w:id="1095572356"/>
    <w:p w14:paraId="183954C8" w14:textId="77777777" w:rsidR="00053B66" w:rsidRDefault="00053B66" w:rsidP="00053B66">
      <w:pPr>
        <w:spacing w:after="0"/>
      </w:pPr>
      <w:r>
        <w:t>&lt;ESMA_QUESTION_MICA_0&gt;</w:t>
      </w:r>
    </w:p>
    <w:p w14:paraId="6A762C4F" w14:textId="77777777" w:rsidR="00053B66" w:rsidRDefault="00053B66" w:rsidP="00053B66"/>
    <w:p w14:paraId="528EC09E" w14:textId="77777777" w:rsidR="00053B66" w:rsidRPr="00232FE1" w:rsidRDefault="00053B66" w:rsidP="00053B66">
      <w:pPr>
        <w:pStyle w:val="Questionstyle"/>
        <w:rPr>
          <w:lang w:val="en-US"/>
        </w:rPr>
      </w:pPr>
      <w:r>
        <w:rPr>
          <w:lang w:val="en-US"/>
        </w:rPr>
        <w:tab/>
        <w:t xml:space="preserve">ii: </w:t>
      </w:r>
      <w:r w:rsidRPr="00232FE1">
        <w:rPr>
          <w:lang w:val="en-US"/>
        </w:rPr>
        <w:t>If the latter, how do you link on-chain and off-chain transaction data?</w:t>
      </w:r>
    </w:p>
    <w:p w14:paraId="49805925" w14:textId="77777777" w:rsidR="00053B66" w:rsidRDefault="00053B66" w:rsidP="00053B66">
      <w:pPr>
        <w:spacing w:after="0"/>
      </w:pPr>
      <w:r>
        <w:t>&lt;ESMA_QUESTION_MICA_0&gt;</w:t>
      </w:r>
    </w:p>
    <w:p w14:paraId="5BE8C1EC" w14:textId="77777777" w:rsidR="00053B66" w:rsidRDefault="00053B66" w:rsidP="00053B66">
      <w:pPr>
        <w:spacing w:after="0"/>
      </w:pPr>
      <w:permStart w:id="763120942" w:edGrp="everyone"/>
      <w:r>
        <w:t>TYPE YOUR TEXT HERE</w:t>
      </w:r>
    </w:p>
    <w:permEnd w:id="763120942"/>
    <w:p w14:paraId="0B6460A4" w14:textId="77777777" w:rsidR="00053B66" w:rsidRDefault="00053B66" w:rsidP="00053B66">
      <w:pPr>
        <w:spacing w:after="0"/>
      </w:pPr>
      <w:r>
        <w:t>&lt;ESMA_QUESTION_MICA_0&gt;</w:t>
      </w:r>
    </w:p>
    <w:p w14:paraId="24DC2841" w14:textId="77777777" w:rsidR="00053B66" w:rsidRDefault="00053B66" w:rsidP="00053B66"/>
    <w:p w14:paraId="2D0113B1" w14:textId="77777777" w:rsidR="00053B66" w:rsidRPr="00232FE1" w:rsidRDefault="00053B66" w:rsidP="00053B66">
      <w:pPr>
        <w:pStyle w:val="Questionstyle"/>
        <w:rPr>
          <w:lang w:val="en-US"/>
        </w:rPr>
      </w:pPr>
      <w:r w:rsidRPr="00232FE1">
        <w:rPr>
          <w:lang w:val="en-US"/>
        </w:rPr>
        <w:t>Q16:</w:t>
      </w:r>
      <w:r w:rsidRPr="00232FE1">
        <w:rPr>
          <w:lang w:val="en-US"/>
        </w:rPr>
        <w:tab/>
        <w:t>If you are planning to receive and transmit orders:</w:t>
      </w:r>
    </w:p>
    <w:p w14:paraId="1D5D2B1E" w14:textId="77777777" w:rsidR="00053B66" w:rsidRDefault="00053B66" w:rsidP="00053B66">
      <w:pPr>
        <w:spacing w:after="0"/>
      </w:pPr>
      <w:r>
        <w:t>&lt;ESMA_QUESTION_MICA_0&gt;</w:t>
      </w:r>
    </w:p>
    <w:p w14:paraId="1A4BF21F" w14:textId="77777777" w:rsidR="00053B66" w:rsidRDefault="00053B66" w:rsidP="00053B66">
      <w:pPr>
        <w:spacing w:after="0"/>
      </w:pPr>
      <w:permStart w:id="906512199" w:edGrp="everyone"/>
      <w:r>
        <w:t>TYPE YOUR TEXT HERE</w:t>
      </w:r>
    </w:p>
    <w:permEnd w:id="906512199"/>
    <w:p w14:paraId="6E944907" w14:textId="77777777" w:rsidR="00053B66" w:rsidRDefault="00053B66" w:rsidP="00053B66">
      <w:pPr>
        <w:spacing w:after="0"/>
      </w:pPr>
      <w:r>
        <w:t>&lt;ESMA_QUESTION_MICA_0&gt;</w:t>
      </w:r>
    </w:p>
    <w:p w14:paraId="49C29378" w14:textId="77777777" w:rsidR="00053B66" w:rsidRDefault="00053B66" w:rsidP="00053B66"/>
    <w:p w14:paraId="48A03B3C" w14:textId="77777777" w:rsidR="00053B66" w:rsidRDefault="00053B66" w:rsidP="00053B66">
      <w:pPr>
        <w:pStyle w:val="Questionstyle"/>
        <w:rPr>
          <w:lang w:val="en-US"/>
        </w:rPr>
      </w:pPr>
      <w:r w:rsidRPr="00232FE1">
        <w:rPr>
          <w:lang w:val="en-US"/>
        </w:rPr>
        <w:t>(a)</w:t>
      </w:r>
      <w:r w:rsidRPr="00232FE1">
        <w:rPr>
          <w:lang w:val="en-US"/>
        </w:rPr>
        <w:tab/>
        <w:t>How many white papers do you estimate to offer to your clients for order transmission?</w:t>
      </w:r>
    </w:p>
    <w:p w14:paraId="460D4211" w14:textId="77777777" w:rsidR="00053B66" w:rsidRDefault="00053B66" w:rsidP="00053B66">
      <w:pPr>
        <w:spacing w:after="0"/>
      </w:pPr>
      <w:r>
        <w:t>&lt;ESMA_QUESTION_MICA_0&gt;</w:t>
      </w:r>
    </w:p>
    <w:p w14:paraId="05AC54C8" w14:textId="77777777" w:rsidR="00053B66" w:rsidRDefault="00053B66" w:rsidP="00053B66">
      <w:pPr>
        <w:spacing w:after="0"/>
      </w:pPr>
      <w:permStart w:id="398799201" w:edGrp="everyone"/>
      <w:r>
        <w:t>TYPE YOUR TEXT HERE</w:t>
      </w:r>
    </w:p>
    <w:permEnd w:id="398799201"/>
    <w:p w14:paraId="3F3D1E86" w14:textId="77777777" w:rsidR="00053B66" w:rsidRDefault="00053B66" w:rsidP="00053B66">
      <w:pPr>
        <w:spacing w:after="0"/>
      </w:pPr>
      <w:r>
        <w:t>&lt;ESMA_QUESTION_MICA_0&gt;</w:t>
      </w:r>
    </w:p>
    <w:p w14:paraId="26C8D86B" w14:textId="77777777" w:rsidR="00053B66" w:rsidRDefault="00053B66" w:rsidP="00053B66"/>
    <w:p w14:paraId="02233D44" w14:textId="77777777" w:rsidR="00053B66" w:rsidRDefault="00053B66" w:rsidP="00053B66">
      <w:pPr>
        <w:pStyle w:val="Questionstyle"/>
        <w:rPr>
          <w:lang w:val="en-US"/>
        </w:rPr>
      </w:pPr>
      <w:r w:rsidRPr="00232FE1">
        <w:rPr>
          <w:lang w:val="en-US"/>
        </w:rPr>
        <w:t>(b)</w:t>
      </w:r>
      <w:r w:rsidRPr="00232FE1">
        <w:rPr>
          <w:lang w:val="en-US"/>
        </w:rPr>
        <w:tab/>
        <w:t>What is the expected turnover (i.e. revenues) according to your business</w:t>
      </w:r>
      <w:r>
        <w:rPr>
          <w:lang w:val="en-US"/>
        </w:rPr>
        <w:t xml:space="preserve"> </w:t>
      </w:r>
      <w:r w:rsidRPr="00232FE1">
        <w:rPr>
          <w:lang w:val="en-US"/>
        </w:rPr>
        <w:t>forecasts for the upcoming years?</w:t>
      </w:r>
    </w:p>
    <w:p w14:paraId="1CF21C9E" w14:textId="77777777" w:rsidR="00053B66" w:rsidRDefault="00053B66" w:rsidP="00053B66">
      <w:pPr>
        <w:spacing w:after="0"/>
      </w:pPr>
      <w:r>
        <w:lastRenderedPageBreak/>
        <w:t>&lt;ESMA_QUESTION_MICA_0&gt;</w:t>
      </w:r>
    </w:p>
    <w:p w14:paraId="0F4094BF" w14:textId="77777777" w:rsidR="00053B66" w:rsidRDefault="00053B66" w:rsidP="00053B66">
      <w:pPr>
        <w:spacing w:after="0"/>
      </w:pPr>
      <w:permStart w:id="1067196549" w:edGrp="everyone"/>
      <w:r>
        <w:t>TYPE YOUR TEXT HERE</w:t>
      </w:r>
    </w:p>
    <w:permEnd w:id="1067196549"/>
    <w:p w14:paraId="3B972879" w14:textId="77777777" w:rsidR="00053B66" w:rsidRDefault="00053B66" w:rsidP="00053B66">
      <w:pPr>
        <w:spacing w:after="0"/>
      </w:pPr>
      <w:r>
        <w:t>&lt;ESMA_QUESTION_MICA_0&gt;</w:t>
      </w:r>
    </w:p>
    <w:p w14:paraId="30F86F91" w14:textId="77777777" w:rsidR="00053B66" w:rsidRDefault="00053B66" w:rsidP="00053B66"/>
    <w:p w14:paraId="45DCDDB3" w14:textId="77777777" w:rsidR="00053B66" w:rsidRDefault="00053B66" w:rsidP="00053B66">
      <w:pPr>
        <w:pStyle w:val="Questionstyle"/>
        <w:rPr>
          <w:lang w:val="en-US"/>
        </w:rPr>
      </w:pPr>
      <w:r w:rsidRPr="00232FE1">
        <w:rPr>
          <w:lang w:val="en-US"/>
        </w:rPr>
        <w:t>(c)</w:t>
      </w:r>
      <w:r w:rsidRPr="00232FE1">
        <w:rPr>
          <w:lang w:val="en-US"/>
        </w:rPr>
        <w:tab/>
        <w:t>Which are the main platforms/brokers you are intending to transmit orders to?</w:t>
      </w:r>
    </w:p>
    <w:p w14:paraId="4531F591" w14:textId="77777777" w:rsidR="00053B66" w:rsidRDefault="00053B66" w:rsidP="00053B66">
      <w:pPr>
        <w:spacing w:after="0"/>
      </w:pPr>
      <w:r>
        <w:t>&lt;ESMA_QUESTION_MICA_0&gt;</w:t>
      </w:r>
    </w:p>
    <w:p w14:paraId="28A697D7" w14:textId="77777777" w:rsidR="00053B66" w:rsidRDefault="00053B66" w:rsidP="00053B66">
      <w:pPr>
        <w:spacing w:after="0"/>
      </w:pPr>
      <w:permStart w:id="1159725143" w:edGrp="everyone"/>
      <w:r>
        <w:t>TYPE YOUR TEXT HERE</w:t>
      </w:r>
    </w:p>
    <w:permEnd w:id="1159725143"/>
    <w:p w14:paraId="1A1BD69E" w14:textId="77777777" w:rsidR="00053B66" w:rsidRDefault="00053B66" w:rsidP="00053B66">
      <w:pPr>
        <w:spacing w:after="0"/>
      </w:pPr>
      <w:r>
        <w:t>&lt;ESMA_QUESTION_MICA_0&gt;</w:t>
      </w:r>
    </w:p>
    <w:p w14:paraId="39053820" w14:textId="77777777" w:rsidR="00053B66" w:rsidRDefault="00053B66" w:rsidP="00053B66"/>
    <w:p w14:paraId="1846FD77" w14:textId="77777777" w:rsidR="00053B66" w:rsidRDefault="00053B66" w:rsidP="00053B66">
      <w:pPr>
        <w:pStyle w:val="Questionstyle"/>
        <w:rPr>
          <w:lang w:val="en-US"/>
        </w:rPr>
      </w:pPr>
      <w:r w:rsidRPr="00232FE1">
        <w:rPr>
          <w:lang w:val="en-US"/>
        </w:rPr>
        <w:t>(d)</w:t>
      </w:r>
      <w:r w:rsidRPr="00232FE1">
        <w:rPr>
          <w:lang w:val="en-US"/>
        </w:rPr>
        <w:tab/>
        <w:t>In which jurisdictions are these platforms/brokers based?</w:t>
      </w:r>
    </w:p>
    <w:p w14:paraId="76768FE6" w14:textId="77777777" w:rsidR="00053B66" w:rsidRDefault="00053B66" w:rsidP="00053B66">
      <w:pPr>
        <w:spacing w:after="0"/>
      </w:pPr>
      <w:r>
        <w:t>&lt;ESMA_QUESTION_MICA_0&gt;</w:t>
      </w:r>
    </w:p>
    <w:p w14:paraId="3D7B6A4F" w14:textId="77777777" w:rsidR="00053B66" w:rsidRDefault="00053B66" w:rsidP="00053B66">
      <w:pPr>
        <w:spacing w:after="0"/>
      </w:pPr>
      <w:permStart w:id="1159099184" w:edGrp="everyone"/>
      <w:r>
        <w:t>TYPE YOUR TEXT HERE</w:t>
      </w:r>
    </w:p>
    <w:permEnd w:id="1159099184"/>
    <w:p w14:paraId="42AA2700" w14:textId="77777777" w:rsidR="00053B66" w:rsidRDefault="00053B66" w:rsidP="00053B66">
      <w:pPr>
        <w:spacing w:after="0"/>
      </w:pPr>
      <w:r>
        <w:t>&lt;ESMA_QUESTION_MICA_0&gt;</w:t>
      </w:r>
    </w:p>
    <w:p w14:paraId="14A6FDB9" w14:textId="77777777" w:rsidR="00053B66" w:rsidRDefault="00053B66" w:rsidP="00053B66"/>
    <w:p w14:paraId="65606A10" w14:textId="77777777" w:rsidR="00053B66" w:rsidRPr="00AD7424" w:rsidRDefault="00053B66" w:rsidP="00053B66">
      <w:pPr>
        <w:pStyle w:val="Questionstyle"/>
        <w:rPr>
          <w:lang w:val="en-US"/>
        </w:rPr>
      </w:pPr>
      <w:r w:rsidRPr="00232FE1">
        <w:rPr>
          <w:lang w:val="en-US"/>
        </w:rPr>
        <w:t>(e)</w:t>
      </w:r>
      <w:r w:rsidRPr="00232FE1">
        <w:rPr>
          <w:lang w:val="en-US"/>
        </w:rPr>
        <w:tab/>
        <w:t>How do you plan to keep track of the transmitted orders?</w:t>
      </w:r>
    </w:p>
    <w:p w14:paraId="3ED1C912" w14:textId="77777777" w:rsidR="00053B66" w:rsidRDefault="00053B66" w:rsidP="00053B66">
      <w:pPr>
        <w:spacing w:after="0"/>
      </w:pPr>
      <w:r>
        <w:t>&lt;ESMA_QUESTION_MICA_0&gt;</w:t>
      </w:r>
    </w:p>
    <w:p w14:paraId="111B888A" w14:textId="77777777" w:rsidR="00053B66" w:rsidRDefault="00053B66" w:rsidP="00053B66">
      <w:pPr>
        <w:spacing w:after="0"/>
      </w:pPr>
      <w:permStart w:id="745569399" w:edGrp="everyone"/>
      <w:r>
        <w:t>TYPE YOUR TEXT HERE</w:t>
      </w:r>
    </w:p>
    <w:permEnd w:id="745569399"/>
    <w:p w14:paraId="6851D72B" w14:textId="77777777" w:rsidR="00053B66" w:rsidRDefault="00053B66" w:rsidP="00053B66">
      <w:pPr>
        <w:spacing w:after="0"/>
      </w:pPr>
      <w:r>
        <w:t>&lt;ESMA_QUESTION_MICA_0&gt;</w:t>
      </w:r>
    </w:p>
    <w:p w14:paraId="533C5253" w14:textId="77777777" w:rsidR="00557BD2" w:rsidRPr="000C0CE0" w:rsidRDefault="00557BD2" w:rsidP="00B15C0B">
      <w:pPr>
        <w:rPr>
          <w:lang w:val="fr-BE"/>
        </w:rPr>
      </w:pPr>
    </w:p>
    <w:sectPr w:rsidR="00557BD2" w:rsidRPr="000C0CE0" w:rsidSect="009E2971">
      <w:type w:val="continuous"/>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A451" w14:textId="77777777" w:rsidR="00F0038C" w:rsidRDefault="00F0038C" w:rsidP="007E7997">
      <w:pPr>
        <w:spacing w:line="240" w:lineRule="auto"/>
      </w:pPr>
      <w:r>
        <w:separator/>
      </w:r>
    </w:p>
  </w:endnote>
  <w:endnote w:type="continuationSeparator" w:id="0">
    <w:p w14:paraId="5066D9F6" w14:textId="77777777" w:rsidR="00F0038C" w:rsidRDefault="00F0038C" w:rsidP="007E7997">
      <w:pPr>
        <w:spacing w:line="240" w:lineRule="auto"/>
      </w:pPr>
      <w:r>
        <w:continuationSeparator/>
      </w:r>
    </w:p>
  </w:endnote>
  <w:endnote w:type="continuationNotice" w:id="1">
    <w:p w14:paraId="56D895AB" w14:textId="77777777" w:rsidR="00F0038C" w:rsidRDefault="00F00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B8E0" w14:textId="77777777" w:rsidR="00F0038C" w:rsidRDefault="00F0038C" w:rsidP="007E7997">
      <w:pPr>
        <w:spacing w:line="240" w:lineRule="auto"/>
      </w:pPr>
      <w:r>
        <w:separator/>
      </w:r>
    </w:p>
  </w:footnote>
  <w:footnote w:type="continuationSeparator" w:id="0">
    <w:p w14:paraId="5C14202F" w14:textId="77777777" w:rsidR="00F0038C" w:rsidRDefault="00F0038C" w:rsidP="007E7997">
      <w:pPr>
        <w:spacing w:line="240" w:lineRule="auto"/>
      </w:pPr>
      <w:r>
        <w:continuationSeparator/>
      </w:r>
    </w:p>
  </w:footnote>
  <w:footnote w:type="continuationNotice" w:id="1">
    <w:p w14:paraId="703B2DCF" w14:textId="77777777" w:rsidR="00F0038C" w:rsidRDefault="00F00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A01B683"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1"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57BD2">
      <w:t>12 July</w:t>
    </w:r>
    <w:r w:rsidRPr="008858FE">
      <w:t xml:space="preserve"> </w:t>
    </w:r>
    <w:r w:rsidR="00557BD2">
      <w:t>2023</w:t>
    </w:r>
  </w:p>
  <w:p w14:paraId="2AC4487A" w14:textId="1723ECB1" w:rsidR="00D77369" w:rsidRPr="00D77369" w:rsidRDefault="00374D79" w:rsidP="00D77369">
    <w:pPr>
      <w:pStyle w:val="Header"/>
    </w:pPr>
    <w:r w:rsidRPr="00374D79">
      <w:t>ESMA74-449133380-434</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2"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3"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7" name="Picture 1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07229907" w14:textId="72859089" w:rsidR="00AD0B10" w:rsidRPr="0043139E" w:rsidRDefault="00AD0B10" w:rsidP="00AD0B10">
    <w:pPr>
      <w:pStyle w:val="Header"/>
    </w:pPr>
    <w:r w:rsidRPr="0043139E">
      <w:rPr>
        <w:rStyle w:val="ESMARegularuse"/>
        <w:bCs w:val="0"/>
        <w:caps w:val="0"/>
        <w:noProof/>
        <w:color w:val="001B4F" w:themeColor="text1" w:themeShade="80"/>
        <w:sz w:val="16"/>
      </w:rPr>
      <w:drawing>
        <wp:anchor distT="0" distB="0" distL="114300" distR="114300" simplePos="0" relativeHeight="25166029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806DE5"/>
    <w:multiLevelType w:val="multilevel"/>
    <w:tmpl w:val="5790C220"/>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40663CB"/>
    <w:multiLevelType w:val="hybridMultilevel"/>
    <w:tmpl w:val="B3F40CA6"/>
    <w:lvl w:ilvl="0" w:tplc="ACB06F0C">
      <w:start w:val="1"/>
      <w:numFmt w:val="bullet"/>
      <w:pStyle w:val="ListParagraph"/>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9A21ABF"/>
    <w:multiLevelType w:val="multilevel"/>
    <w:tmpl w:val="AFBAF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93464995">
    <w:abstractNumId w:val="3"/>
  </w:num>
  <w:num w:numId="2" w16cid:durableId="1222054594">
    <w:abstractNumId w:val="3"/>
  </w:num>
  <w:num w:numId="3" w16cid:durableId="2071421525">
    <w:abstractNumId w:val="10"/>
  </w:num>
  <w:num w:numId="4" w16cid:durableId="270287514">
    <w:abstractNumId w:val="4"/>
  </w:num>
  <w:num w:numId="5" w16cid:durableId="1824855989">
    <w:abstractNumId w:val="9"/>
  </w:num>
  <w:num w:numId="6" w16cid:durableId="1651521833">
    <w:abstractNumId w:val="6"/>
  </w:num>
  <w:num w:numId="7" w16cid:durableId="650520466">
    <w:abstractNumId w:val="0"/>
  </w:num>
  <w:num w:numId="8" w16cid:durableId="1913006406">
    <w:abstractNumId w:val="5"/>
  </w:num>
  <w:num w:numId="9" w16cid:durableId="1653871588">
    <w:abstractNumId w:val="2"/>
  </w:num>
  <w:num w:numId="10" w16cid:durableId="67121918">
    <w:abstractNumId w:val="1"/>
  </w:num>
  <w:num w:numId="11" w16cid:durableId="1675497260">
    <w:abstractNumId w:val="8"/>
  </w:num>
  <w:num w:numId="12" w16cid:durableId="1146706333">
    <w:abstractNumId w:val="3"/>
  </w:num>
  <w:num w:numId="13" w16cid:durableId="1584717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Yr3WI77iCOLfiOuThphB+Kmjk8cIaoA9590o8h9lcOPa3ICKV69U9LLyR9LAvPwQ/5CwhwUyVEfgUy/xANJw==" w:salt="tBpOLdpm3Jvs51NVxpOQ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1F"/>
    <w:rsid w:val="00012D68"/>
    <w:rsid w:val="00013CA1"/>
    <w:rsid w:val="00015167"/>
    <w:rsid w:val="00020300"/>
    <w:rsid w:val="00021485"/>
    <w:rsid w:val="00025A7F"/>
    <w:rsid w:val="000372BF"/>
    <w:rsid w:val="0004374E"/>
    <w:rsid w:val="00044C5A"/>
    <w:rsid w:val="00045BA9"/>
    <w:rsid w:val="000504AC"/>
    <w:rsid w:val="00053B66"/>
    <w:rsid w:val="00054C9F"/>
    <w:rsid w:val="00087D2D"/>
    <w:rsid w:val="000A7CF6"/>
    <w:rsid w:val="000B5D3D"/>
    <w:rsid w:val="000C0CE0"/>
    <w:rsid w:val="000C1E78"/>
    <w:rsid w:val="000C7EDE"/>
    <w:rsid w:val="000D1038"/>
    <w:rsid w:val="000D1E53"/>
    <w:rsid w:val="000E7879"/>
    <w:rsid w:val="00100177"/>
    <w:rsid w:val="00110E98"/>
    <w:rsid w:val="00115648"/>
    <w:rsid w:val="00130EF9"/>
    <w:rsid w:val="00144AAD"/>
    <w:rsid w:val="00157895"/>
    <w:rsid w:val="0016369E"/>
    <w:rsid w:val="00170D8A"/>
    <w:rsid w:val="001752CF"/>
    <w:rsid w:val="0018540C"/>
    <w:rsid w:val="00194440"/>
    <w:rsid w:val="00197FF5"/>
    <w:rsid w:val="001B2151"/>
    <w:rsid w:val="001B4996"/>
    <w:rsid w:val="001B73E7"/>
    <w:rsid w:val="001C69A8"/>
    <w:rsid w:val="001D7492"/>
    <w:rsid w:val="001E0367"/>
    <w:rsid w:val="001F6DD6"/>
    <w:rsid w:val="001F7E7D"/>
    <w:rsid w:val="00205C40"/>
    <w:rsid w:val="0020622B"/>
    <w:rsid w:val="0021101C"/>
    <w:rsid w:val="00213569"/>
    <w:rsid w:val="00233DDB"/>
    <w:rsid w:val="0024051F"/>
    <w:rsid w:val="00245056"/>
    <w:rsid w:val="002533FC"/>
    <w:rsid w:val="002537CE"/>
    <w:rsid w:val="002574D1"/>
    <w:rsid w:val="00263AFF"/>
    <w:rsid w:val="0026459D"/>
    <w:rsid w:val="00287547"/>
    <w:rsid w:val="002A0C3C"/>
    <w:rsid w:val="002B59F0"/>
    <w:rsid w:val="002D557C"/>
    <w:rsid w:val="002E1C11"/>
    <w:rsid w:val="002E4311"/>
    <w:rsid w:val="002E7268"/>
    <w:rsid w:val="002F6AC4"/>
    <w:rsid w:val="00305D1F"/>
    <w:rsid w:val="00314117"/>
    <w:rsid w:val="00317DF8"/>
    <w:rsid w:val="00317EDF"/>
    <w:rsid w:val="00323BFD"/>
    <w:rsid w:val="003279E7"/>
    <w:rsid w:val="0033324D"/>
    <w:rsid w:val="003454ED"/>
    <w:rsid w:val="00347121"/>
    <w:rsid w:val="00366D42"/>
    <w:rsid w:val="0037245E"/>
    <w:rsid w:val="00374D79"/>
    <w:rsid w:val="003C4EB5"/>
    <w:rsid w:val="003D61FE"/>
    <w:rsid w:val="003E2667"/>
    <w:rsid w:val="003F0BBC"/>
    <w:rsid w:val="003F39B1"/>
    <w:rsid w:val="003F4AFE"/>
    <w:rsid w:val="00405453"/>
    <w:rsid w:val="00415D98"/>
    <w:rsid w:val="00424573"/>
    <w:rsid w:val="004302ED"/>
    <w:rsid w:val="0043139E"/>
    <w:rsid w:val="00435FE9"/>
    <w:rsid w:val="00445696"/>
    <w:rsid w:val="00454259"/>
    <w:rsid w:val="00463479"/>
    <w:rsid w:val="0048000F"/>
    <w:rsid w:val="004D7F13"/>
    <w:rsid w:val="004E5FF8"/>
    <w:rsid w:val="00501C1C"/>
    <w:rsid w:val="00501EF4"/>
    <w:rsid w:val="00516CBA"/>
    <w:rsid w:val="005264C5"/>
    <w:rsid w:val="00526E5D"/>
    <w:rsid w:val="00527C09"/>
    <w:rsid w:val="00557BD2"/>
    <w:rsid w:val="00563C1F"/>
    <w:rsid w:val="005647ED"/>
    <w:rsid w:val="00565193"/>
    <w:rsid w:val="00572A06"/>
    <w:rsid w:val="0057524C"/>
    <w:rsid w:val="005A07B6"/>
    <w:rsid w:val="005A7EDB"/>
    <w:rsid w:val="005B3BA8"/>
    <w:rsid w:val="005B6B12"/>
    <w:rsid w:val="005E0F48"/>
    <w:rsid w:val="005E2E82"/>
    <w:rsid w:val="005F002F"/>
    <w:rsid w:val="005F0F25"/>
    <w:rsid w:val="005F1194"/>
    <w:rsid w:val="006014B2"/>
    <w:rsid w:val="00601B9D"/>
    <w:rsid w:val="00601C34"/>
    <w:rsid w:val="006035B0"/>
    <w:rsid w:val="006334B4"/>
    <w:rsid w:val="0063565E"/>
    <w:rsid w:val="00636E02"/>
    <w:rsid w:val="00642297"/>
    <w:rsid w:val="0064351D"/>
    <w:rsid w:val="00644A34"/>
    <w:rsid w:val="006604BE"/>
    <w:rsid w:val="00662882"/>
    <w:rsid w:val="00665A7C"/>
    <w:rsid w:val="00671363"/>
    <w:rsid w:val="00672010"/>
    <w:rsid w:val="00672C04"/>
    <w:rsid w:val="006760AD"/>
    <w:rsid w:val="00685A84"/>
    <w:rsid w:val="006A30A8"/>
    <w:rsid w:val="006A44DA"/>
    <w:rsid w:val="006A6374"/>
    <w:rsid w:val="006A7A10"/>
    <w:rsid w:val="006B0DA4"/>
    <w:rsid w:val="006B1B6B"/>
    <w:rsid w:val="006B6CDB"/>
    <w:rsid w:val="006C0D3A"/>
    <w:rsid w:val="006C5A3D"/>
    <w:rsid w:val="006E1AAD"/>
    <w:rsid w:val="006F53E8"/>
    <w:rsid w:val="007023F5"/>
    <w:rsid w:val="00706072"/>
    <w:rsid w:val="00712300"/>
    <w:rsid w:val="007151BF"/>
    <w:rsid w:val="007205F7"/>
    <w:rsid w:val="00734107"/>
    <w:rsid w:val="00740229"/>
    <w:rsid w:val="00747785"/>
    <w:rsid w:val="0076571A"/>
    <w:rsid w:val="00766D94"/>
    <w:rsid w:val="007675BB"/>
    <w:rsid w:val="007823A2"/>
    <w:rsid w:val="00784292"/>
    <w:rsid w:val="00787413"/>
    <w:rsid w:val="00794595"/>
    <w:rsid w:val="00794C71"/>
    <w:rsid w:val="00797E0C"/>
    <w:rsid w:val="007D0DC1"/>
    <w:rsid w:val="007D5C4D"/>
    <w:rsid w:val="007E7997"/>
    <w:rsid w:val="00810C3D"/>
    <w:rsid w:val="0082744A"/>
    <w:rsid w:val="00840EC8"/>
    <w:rsid w:val="00842AC5"/>
    <w:rsid w:val="00843C16"/>
    <w:rsid w:val="0085754A"/>
    <w:rsid w:val="008638AF"/>
    <w:rsid w:val="008755EE"/>
    <w:rsid w:val="008858FE"/>
    <w:rsid w:val="0089075A"/>
    <w:rsid w:val="00891391"/>
    <w:rsid w:val="00895081"/>
    <w:rsid w:val="008A1115"/>
    <w:rsid w:val="008C767A"/>
    <w:rsid w:val="008D5C28"/>
    <w:rsid w:val="008D7023"/>
    <w:rsid w:val="00906D18"/>
    <w:rsid w:val="00925E04"/>
    <w:rsid w:val="00932A63"/>
    <w:rsid w:val="00944EC7"/>
    <w:rsid w:val="00966881"/>
    <w:rsid w:val="00972E4C"/>
    <w:rsid w:val="0098532F"/>
    <w:rsid w:val="0099526D"/>
    <w:rsid w:val="009A3DA7"/>
    <w:rsid w:val="009A7F6B"/>
    <w:rsid w:val="009B2BFF"/>
    <w:rsid w:val="009C7694"/>
    <w:rsid w:val="009D7294"/>
    <w:rsid w:val="009E2971"/>
    <w:rsid w:val="00A026A4"/>
    <w:rsid w:val="00A0307C"/>
    <w:rsid w:val="00A410CC"/>
    <w:rsid w:val="00A465A6"/>
    <w:rsid w:val="00A772D0"/>
    <w:rsid w:val="00A85E27"/>
    <w:rsid w:val="00A91D91"/>
    <w:rsid w:val="00AA054E"/>
    <w:rsid w:val="00AB7542"/>
    <w:rsid w:val="00AC7764"/>
    <w:rsid w:val="00AC79E0"/>
    <w:rsid w:val="00AD0B10"/>
    <w:rsid w:val="00AD150A"/>
    <w:rsid w:val="00AD239F"/>
    <w:rsid w:val="00AE4FC7"/>
    <w:rsid w:val="00AF6B1E"/>
    <w:rsid w:val="00B00DF5"/>
    <w:rsid w:val="00B040F3"/>
    <w:rsid w:val="00B04283"/>
    <w:rsid w:val="00B11EFB"/>
    <w:rsid w:val="00B15C0B"/>
    <w:rsid w:val="00B17AF3"/>
    <w:rsid w:val="00B27499"/>
    <w:rsid w:val="00B40D81"/>
    <w:rsid w:val="00B50534"/>
    <w:rsid w:val="00B52E10"/>
    <w:rsid w:val="00B54BFB"/>
    <w:rsid w:val="00B55ABB"/>
    <w:rsid w:val="00B655D1"/>
    <w:rsid w:val="00B73281"/>
    <w:rsid w:val="00B74FA7"/>
    <w:rsid w:val="00B7765E"/>
    <w:rsid w:val="00B85764"/>
    <w:rsid w:val="00B91B6E"/>
    <w:rsid w:val="00B947F8"/>
    <w:rsid w:val="00BB449C"/>
    <w:rsid w:val="00BC2561"/>
    <w:rsid w:val="00BC422A"/>
    <w:rsid w:val="00BE225E"/>
    <w:rsid w:val="00BE2B4F"/>
    <w:rsid w:val="00BE32FB"/>
    <w:rsid w:val="00BF25CD"/>
    <w:rsid w:val="00C0696A"/>
    <w:rsid w:val="00C123AA"/>
    <w:rsid w:val="00C138DD"/>
    <w:rsid w:val="00C36B53"/>
    <w:rsid w:val="00C570F9"/>
    <w:rsid w:val="00C717BC"/>
    <w:rsid w:val="00C73DBB"/>
    <w:rsid w:val="00C775F7"/>
    <w:rsid w:val="00C84A0F"/>
    <w:rsid w:val="00C90566"/>
    <w:rsid w:val="00CA04B9"/>
    <w:rsid w:val="00CA565A"/>
    <w:rsid w:val="00CB50EF"/>
    <w:rsid w:val="00CB64EB"/>
    <w:rsid w:val="00CB791A"/>
    <w:rsid w:val="00CD47B2"/>
    <w:rsid w:val="00CE49F8"/>
    <w:rsid w:val="00CE55C4"/>
    <w:rsid w:val="00CF01DC"/>
    <w:rsid w:val="00CF0BAC"/>
    <w:rsid w:val="00D0373D"/>
    <w:rsid w:val="00D1409C"/>
    <w:rsid w:val="00D22F2F"/>
    <w:rsid w:val="00D23A01"/>
    <w:rsid w:val="00D33C31"/>
    <w:rsid w:val="00D37F23"/>
    <w:rsid w:val="00D46275"/>
    <w:rsid w:val="00D604F0"/>
    <w:rsid w:val="00D60C99"/>
    <w:rsid w:val="00D70C07"/>
    <w:rsid w:val="00D73338"/>
    <w:rsid w:val="00D73444"/>
    <w:rsid w:val="00D740B5"/>
    <w:rsid w:val="00D77369"/>
    <w:rsid w:val="00DA74C1"/>
    <w:rsid w:val="00DB40AB"/>
    <w:rsid w:val="00DE3473"/>
    <w:rsid w:val="00DF3785"/>
    <w:rsid w:val="00E02098"/>
    <w:rsid w:val="00E203AD"/>
    <w:rsid w:val="00E2046D"/>
    <w:rsid w:val="00E21617"/>
    <w:rsid w:val="00E27B64"/>
    <w:rsid w:val="00E3456B"/>
    <w:rsid w:val="00E366E2"/>
    <w:rsid w:val="00E40D9D"/>
    <w:rsid w:val="00E500AC"/>
    <w:rsid w:val="00E55BB9"/>
    <w:rsid w:val="00E65F35"/>
    <w:rsid w:val="00E74E8C"/>
    <w:rsid w:val="00E775AE"/>
    <w:rsid w:val="00E81C78"/>
    <w:rsid w:val="00EA03D7"/>
    <w:rsid w:val="00EC6BD8"/>
    <w:rsid w:val="00ED4213"/>
    <w:rsid w:val="00ED74D7"/>
    <w:rsid w:val="00EF34F9"/>
    <w:rsid w:val="00EF6E2A"/>
    <w:rsid w:val="00F0038C"/>
    <w:rsid w:val="00F01F41"/>
    <w:rsid w:val="00F06455"/>
    <w:rsid w:val="00F1604B"/>
    <w:rsid w:val="00F205B9"/>
    <w:rsid w:val="00F219DE"/>
    <w:rsid w:val="00F226E0"/>
    <w:rsid w:val="00F67EBD"/>
    <w:rsid w:val="00F72D28"/>
    <w:rsid w:val="00F80FAB"/>
    <w:rsid w:val="00F87C05"/>
    <w:rsid w:val="00FA0D71"/>
    <w:rsid w:val="00FB3B3B"/>
    <w:rsid w:val="00FC18B4"/>
    <w:rsid w:val="00FD0060"/>
    <w:rsid w:val="00FD5617"/>
    <w:rsid w:val="00FD66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4E0124FF-1E63-ED48-9D06-A7CF1F9B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3"/>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3"/>
      </w:numPr>
      <w:spacing w:before="320"/>
      <w:ind w:left="578" w:hanging="578"/>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2"/>
      </w:numPr>
    </w:pPr>
    <w:rPr>
      <w:rFonts w:asciiTheme="majorHAnsi" w:hAnsiTheme="majorHAnsi"/>
      <w:b/>
      <w:color w:val="00379F" w:themeColor="text1"/>
      <w:sz w:val="28"/>
    </w:rPr>
  </w:style>
  <w:style w:type="character" w:customStyle="1" w:styleId="Title1Char">
    <w:name w:val="Title 1 Char"/>
    <w:basedOn w:val="DefaultParagraphFont"/>
    <w:link w:val="Title1"/>
    <w:rsid w:val="00F205B9"/>
    <w:rPr>
      <w:rFonts w:asciiTheme="majorHAnsi" w:hAnsiTheme="majorHAnsi"/>
      <w:b/>
      <w:color w:val="00379F" w:themeColor="text1"/>
      <w:sz w:val="28"/>
      <w:lang w:val="en-GB"/>
    </w:rPr>
  </w:style>
  <w:style w:type="paragraph" w:styleId="ListParagraph">
    <w:name w:val="List Paragraph"/>
    <w:basedOn w:val="Normal"/>
    <w:autoRedefine/>
    <w:uiPriority w:val="34"/>
    <w:qFormat/>
    <w:rsid w:val="005B6B12"/>
    <w:pPr>
      <w:numPr>
        <w:numId w:val="6"/>
      </w:numPr>
    </w:pPr>
  </w:style>
  <w:style w:type="paragraph" w:customStyle="1" w:styleId="Title3">
    <w:name w:val="Title 3"/>
    <w:basedOn w:val="ListParagraph"/>
    <w:link w:val="Title3Char"/>
    <w:autoRedefine/>
    <w:rsid w:val="00F205B9"/>
    <w:pPr>
      <w:numPr>
        <w:ilvl w:val="3"/>
        <w:numId w:val="1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F205B9"/>
    <w:pPr>
      <w:numPr>
        <w:ilvl w:val="1"/>
        <w:numId w:val="12"/>
      </w:numPr>
      <w:spacing w:after="0"/>
    </w:pPr>
  </w:style>
  <w:style w:type="character" w:customStyle="1" w:styleId="Title2Char">
    <w:name w:val="Title 2 Char"/>
    <w:basedOn w:val="Title1Char"/>
    <w:link w:val="Title2"/>
    <w:rsid w:val="002574D1"/>
    <w:rPr>
      <w:rFonts w:asciiTheme="majorHAnsi" w:hAnsiTheme="majorHAnsi"/>
      <w:b/>
      <w:color w:val="00379F" w:themeColor="text1"/>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013CA1"/>
    <w:pPr>
      <w:ind w:hanging="567"/>
      <w:contextualSpacing/>
    </w:pPr>
    <w:rPr>
      <w:b/>
    </w:rPr>
  </w:style>
  <w:style w:type="character" w:customStyle="1" w:styleId="QuestionstyleChar">
    <w:name w:val="Question style Char"/>
    <w:basedOn w:val="DefaultParagraphFont"/>
    <w:link w:val="Questionstyle"/>
    <w:rsid w:val="00013CA1"/>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semiHidden/>
    <w:unhideWhenUsed/>
    <w:rsid w:val="00D33C31"/>
    <w:pPr>
      <w:spacing w:line="240" w:lineRule="auto"/>
    </w:pPr>
    <w:rPr>
      <w:sz w:val="20"/>
    </w:rPr>
  </w:style>
  <w:style w:type="character" w:customStyle="1" w:styleId="CommentTextChar">
    <w:name w:val="Comment Text Char"/>
    <w:basedOn w:val="DefaultParagraphFont"/>
    <w:link w:val="CommentText"/>
    <w:uiPriority w:val="99"/>
    <w:semiHidden/>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11"/>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styleId="PlaceholderText">
    <w:name w:val="Placeholder Text"/>
    <w:basedOn w:val="DefaultParagraphFont"/>
    <w:uiPriority w:val="99"/>
    <w:semiHidden/>
    <w:rsid w:val="00013C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95473682">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0A7892-52F7-4C47-9D40-322A7DF4C656}"/>
      </w:docPartPr>
      <w:docPartBody>
        <w:p w:rsidR="00C025F0" w:rsidRDefault="00A56298">
          <w:r w:rsidRPr="00DA1A9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FB66C16-7A1C-40BE-8363-96DD7F4AABFE}"/>
      </w:docPartPr>
      <w:docPartBody>
        <w:p w:rsidR="00C025F0" w:rsidRDefault="00A56298">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98"/>
    <w:rsid w:val="00543E4C"/>
    <w:rsid w:val="005D399A"/>
    <w:rsid w:val="00917A1D"/>
    <w:rsid w:val="00A56298"/>
    <w:rsid w:val="00C025F0"/>
    <w:rsid w:val="00E955B7"/>
    <w:rsid w:val="00F2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2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566</Value>
      <Value>766</Value>
      <Value>9</Value>
    </TaxCatchAll>
    <_dlc_DocId xmlns="d0fb0f98-34f9-4d57-9559-eb8efd17aa5e">ESMA74-449133380-434</_dlc_DocId>
    <_dlc_DocIdUrl xmlns="d0fb0f98-34f9-4d57-9559-eb8efd17aa5e">
      <Url>https://securitiesandmarketsauth.sharepoint.com/sites/sherpa-trdu/_layouts/15/DocIdRedir.aspx?ID=ESMA74-449133380-434</Url>
      <Description>ESMA74-449133380-434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Briefings_flash Reports</TermName>
          <TermId xmlns="http://schemas.microsoft.com/office/infopath/2007/PartnerControls">00888bce-2bec-4e49-a5a1-e4b129dc07fd</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MiCA</TermName>
          <TermId xmlns="http://schemas.microsoft.com/office/infopath/2007/PartnerControls">27759e3b-a285-4fa3-928e-432bfcc32e30</TermId>
        </TermInfo>
      </Terms>
    </caa5aeb1a6644849b60fbe2335e1265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LT Policy Document" ma:contentTypeID="0x0101008D9E5D2C101BA04B85C7EB08C6516E400D007D32AA2BC5214641B582DB60B417C43F" ma:contentTypeVersion="24" ma:contentTypeDescription="" ma:contentTypeScope="" ma:versionID="d8daa37104a6cb7e43b5ccc4d4a8d059">
  <xsd:schema xmlns:xsd="http://www.w3.org/2001/XMLSchema" xmlns:xs="http://www.w3.org/2001/XMLSchema" xmlns:p="http://schemas.microsoft.com/office/2006/metadata/properties" xmlns:ns2="d0fb0f98-34f9-4d57-9559-eb8efd17aa5e" xmlns:ns3="1a087603-e2e1-4313-ba7a-ce8df6383954" xmlns:ns4="http://schemas.microsoft.com/sharepoint/v4" targetNamespace="http://schemas.microsoft.com/office/2006/metadata/properties" ma:root="true" ma:fieldsID="9db2d6a943a5539e5189ab1482e8807a" ns2:_="" ns3:_="" ns4:_="">
    <xsd:import namespace="d0fb0f98-34f9-4d57-9559-eb8efd17aa5e"/>
    <xsd:import namespace="1a087603-e2e1-4313-ba7a-ce8df6383954"/>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2b6fd931-81a3-4057-979e-f21b29f141c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87603-e2e1-4313-ba7a-ce8df638395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http://schemas.microsoft.com/sharepoint/v4"/>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649359E9-AC71-4FB1-8ED2-6BDE25DF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a087603-e2e1-4313-ba7a-ce8df63839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3325</Words>
  <Characters>18958</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Morsfield</cp:lastModifiedBy>
  <cp:revision>2</cp:revision>
  <dcterms:created xsi:type="dcterms:W3CDTF">2023-09-20T14:07:00Z</dcterms:created>
  <dcterms:modified xsi:type="dcterms:W3CDTF">2023-09-20T14:07:00Z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0x0101008D9E5D2C101BA04B85C7EB08C6516E400D007D32AA2BC5214641B582DB60B417C43F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21777c35-8817-410a-ab5c-9a4936f81eae</vt:lpwstr>
  </property>
  <property fmtid="{D5CDD505-2E9C-101B-9397-08002B2CF9AE}" pid="8" name="Topic">
    <vt:lpwstr>566</vt:lpwstr>
  </property>
  <property fmtid="{D5CDD505-2E9C-101B-9397-08002B2CF9AE}" pid="9" name="ConfidentialityLevel">
    <vt:lpwstr>6;#Regular|07f1e362-856b-423d-bea6-a14079762141</vt:lpwstr>
  </property>
  <property fmtid="{D5CDD505-2E9C-101B-9397-08002B2CF9AE}" pid="10" name="DocumentType">
    <vt:lpwstr>766;#Briefings_flash Reports|00888bce-2bec-4e49-a5a1-e4b129dc07fd</vt:lpwstr>
  </property>
  <property fmtid="{D5CDD505-2E9C-101B-9397-08002B2CF9AE}" pid="11" name="Order">
    <vt:r8>52000</vt:r8>
  </property>
  <property fmtid="{D5CDD505-2E9C-101B-9397-08002B2CF9AE}" pid="12" name="DocumentSetDescription">
    <vt:lpwstr/>
  </property>
  <property fmtid="{D5CDD505-2E9C-101B-9397-08002B2CF9AE}" pid="13" name="GrammarlyDocumentId">
    <vt:lpwstr>fceb93a8e69d7e75543733955a26c3e0793ed941faab31ed2a6afb43454ed1fe</vt:lpwstr>
  </property>
  <property fmtid="{D5CDD505-2E9C-101B-9397-08002B2CF9AE}" pid="14" name="TeamName">
    <vt:lpwstr>9</vt:lpwstr>
  </property>
</Properties>
</file>