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CE39" w14:textId="7EC616C9" w:rsidR="005200B7" w:rsidRDefault="005200B7" w:rsidP="008826E2">
      <w:pPr>
        <w:jc w:val="both"/>
        <w:rPr>
          <w:lang w:val="en-GB"/>
        </w:rPr>
      </w:pPr>
      <w:r w:rsidRPr="005200B7">
        <w:rPr>
          <w:lang w:val="en-GB"/>
        </w:rPr>
        <w:t>Actuarial Association of Europe</w:t>
      </w:r>
      <w:r>
        <w:rPr>
          <w:lang w:val="en-GB"/>
        </w:rPr>
        <w:t xml:space="preserve"> (AAE) r</w:t>
      </w:r>
      <w:r w:rsidRPr="005200B7">
        <w:rPr>
          <w:lang w:val="en-GB"/>
        </w:rPr>
        <w:t xml:space="preserve">esponse to ESA </w:t>
      </w:r>
      <w:r>
        <w:t>Joint Consultation Paper Review of SFDR Delegated Regulation regarding PAI and financial product disclosures</w:t>
      </w:r>
      <w:r w:rsidRPr="005200B7">
        <w:rPr>
          <w:lang w:val="en-GB"/>
        </w:rPr>
        <w:t xml:space="preserve"> </w:t>
      </w:r>
      <w:r>
        <w:rPr>
          <w:lang w:val="en-GB"/>
        </w:rPr>
        <w:t xml:space="preserve">given for public </w:t>
      </w:r>
      <w:r w:rsidR="008826E2">
        <w:rPr>
          <w:lang w:val="en-GB"/>
        </w:rPr>
        <w:t>consultation</w:t>
      </w:r>
      <w:r w:rsidR="00CE1466">
        <w:rPr>
          <w:lang w:val="en-GB"/>
        </w:rPr>
        <w:t>.</w:t>
      </w:r>
    </w:p>
    <w:p w14:paraId="42E4847C" w14:textId="77777777" w:rsidR="005200B7" w:rsidRDefault="005200B7" w:rsidP="008826E2">
      <w:pPr>
        <w:jc w:val="both"/>
        <w:rPr>
          <w:lang w:val="en-GB"/>
        </w:rPr>
      </w:pPr>
    </w:p>
    <w:p w14:paraId="48C0B82B" w14:textId="2FA909B9" w:rsidR="006F7452" w:rsidRDefault="005200B7" w:rsidP="008826E2">
      <w:pPr>
        <w:jc w:val="both"/>
        <w:rPr>
          <w:lang w:val="en-GB"/>
        </w:rPr>
      </w:pPr>
      <w:r>
        <w:rPr>
          <w:lang w:val="en-GB"/>
        </w:rPr>
        <w:t>AAE is</w:t>
      </w:r>
      <w:r w:rsidR="00CE1466">
        <w:rPr>
          <w:lang w:val="en-GB"/>
        </w:rPr>
        <w:t xml:space="preserve"> </w:t>
      </w:r>
      <w:r w:rsidR="00D8603D">
        <w:rPr>
          <w:lang w:val="en-GB"/>
        </w:rPr>
        <w:t>grateful for the opportunity to answer to this consultation</w:t>
      </w:r>
      <w:r w:rsidR="00DA043B">
        <w:rPr>
          <w:lang w:val="en-GB"/>
        </w:rPr>
        <w:t>. We ha</w:t>
      </w:r>
      <w:r w:rsidR="006F7452">
        <w:rPr>
          <w:lang w:val="en-GB"/>
        </w:rPr>
        <w:t>ve</w:t>
      </w:r>
      <w:r w:rsidR="00DA043B">
        <w:rPr>
          <w:lang w:val="en-GB"/>
        </w:rPr>
        <w:t xml:space="preserve"> concentrated</w:t>
      </w:r>
      <w:r>
        <w:rPr>
          <w:lang w:val="en-GB"/>
        </w:rPr>
        <w:t xml:space="preserve"> </w:t>
      </w:r>
      <w:r w:rsidR="00DA043B">
        <w:rPr>
          <w:lang w:val="en-GB"/>
        </w:rPr>
        <w:t>on</w:t>
      </w:r>
      <w:r>
        <w:rPr>
          <w:lang w:val="en-GB"/>
        </w:rPr>
        <w:t xml:space="preserve"> selected question within the consultation</w:t>
      </w:r>
      <w:r w:rsidR="00DA043B">
        <w:rPr>
          <w:lang w:val="en-GB"/>
        </w:rPr>
        <w:t xml:space="preserve"> to </w:t>
      </w:r>
      <w:r w:rsidR="00752EEA">
        <w:rPr>
          <w:lang w:val="en-GB"/>
        </w:rPr>
        <w:t>provide technical input</w:t>
      </w:r>
      <w:r>
        <w:rPr>
          <w:lang w:val="en-GB"/>
        </w:rPr>
        <w:t xml:space="preserve">. </w:t>
      </w:r>
      <w:r w:rsidR="00952DA3">
        <w:rPr>
          <w:lang w:val="en-GB"/>
        </w:rPr>
        <w:t xml:space="preserve">For most questions, however, </w:t>
      </w:r>
      <w:r w:rsidR="00353959">
        <w:rPr>
          <w:lang w:val="en-GB"/>
        </w:rPr>
        <w:t xml:space="preserve">we are aware of a variety of different opinions within the </w:t>
      </w:r>
      <w:r w:rsidR="00A135D0">
        <w:rPr>
          <w:lang w:val="en-GB"/>
        </w:rPr>
        <w:t>AAE.  AAE stayed silent on these questions.</w:t>
      </w:r>
    </w:p>
    <w:p w14:paraId="404C6A90" w14:textId="30141FB7" w:rsidR="008826E2" w:rsidRDefault="008826E2" w:rsidP="008826E2">
      <w:pPr>
        <w:jc w:val="both"/>
        <w:rPr>
          <w:lang w:val="en-GB"/>
        </w:rPr>
      </w:pPr>
      <w:r>
        <w:rPr>
          <w:lang w:val="en-GB"/>
        </w:rPr>
        <w:t xml:space="preserve">Based on our actuarial experience he data quality accessibility and transferability is the key element and predisposition for the high quality of the production of the public disclosures. </w:t>
      </w:r>
      <w:r w:rsidR="00BC1B6E">
        <w:rPr>
          <w:lang w:val="en-GB"/>
        </w:rPr>
        <w:t xml:space="preserve">Appropriate segregation of responsibilities is key </w:t>
      </w:r>
      <w:r w:rsidR="00B26821">
        <w:rPr>
          <w:lang w:val="en-GB"/>
        </w:rPr>
        <w:t>when using information up</w:t>
      </w:r>
      <w:r w:rsidR="00CC3275">
        <w:rPr>
          <w:lang w:val="en-GB"/>
        </w:rPr>
        <w:t>-</w:t>
      </w:r>
      <w:r w:rsidR="00B26821">
        <w:rPr>
          <w:lang w:val="en-GB"/>
        </w:rPr>
        <w:t xml:space="preserve">stream of </w:t>
      </w:r>
      <w:r w:rsidR="00CC3275">
        <w:rPr>
          <w:lang w:val="en-GB"/>
        </w:rPr>
        <w:t xml:space="preserve">down-stream.   Meaningful </w:t>
      </w:r>
      <w:r w:rsidR="0033665D">
        <w:rPr>
          <w:lang w:val="en-GB"/>
        </w:rPr>
        <w:t xml:space="preserve">disclosure requires appropriate </w:t>
      </w:r>
      <w:r w:rsidR="00481C7D">
        <w:rPr>
          <w:lang w:val="en-GB"/>
        </w:rPr>
        <w:t>comprehensiveness, which might be challenging</w:t>
      </w:r>
      <w:r w:rsidR="00D87BC5">
        <w:rPr>
          <w:lang w:val="en-GB"/>
        </w:rPr>
        <w:t>,</w:t>
      </w:r>
      <w:r w:rsidR="00481C7D">
        <w:rPr>
          <w:lang w:val="en-GB"/>
        </w:rPr>
        <w:t xml:space="preserve"> </w:t>
      </w:r>
      <w:r w:rsidR="00D87BC5">
        <w:rPr>
          <w:lang w:val="en-GB"/>
        </w:rPr>
        <w:t>where</w:t>
      </w:r>
      <w:r w:rsidR="00AC1AEC">
        <w:rPr>
          <w:lang w:val="en-GB"/>
        </w:rPr>
        <w:t xml:space="preserve"> information with </w:t>
      </w:r>
      <w:r w:rsidR="00D87BC5">
        <w:rPr>
          <w:lang w:val="en-GB"/>
        </w:rPr>
        <w:t>origin</w:t>
      </w:r>
      <w:r w:rsidR="00AC1AEC">
        <w:rPr>
          <w:lang w:val="en-GB"/>
        </w:rPr>
        <w:t xml:space="preserve"> </w:t>
      </w:r>
      <w:r w:rsidR="00FB5C75">
        <w:rPr>
          <w:lang w:val="en-GB"/>
        </w:rPr>
        <w:t>outside the EEA/EU is required.</w:t>
      </w:r>
    </w:p>
    <w:p w14:paraId="67F2D80D" w14:textId="18AEC342" w:rsidR="005200B7" w:rsidRDefault="00FB5C75">
      <w:pPr>
        <w:rPr>
          <w:lang w:val="en-GB"/>
        </w:rPr>
      </w:pPr>
      <w:r>
        <w:rPr>
          <w:lang w:val="en-GB"/>
        </w:rPr>
        <w:t xml:space="preserve">We feel that for some of </w:t>
      </w:r>
      <w:r w:rsidR="00EB69E0">
        <w:rPr>
          <w:lang w:val="en-GB"/>
        </w:rPr>
        <w:t>the technical remarks on indicators or formulae</w:t>
      </w:r>
      <w:r w:rsidR="00AB6E34">
        <w:rPr>
          <w:lang w:val="en-GB"/>
        </w:rPr>
        <w:t>,</w:t>
      </w:r>
      <w:r w:rsidR="00EB69E0">
        <w:rPr>
          <w:lang w:val="en-GB"/>
        </w:rPr>
        <w:t xml:space="preserve"> </w:t>
      </w:r>
      <w:r w:rsidR="00E04B18">
        <w:rPr>
          <w:lang w:val="en-GB"/>
        </w:rPr>
        <w:t xml:space="preserve">a technical follow up discussion might be useful. </w:t>
      </w:r>
    </w:p>
    <w:p w14:paraId="0FAAF7A8" w14:textId="77777777" w:rsidR="006B77C4" w:rsidRDefault="006B77C4">
      <w:pPr>
        <w:rPr>
          <w:lang w:val="en-GB"/>
        </w:rPr>
      </w:pPr>
    </w:p>
    <w:p w14:paraId="68B9195E" w14:textId="264B094B" w:rsidR="006B77C4" w:rsidRDefault="006B77C4">
      <w:pPr>
        <w:rPr>
          <w:lang w:val="en-GB"/>
        </w:rPr>
      </w:pPr>
      <w:r>
        <w:rPr>
          <w:lang w:val="en-GB"/>
        </w:rPr>
        <w:t xml:space="preserve">Your sincerely, </w:t>
      </w:r>
      <w:r w:rsidR="00A444FD" w:rsidRPr="00A444FD">
        <w:rPr>
          <w:lang w:val="en-GB"/>
        </w:rPr>
        <w:t>Lutz Wilhelmy</w:t>
      </w:r>
      <w:r w:rsidR="00A444FD">
        <w:rPr>
          <w:lang w:val="en-GB"/>
        </w:rPr>
        <w:t>, Chairperson of AAE</w:t>
      </w:r>
    </w:p>
    <w:p w14:paraId="71498D8E" w14:textId="77777777" w:rsidR="00FB5C75" w:rsidRDefault="00FB5C75">
      <w:pPr>
        <w:rPr>
          <w:lang w:val="en-GB"/>
        </w:rPr>
      </w:pPr>
    </w:p>
    <w:p w14:paraId="074838A3" w14:textId="77777777" w:rsidR="001B4509" w:rsidRDefault="001B4509">
      <w:pPr>
        <w:rPr>
          <w:i/>
          <w:iCs/>
        </w:rPr>
      </w:pPr>
    </w:p>
    <w:p w14:paraId="2606A0D9" w14:textId="77777777" w:rsidR="00EC3425" w:rsidRDefault="00EC3425">
      <w:pPr>
        <w:rPr>
          <w:i/>
          <w:iCs/>
        </w:rPr>
      </w:pPr>
    </w:p>
    <w:p w14:paraId="539658ED" w14:textId="77777777" w:rsidR="00EC3425" w:rsidRDefault="00EC3425">
      <w:pPr>
        <w:rPr>
          <w:i/>
          <w:iCs/>
        </w:rPr>
      </w:pPr>
    </w:p>
    <w:p w14:paraId="72DE3AFC" w14:textId="77777777" w:rsidR="00EC3425" w:rsidRDefault="00EC3425">
      <w:pPr>
        <w:rPr>
          <w:i/>
          <w:iCs/>
        </w:rPr>
      </w:pPr>
    </w:p>
    <w:p w14:paraId="0AC0709C" w14:textId="77777777" w:rsidR="00EC3425" w:rsidRDefault="00EC3425">
      <w:pPr>
        <w:rPr>
          <w:i/>
          <w:iCs/>
        </w:rPr>
      </w:pPr>
    </w:p>
    <w:p w14:paraId="665DD26E" w14:textId="77777777" w:rsidR="00EC3425" w:rsidRDefault="00EC3425">
      <w:pPr>
        <w:rPr>
          <w:i/>
          <w:iCs/>
        </w:rPr>
      </w:pPr>
    </w:p>
    <w:p w14:paraId="25BCF841" w14:textId="77777777" w:rsidR="00EC3425" w:rsidRDefault="00EC3425">
      <w:pPr>
        <w:rPr>
          <w:i/>
          <w:iCs/>
        </w:rPr>
      </w:pPr>
    </w:p>
    <w:p w14:paraId="73C1A588" w14:textId="77777777" w:rsidR="00EC3425" w:rsidRDefault="00EC3425">
      <w:pPr>
        <w:rPr>
          <w:i/>
          <w:iCs/>
        </w:rPr>
      </w:pPr>
    </w:p>
    <w:p w14:paraId="4B44D1EA" w14:textId="77777777" w:rsidR="001B4509" w:rsidRDefault="001B4509">
      <w:pPr>
        <w:rPr>
          <w:i/>
          <w:iCs/>
        </w:rPr>
      </w:pPr>
    </w:p>
    <w:p w14:paraId="541C4CD9" w14:textId="77777777" w:rsidR="001B4509" w:rsidRPr="001B4509" w:rsidRDefault="001B4509" w:rsidP="001B4509">
      <w:pPr>
        <w:rPr>
          <w:i/>
          <w:iCs/>
          <w:sz w:val="32"/>
          <w:szCs w:val="32"/>
        </w:rPr>
      </w:pPr>
      <w:r w:rsidRPr="001B4509">
        <w:rPr>
          <w:i/>
          <w:iCs/>
          <w:sz w:val="32"/>
          <w:szCs w:val="32"/>
        </w:rPr>
        <w:t>ABOUT THE AAE</w:t>
      </w:r>
    </w:p>
    <w:p w14:paraId="354C3760" w14:textId="5CBCFBCB" w:rsidR="00AB6E34" w:rsidRPr="001B4509" w:rsidRDefault="001B4509" w:rsidP="001B4509">
      <w:r w:rsidRPr="001B4509">
        <w:t xml:space="preserve">The Actuarial Association of Europe (AAE) was established in 1978 under the name Groupe Consultatif to represent actuarial associations in Europe. Its purpose is to provide advice and opinions to the various </w:t>
      </w:r>
      <w:proofErr w:type="spellStart"/>
      <w:r w:rsidRPr="001B4509">
        <w:t>organisations</w:t>
      </w:r>
      <w:proofErr w:type="spellEnd"/>
      <w:r w:rsidRPr="001B4509">
        <w:t xml:space="preserve"> of the European Union – the Commission, the Council of Ministers, the European Parliament, EIOPA and their various committees – on actuarial issues in European legislation. The AAE currently has 37 member associations in 36 European countries, representing over 29,000 actuaries. Advice and comments provided by the AAE on behalf of the European actuarial profession are totally independent of industry interests.</w:t>
      </w:r>
      <w:r w:rsidR="00AB6E34" w:rsidRPr="001B4509">
        <w:br w:type="page"/>
      </w:r>
    </w:p>
    <w:p w14:paraId="04931B02" w14:textId="03858BAE" w:rsidR="005200B7" w:rsidRDefault="005200B7">
      <w:pPr>
        <w:rPr>
          <w:i/>
          <w:iCs/>
        </w:rPr>
      </w:pPr>
      <w:r w:rsidRPr="005200B7">
        <w:rPr>
          <w:i/>
          <w:iCs/>
        </w:rPr>
        <w:lastRenderedPageBreak/>
        <w:t xml:space="preserve">Question 1: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 ? </w:t>
      </w:r>
    </w:p>
    <w:p w14:paraId="6A34EFDD" w14:textId="77777777" w:rsidR="005200B7" w:rsidRDefault="005200B7"/>
    <w:p w14:paraId="159A7F4A" w14:textId="6B5CFB50" w:rsidR="0007529C" w:rsidRDefault="005200B7" w:rsidP="0007529C">
      <w:r>
        <w:t xml:space="preserve">Answer: </w:t>
      </w:r>
      <w:r w:rsidR="005E122A">
        <w:t>T</w:t>
      </w:r>
      <w:r w:rsidR="0007529C">
        <w:t>he mandatory social indicator “amount of accumulated earnings in non-cooperative tax jurisdictions.”</w:t>
      </w:r>
      <w:r w:rsidR="006959D2">
        <w:t>, given the current</w:t>
      </w:r>
      <w:r w:rsidR="004852EC">
        <w:t xml:space="preserve"> list of </w:t>
      </w:r>
      <w:hyperlink r:id="rId6" w:tgtFrame="_blank" w:history="1">
        <w:r w:rsidR="00FD35CF" w:rsidRPr="008E778D">
          <w:rPr>
            <w:u w:val="single"/>
          </w:rPr>
          <w:t>EU list of non-cooperative jurisdictions for tax purposes</w:t>
        </w:r>
      </w:hyperlink>
      <w:r w:rsidR="00307834" w:rsidRPr="008E778D">
        <w:t>, may be useful</w:t>
      </w:r>
      <w:r w:rsidR="007F7E0C" w:rsidRPr="008E778D">
        <w:t xml:space="preserve">. </w:t>
      </w:r>
      <w:r w:rsidR="00AA5D03" w:rsidRPr="008E778D">
        <w:t>We ask if earnings (unaccum</w:t>
      </w:r>
      <w:r w:rsidR="001B2B51" w:rsidRPr="008E778D">
        <w:t xml:space="preserve">ulated) might be a </w:t>
      </w:r>
      <w:r w:rsidR="008E778D" w:rsidRPr="008E778D">
        <w:t>better measure</w:t>
      </w:r>
      <w:r w:rsidR="001B2B51" w:rsidRPr="008E778D">
        <w:t>.  This judgement</w:t>
      </w:r>
      <w:r w:rsidR="005E122A">
        <w:t xml:space="preserve"> on this</w:t>
      </w:r>
      <w:r w:rsidR="008E778D" w:rsidRPr="008E778D">
        <w:t xml:space="preserve">, </w:t>
      </w:r>
      <w:r w:rsidR="001B2B51" w:rsidRPr="008E778D">
        <w:t>however</w:t>
      </w:r>
      <w:r w:rsidR="008E778D">
        <w:t xml:space="preserve">, depends on the </w:t>
      </w:r>
      <w:r w:rsidR="00CC4EF5">
        <w:t xml:space="preserve">precise </w:t>
      </w:r>
      <w:r w:rsidR="004F1917">
        <w:t>purpose of the indicator</w:t>
      </w:r>
    </w:p>
    <w:p w14:paraId="5147B094" w14:textId="2334856A" w:rsidR="003C5C31" w:rsidRDefault="0007529C" w:rsidP="0007529C">
      <w:r>
        <w:t xml:space="preserve">In general, fighting climate change &amp; nature loss (E) or inequality (S) requires </w:t>
      </w:r>
      <w:r w:rsidR="003167A0">
        <w:t>appropriate</w:t>
      </w:r>
      <w:r>
        <w:t xml:space="preserve"> public funding. Hence companies </w:t>
      </w:r>
      <w:r w:rsidR="00176CB4">
        <w:t>should</w:t>
      </w:r>
      <w:r>
        <w:t xml:space="preserve"> demonstrate that they are responsible corporate citizens, with a positive impact on society through paying </w:t>
      </w:r>
      <w:r w:rsidR="00B66364">
        <w:t>a</w:t>
      </w:r>
      <w:r w:rsidR="00086009">
        <w:t xml:space="preserve">n appropriate </w:t>
      </w:r>
      <w:r>
        <w:t>share of taxes in the jurisdictions where they employ people and where they generate revenue (G).</w:t>
      </w:r>
    </w:p>
    <w:p w14:paraId="640D0785" w14:textId="31521F04" w:rsidR="00AF4ECB" w:rsidRDefault="0029617D" w:rsidP="0007529C">
      <w:r>
        <w:t>While</w:t>
      </w:r>
      <w:r w:rsidR="00AF4ECB">
        <w:t xml:space="preserve"> an indicator for the </w:t>
      </w:r>
      <w:r w:rsidR="006C682E">
        <w:t xml:space="preserve">skewness of </w:t>
      </w:r>
      <w:r w:rsidR="007E430C">
        <w:t xml:space="preserve">wage distribution </w:t>
      </w:r>
      <w:r w:rsidR="00FE5F1D">
        <w:t xml:space="preserve">in a company </w:t>
      </w:r>
      <w:r>
        <w:t>may be</w:t>
      </w:r>
      <w:r w:rsidR="007E430C">
        <w:t xml:space="preserve"> beneficial, the proposed measure </w:t>
      </w:r>
      <w:r w:rsidR="00210276">
        <w:t xml:space="preserve">can be fully </w:t>
      </w:r>
      <w:r w:rsidR="00FC1656">
        <w:t xml:space="preserve">misleading.  In a company that pays 99 </w:t>
      </w:r>
      <w:r w:rsidR="00AB013B">
        <w:t>of its employee</w:t>
      </w:r>
      <w:r w:rsidR="00BF6A4C">
        <w:t>s</w:t>
      </w:r>
      <w:r w:rsidR="00AB013B">
        <w:t xml:space="preserve"> 100</w:t>
      </w:r>
      <w:r w:rsidR="00F203F8">
        <w:t>0 and the only other employ</w:t>
      </w:r>
      <w:r w:rsidR="006D55A7">
        <w:t xml:space="preserve">ee 1001, the indicator would be 99% </w:t>
      </w:r>
      <w:r w:rsidR="00F47F0E">
        <w:t xml:space="preserve">as this is the </w:t>
      </w:r>
      <w:r w:rsidR="00F47F0E" w:rsidRPr="00F47F0E">
        <w:t>share of employees earning less than the adequate wage</w:t>
      </w:r>
      <w:r w:rsidR="00BF3E8F">
        <w:t xml:space="preserve"> (1000.01)</w:t>
      </w:r>
      <w:r w:rsidR="00F47F0E">
        <w:t xml:space="preserve">.  This is clearly </w:t>
      </w:r>
      <w:r w:rsidR="008C1144">
        <w:t>an</w:t>
      </w:r>
      <w:r w:rsidR="00401B32">
        <w:t xml:space="preserve"> undesired outcome</w:t>
      </w:r>
      <w:r w:rsidR="00BD2C2F">
        <w:t xml:space="preserve"> indicating an adverse impact</w:t>
      </w:r>
      <w:r w:rsidR="00E4608D">
        <w:t>, where there is materially equal payment</w:t>
      </w:r>
      <w:r w:rsidR="00F47F0E">
        <w:t>.</w:t>
      </w:r>
    </w:p>
    <w:p w14:paraId="59F3BF3F" w14:textId="3029CE35" w:rsidR="003016E9" w:rsidRPr="00CB4E03" w:rsidRDefault="003016E9" w:rsidP="0007529C">
      <w:pPr>
        <w:rPr>
          <w:lang w:val="en-GB"/>
        </w:rPr>
      </w:pPr>
      <w:r>
        <w:t xml:space="preserve">AAE would be delighted to discuss better indicators. </w:t>
      </w:r>
    </w:p>
    <w:p w14:paraId="3A290F93" w14:textId="77777777" w:rsidR="003C5C31" w:rsidRPr="00BF6A4C" w:rsidRDefault="003C5C31">
      <w:pPr>
        <w:rPr>
          <w:lang w:val="en-GB"/>
        </w:rPr>
      </w:pPr>
    </w:p>
    <w:p w14:paraId="35FA5B85" w14:textId="77777777" w:rsidR="005200B7" w:rsidRDefault="005200B7">
      <w:pPr>
        <w:rPr>
          <w:i/>
          <w:iCs/>
        </w:rPr>
      </w:pPr>
      <w:r w:rsidRPr="005200B7">
        <w:rPr>
          <w:i/>
          <w:iCs/>
        </w:rPr>
        <w:t xml:space="preserve">Question 2: Would you recommend any other mandatory social indicator or adjust any of the ones proposed? </w:t>
      </w:r>
    </w:p>
    <w:p w14:paraId="4DD9DE5A" w14:textId="28A8A285" w:rsidR="005200B7" w:rsidRDefault="005200B7">
      <w:pPr>
        <w:rPr>
          <w:i/>
          <w:iCs/>
        </w:rPr>
      </w:pPr>
      <w:r>
        <w:t xml:space="preserve">AAE Answer: </w:t>
      </w:r>
      <w:r>
        <w:rPr>
          <w:i/>
          <w:iCs/>
        </w:rPr>
        <w:t>N/A</w:t>
      </w:r>
    </w:p>
    <w:p w14:paraId="211B7ACC" w14:textId="77777777" w:rsidR="005200B7" w:rsidRDefault="005200B7">
      <w:pPr>
        <w:rPr>
          <w:i/>
          <w:iCs/>
        </w:rPr>
      </w:pPr>
      <w:r w:rsidRPr="005200B7">
        <w:rPr>
          <w:i/>
          <w:iCs/>
        </w:rPr>
        <w:t xml:space="preserve">Question 3: Do you agree with the newly proposed opt-in social indicators in Annex I, Table III (excessive use of </w:t>
      </w:r>
      <w:proofErr w:type="spellStart"/>
      <w:r w:rsidRPr="005200B7">
        <w:rPr>
          <w:i/>
          <w:iCs/>
        </w:rPr>
        <w:t>non guaranteed</w:t>
      </w:r>
      <w:proofErr w:type="spellEnd"/>
      <w:r w:rsidRPr="005200B7">
        <w:rPr>
          <w:i/>
          <w:iCs/>
        </w:rPr>
        <w:t>-hour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w:t>
      </w:r>
      <w:r>
        <w:rPr>
          <w:i/>
          <w:iCs/>
        </w:rPr>
        <w:t xml:space="preserve"> </w:t>
      </w:r>
      <w:r w:rsidRPr="005200B7">
        <w:rPr>
          <w:i/>
          <w:iCs/>
        </w:rPr>
        <w:t xml:space="preserve">users of the investee companies)? </w:t>
      </w:r>
    </w:p>
    <w:p w14:paraId="17C21C77" w14:textId="6D393554" w:rsidR="005200B7" w:rsidRDefault="005200B7">
      <w:pPr>
        <w:rPr>
          <w:i/>
          <w:iCs/>
        </w:rPr>
      </w:pPr>
      <w:r>
        <w:t>AAE Answer:</w:t>
      </w:r>
      <w:r w:rsidR="00294355">
        <w:t xml:space="preserve"> N/A</w:t>
      </w:r>
    </w:p>
    <w:p w14:paraId="3467BF89" w14:textId="77777777" w:rsidR="005200B7" w:rsidRDefault="005200B7">
      <w:pPr>
        <w:rPr>
          <w:i/>
          <w:iCs/>
        </w:rPr>
      </w:pPr>
      <w:r w:rsidRPr="005200B7">
        <w:rPr>
          <w:i/>
          <w:iCs/>
        </w:rPr>
        <w:t xml:space="preserve">Question 4: Would you recommend any other social indicator or adjust any of the ones proposed? </w:t>
      </w:r>
    </w:p>
    <w:p w14:paraId="271FDD7F" w14:textId="62BC5856" w:rsidR="005200B7" w:rsidRDefault="005200B7">
      <w:pPr>
        <w:rPr>
          <w:i/>
          <w:iCs/>
        </w:rPr>
      </w:pPr>
      <w:r>
        <w:t xml:space="preserve">AAE Answer: </w:t>
      </w:r>
      <w:r>
        <w:rPr>
          <w:i/>
          <w:iCs/>
        </w:rPr>
        <w:t>N/A</w:t>
      </w:r>
    </w:p>
    <w:p w14:paraId="04E86369" w14:textId="77777777" w:rsidR="005200B7" w:rsidRDefault="005200B7">
      <w:pPr>
        <w:rPr>
          <w:i/>
          <w:iCs/>
        </w:rPr>
      </w:pPr>
      <w:r w:rsidRPr="005200B7">
        <w:rPr>
          <w:i/>
          <w:iCs/>
        </w:rPr>
        <w:t xml:space="preserve">Question 5: Do you agree with the changes proposed to the existing mandatory and opt-in social indicators in Annex I, Table I and III (i.e. replacing the UN Global Compact Principles with the UN Guiding Principles and ILO Declaration on Fundamental Principles and Rights at Work) ? Do you have any additional suggestions for changes to other indicators not considered by the ESAs? </w:t>
      </w:r>
    </w:p>
    <w:p w14:paraId="16467DB6" w14:textId="77777777" w:rsidR="005200B7" w:rsidRDefault="005200B7" w:rsidP="005200B7">
      <w:pPr>
        <w:rPr>
          <w:i/>
          <w:iCs/>
        </w:rPr>
      </w:pPr>
      <w:r>
        <w:lastRenderedPageBreak/>
        <w:t xml:space="preserve">AAE Answer: </w:t>
      </w:r>
      <w:r>
        <w:rPr>
          <w:i/>
          <w:iCs/>
        </w:rPr>
        <w:t>N/A</w:t>
      </w:r>
    </w:p>
    <w:p w14:paraId="4215B826" w14:textId="77777777" w:rsidR="003C5C31" w:rsidRDefault="005200B7">
      <w:pPr>
        <w:rPr>
          <w:i/>
          <w:iCs/>
        </w:rPr>
      </w:pPr>
      <w:r w:rsidRPr="005200B7">
        <w:rPr>
          <w:i/>
          <w:iCs/>
        </w:rPr>
        <w:t xml:space="preserve">Question 6: For real estate assets, do you consider relevant to apply any PAI indicator related to social matters to the entity in charge of the management of the real estate assets the FMP invested in? </w:t>
      </w:r>
    </w:p>
    <w:p w14:paraId="627E243C" w14:textId="34B61C03" w:rsidR="003C5C31" w:rsidRDefault="00653F50">
      <w:pPr>
        <w:rPr>
          <w:i/>
          <w:iCs/>
        </w:rPr>
      </w:pPr>
      <w:r>
        <w:rPr>
          <w:i/>
          <w:iCs/>
        </w:rPr>
        <w:t>AAE answer: N/</w:t>
      </w:r>
    </w:p>
    <w:p w14:paraId="06E3A11B" w14:textId="77777777" w:rsidR="003C5C31" w:rsidRDefault="005200B7">
      <w:pPr>
        <w:rPr>
          <w:i/>
          <w:iCs/>
        </w:rPr>
      </w:pPr>
      <w:r w:rsidRPr="005200B7">
        <w:rPr>
          <w:i/>
          <w:iCs/>
        </w:rPr>
        <w:t xml:space="preserve">Question 7: For real estate assets, do you see any merit in adjusting the definition of PAI indicator 22 of Table 1 in order to align it with the EU Taxonomy criteria applicable to the DNSH of the climate change mitigation objective under the climate change adaptation objective? </w:t>
      </w:r>
    </w:p>
    <w:p w14:paraId="2691A1D0" w14:textId="3FC8E8D9" w:rsidR="00653F50" w:rsidRDefault="00653F50" w:rsidP="00653F50">
      <w:pPr>
        <w:rPr>
          <w:i/>
          <w:iCs/>
        </w:rPr>
      </w:pPr>
      <w:r>
        <w:rPr>
          <w:i/>
          <w:iCs/>
        </w:rPr>
        <w:t>AAE answer: N/A</w:t>
      </w:r>
    </w:p>
    <w:p w14:paraId="5D331707" w14:textId="77777777" w:rsidR="003C5C31" w:rsidRDefault="005200B7">
      <w:pPr>
        <w:rPr>
          <w:i/>
          <w:iCs/>
        </w:rPr>
      </w:pPr>
      <w:r w:rsidRPr="005200B7">
        <w:rPr>
          <w:i/>
          <w:iCs/>
        </w:rPr>
        <w:t xml:space="preserve">Question 8: Do you see any challenges in the interaction between the definition ‘enterprise value’ and ‘current value of investment’ for the calculation of the PAI indicators? </w:t>
      </w:r>
    </w:p>
    <w:p w14:paraId="0FD10258" w14:textId="4BCB1200" w:rsidR="003C5C31" w:rsidRDefault="00653F50">
      <w:pPr>
        <w:rPr>
          <w:i/>
          <w:iCs/>
        </w:rPr>
      </w:pPr>
      <w:r>
        <w:rPr>
          <w:i/>
          <w:iCs/>
        </w:rPr>
        <w:t xml:space="preserve">AAE answer: </w:t>
      </w:r>
      <w:r w:rsidR="00761A4C">
        <w:rPr>
          <w:i/>
          <w:iCs/>
        </w:rPr>
        <w:t>N/A</w:t>
      </w:r>
    </w:p>
    <w:p w14:paraId="057D2503" w14:textId="0C075192" w:rsidR="005200B7" w:rsidRPr="005200B7" w:rsidRDefault="005200B7">
      <w:pPr>
        <w:rPr>
          <w:i/>
          <w:iCs/>
          <w:lang w:val="en-GB"/>
        </w:rPr>
      </w:pPr>
      <w:r w:rsidRPr="005200B7">
        <w:rPr>
          <w:i/>
          <w:iCs/>
        </w:rPr>
        <w:t>Question 9: Do you have any comments or proposed adjustments to the new formulae suggested in Annex I?</w:t>
      </w:r>
    </w:p>
    <w:p w14:paraId="5F15C310" w14:textId="3B57EF61" w:rsidR="00433DA5" w:rsidRDefault="00843CFB">
      <w:pPr>
        <w:rPr>
          <w:i/>
          <w:iCs/>
        </w:rPr>
      </w:pPr>
      <w:r>
        <w:rPr>
          <w:lang w:val="en-GB"/>
        </w:rPr>
        <w:t xml:space="preserve"> </w:t>
      </w:r>
      <w:r w:rsidR="006769E8">
        <w:rPr>
          <w:i/>
          <w:iCs/>
        </w:rPr>
        <w:t>AAE answer:</w:t>
      </w:r>
      <w:r w:rsidR="00433DA5">
        <w:rPr>
          <w:i/>
          <w:iCs/>
        </w:rPr>
        <w:t xml:space="preserve"> </w:t>
      </w:r>
    </w:p>
    <w:p w14:paraId="692AF56F" w14:textId="75791E90" w:rsidR="00433DA5" w:rsidRPr="008A7E87" w:rsidRDefault="00174C9F">
      <w:r w:rsidRPr="008A7E87">
        <w:t>Formular (3)</w:t>
      </w:r>
      <w:r w:rsidR="00A05C94" w:rsidRPr="008A7E87">
        <w:t>,</w:t>
      </w:r>
      <w:r w:rsidRPr="008A7E87">
        <w:t xml:space="preserve"> seems to </w:t>
      </w:r>
      <w:r w:rsidR="006E07E9" w:rsidRPr="008A7E87">
        <w:t>be a weighted (</w:t>
      </w:r>
      <w:r w:rsidR="00377C4E" w:rsidRPr="008A7E87">
        <w:t>by investment share)</w:t>
      </w:r>
      <w:r w:rsidR="006E07E9" w:rsidRPr="008A7E87">
        <w:t xml:space="preserve"> average of ratios</w:t>
      </w:r>
      <w:r w:rsidR="00377C4E" w:rsidRPr="008A7E87">
        <w:t xml:space="preserve"> (emissions </w:t>
      </w:r>
      <w:r w:rsidR="008117BA" w:rsidRPr="008A7E87">
        <w:t xml:space="preserve">per revenue €). Depending on its use, </w:t>
      </w:r>
      <w:r w:rsidR="000422F7" w:rsidRPr="008A7E87">
        <w:t xml:space="preserve">such a construct </w:t>
      </w:r>
      <w:r w:rsidR="00DE46F6" w:rsidRPr="008A7E87">
        <w:t xml:space="preserve">has some potential to </w:t>
      </w:r>
      <w:r w:rsidR="000422F7" w:rsidRPr="008A7E87">
        <w:t xml:space="preserve">lead to misleading results. </w:t>
      </w:r>
      <w:r w:rsidR="00A05C94" w:rsidRPr="008A7E87">
        <w:t xml:space="preserve">  Similar for </w:t>
      </w:r>
      <w:r w:rsidR="0079031C" w:rsidRPr="008A7E87">
        <w:t>(6)</w:t>
      </w:r>
      <w:r w:rsidR="00A05D39" w:rsidRPr="008A7E87">
        <w:t>, (14)</w:t>
      </w:r>
      <w:r w:rsidR="00666E40" w:rsidRPr="008A7E87">
        <w:t>, (19)</w:t>
      </w:r>
      <w:r w:rsidR="008A7E87">
        <w:t xml:space="preserve">, </w:t>
      </w:r>
      <w:r w:rsidR="00FD7F20">
        <w:t>(28), (</w:t>
      </w:r>
      <w:r w:rsidR="001811EC">
        <w:t>29</w:t>
      </w:r>
      <w:r w:rsidR="00FD7F20">
        <w:t>)</w:t>
      </w:r>
      <w:r w:rsidR="004219E3">
        <w:t>, (44)</w:t>
      </w:r>
      <w:r w:rsidR="006357A5">
        <w:t>, (45)</w:t>
      </w:r>
      <w:r w:rsidR="00441337">
        <w:t>, (53)</w:t>
      </w:r>
      <w:r w:rsidR="008B54B6">
        <w:t xml:space="preserve">, (54),(55), </w:t>
      </w:r>
      <w:r w:rsidR="00BC6617">
        <w:t xml:space="preserve">and </w:t>
      </w:r>
      <w:r w:rsidR="008B54B6">
        <w:t>(57)</w:t>
      </w:r>
      <w:r w:rsidR="006E77E1" w:rsidRPr="008A7E87">
        <w:t>.</w:t>
      </w:r>
    </w:p>
    <w:p w14:paraId="23B794A6" w14:textId="369F8BD2" w:rsidR="006E77E1" w:rsidRPr="008A7E87" w:rsidRDefault="005773B8">
      <w:r w:rsidRPr="008A7E87">
        <w:t>Formular (13</w:t>
      </w:r>
      <w:r w:rsidR="00E75BD7" w:rsidRPr="008A7E87">
        <w:t>.1</w:t>
      </w:r>
      <w:r w:rsidRPr="008A7E87">
        <w:t xml:space="preserve">) </w:t>
      </w:r>
      <w:r w:rsidR="003C1B31" w:rsidRPr="008A7E87">
        <w:t>is</w:t>
      </w:r>
      <w:r w:rsidR="00311DF5" w:rsidRPr="008A7E87">
        <w:t xml:space="preserve"> clearly </w:t>
      </w:r>
      <w:r w:rsidR="00095FD6" w:rsidRPr="008A7E87">
        <w:t xml:space="preserve">floored.  Consider a </w:t>
      </w:r>
      <w:r w:rsidR="007D7857" w:rsidRPr="008A7E87">
        <w:t>company</w:t>
      </w:r>
      <w:r w:rsidR="00E34B0D" w:rsidRPr="008A7E87">
        <w:t xml:space="preserve"> i</w:t>
      </w:r>
      <w:r w:rsidR="007D7857" w:rsidRPr="008A7E87">
        <w:t xml:space="preserve"> </w:t>
      </w:r>
      <w:r w:rsidR="00E82B78" w:rsidRPr="008A7E87">
        <w:t xml:space="preserve">with 1 male earning 1000 </w:t>
      </w:r>
      <w:r w:rsidR="00D31C1C" w:rsidRPr="008A7E87">
        <w:t xml:space="preserve">and 1001 females earning 1 each.  The gender </w:t>
      </w:r>
      <w:r w:rsidR="00B36B5E" w:rsidRPr="008A7E87">
        <w:t>pay gap</w:t>
      </w:r>
      <w:r w:rsidR="00E34B0D" w:rsidRPr="008A7E87">
        <w:t xml:space="preserve"> in this company</w:t>
      </w:r>
      <w:r w:rsidR="00B36B5E" w:rsidRPr="008A7E87">
        <w:t xml:space="preserve"> </w:t>
      </w:r>
      <w:r w:rsidR="00026705">
        <w:t xml:space="preserve">i </w:t>
      </w:r>
      <w:r w:rsidR="00B36B5E" w:rsidRPr="008A7E87">
        <w:t>would be 0</w:t>
      </w:r>
      <w:r w:rsidR="00E34B0D" w:rsidRPr="008A7E87">
        <w:t xml:space="preserve">.  </w:t>
      </w:r>
      <w:r w:rsidR="00DA6C71" w:rsidRPr="008A7E87">
        <w:t>E</w:t>
      </w:r>
      <w:r w:rsidR="00006346" w:rsidRPr="008A7E87">
        <w:t xml:space="preserve">ven if </w:t>
      </w:r>
      <w:r w:rsidR="00AD3210" w:rsidRPr="008A7E87">
        <w:t>"</w:t>
      </w:r>
      <w:r w:rsidR="00006346" w:rsidRPr="008A7E87">
        <w:t>pay</w:t>
      </w:r>
      <w:r w:rsidR="00AD3210" w:rsidRPr="008A7E87">
        <w:t>"</w:t>
      </w:r>
      <w:r w:rsidR="00006346" w:rsidRPr="008A7E87">
        <w:t xml:space="preserve"> is an average </w:t>
      </w:r>
      <w:r w:rsidR="00AD3210" w:rsidRPr="008A7E87">
        <w:t xml:space="preserve">pay in this formular, </w:t>
      </w:r>
      <w:r w:rsidR="0093652F" w:rsidRPr="008A7E87">
        <w:t>a</w:t>
      </w:r>
      <w:r w:rsidR="009723DF" w:rsidRPr="008A7E87">
        <w:t xml:space="preserve"> normalization </w:t>
      </w:r>
      <w:r w:rsidR="005004F7" w:rsidRPr="008A7E87">
        <w:t>to</w:t>
      </w:r>
      <w:r w:rsidR="009723DF" w:rsidRPr="008A7E87">
        <w:t xml:space="preserve"> a 100% employment could make sense</w:t>
      </w:r>
      <w:r w:rsidR="00B20369" w:rsidRPr="008A7E87">
        <w:t>.  Else companies with</w:t>
      </w:r>
      <w:r w:rsidR="005004F7" w:rsidRPr="008A7E87">
        <w:t xml:space="preserve"> offering</w:t>
      </w:r>
      <w:r w:rsidR="00B20369" w:rsidRPr="008A7E87">
        <w:t xml:space="preserve"> liberal part-time </w:t>
      </w:r>
      <w:r w:rsidR="005004F7" w:rsidRPr="008A7E87">
        <w:t>arrangements</w:t>
      </w:r>
      <w:r w:rsidR="003C5014" w:rsidRPr="008A7E87">
        <w:t xml:space="preserve"> might end up showing a huge gender pay gap.  A</w:t>
      </w:r>
      <w:r w:rsidR="00C259DC" w:rsidRPr="008A7E87">
        <w:t xml:space="preserve">lso segregation </w:t>
      </w:r>
      <w:r w:rsidR="00875AC7" w:rsidRPr="008A7E87">
        <w:t>by "job-class" could be considered</w:t>
      </w:r>
      <w:r w:rsidR="000463E8">
        <w:t xml:space="preserve"> </w:t>
      </w:r>
      <w:r w:rsidR="00875AC7" w:rsidRPr="008A7E87">
        <w:t xml:space="preserve">if the target is </w:t>
      </w:r>
      <w:r w:rsidR="000463E8">
        <w:t xml:space="preserve">to measure </w:t>
      </w:r>
      <w:r w:rsidR="00875AC7" w:rsidRPr="008A7E87">
        <w:t>to what e</w:t>
      </w:r>
      <w:r w:rsidR="008A39A6" w:rsidRPr="008A7E87">
        <w:t>xtent the same work</w:t>
      </w:r>
      <w:r w:rsidR="00713237">
        <w:t>-same pay</w:t>
      </w:r>
      <w:r w:rsidR="00782ED7">
        <w:t xml:space="preserve"> rule is followed.</w:t>
      </w:r>
    </w:p>
    <w:p w14:paraId="1DB35CCF" w14:textId="4B8685AB" w:rsidR="008A39A6" w:rsidRPr="008A7E87" w:rsidRDefault="008A39A6">
      <w:r w:rsidRPr="008A7E87">
        <w:t xml:space="preserve">AAE would be </w:t>
      </w:r>
      <w:r w:rsidR="0094127B" w:rsidRPr="008A7E87">
        <w:t>delighted to discuss this further.</w:t>
      </w:r>
    </w:p>
    <w:p w14:paraId="6B285647" w14:textId="1140C7EB" w:rsidR="00433DA5" w:rsidRPr="00E4346A" w:rsidRDefault="00AD3401">
      <w:r w:rsidRPr="008A7E87">
        <w:t>In formula (26) "</w:t>
      </w:r>
      <w:r w:rsidRPr="00E4346A">
        <w:t xml:space="preserve"> </w:t>
      </w:r>
      <w:r w:rsidRPr="00E4346A">
        <w:rPr>
          <w:rFonts w:ascii="Cambria Math" w:hAnsi="Cambria Math" w:cs="Cambria Math"/>
        </w:rPr>
        <w:t>𝑜𝑧𝑜𝑛𝑒</w:t>
      </w:r>
      <w:r w:rsidRPr="00E4346A">
        <w:t xml:space="preserve"> – </w:t>
      </w:r>
      <w:r w:rsidRPr="00E4346A">
        <w:rPr>
          <w:rFonts w:ascii="Cambria Math" w:hAnsi="Cambria Math" w:cs="Cambria Math"/>
        </w:rPr>
        <w:t>𝑑𝑒𝑝𝑙𝑒𝑡𝑖𝑛𝑔</w:t>
      </w:r>
      <w:r w:rsidRPr="00E4346A">
        <w:t>" such be probably re</w:t>
      </w:r>
      <w:r w:rsidR="00473A4C" w:rsidRPr="00E4346A">
        <w:t>placed by "</w:t>
      </w:r>
      <w:r w:rsidR="00473A4C" w:rsidRPr="00E4346A">
        <w:rPr>
          <w:rFonts w:ascii="Cambria Math" w:hAnsi="Cambria Math" w:cs="Cambria Math"/>
        </w:rPr>
        <w:t>𝑜𝑧𝑜𝑛𝑒</w:t>
      </w:r>
      <w:r w:rsidR="00473A4C" w:rsidRPr="00E4346A">
        <w:t>-</w:t>
      </w:r>
      <w:r w:rsidR="00473A4C" w:rsidRPr="00E4346A">
        <w:rPr>
          <w:rFonts w:ascii="Cambria Math" w:hAnsi="Cambria Math" w:cs="Cambria Math"/>
        </w:rPr>
        <w:t>𝑑𝑒𝑝𝑙𝑒𝑡𝑖𝑛𝑔</w:t>
      </w:r>
      <w:r w:rsidR="00473A4C" w:rsidRPr="00E4346A">
        <w:t>"</w:t>
      </w:r>
      <w:r w:rsidR="008A7E87" w:rsidRPr="00E4346A">
        <w:t>.  Similar in formula</w:t>
      </w:r>
      <w:r w:rsidR="00782ED7">
        <w:t>e</w:t>
      </w:r>
      <w:r w:rsidR="008A7E87" w:rsidRPr="00E4346A">
        <w:t xml:space="preserve"> (28)</w:t>
      </w:r>
      <w:r w:rsidR="003D0F8E" w:rsidRPr="00E4346A">
        <w:t>, (48)</w:t>
      </w:r>
      <w:r w:rsidR="0052596A" w:rsidRPr="00E4346A">
        <w:t>, (68)</w:t>
      </w:r>
      <w:r w:rsidR="00782ED7">
        <w:t>.</w:t>
      </w:r>
    </w:p>
    <w:p w14:paraId="5EDD6F24" w14:textId="76AC762C" w:rsidR="007711B4" w:rsidRPr="00E4346A" w:rsidRDefault="007711B4">
      <w:r w:rsidRPr="00E4346A">
        <w:t xml:space="preserve">In (68) the second sum is </w:t>
      </w:r>
      <w:r w:rsidR="00BC6617" w:rsidRPr="00E4346A">
        <w:t>unclear.</w:t>
      </w:r>
    </w:p>
    <w:p w14:paraId="22348849" w14:textId="634D08B8" w:rsidR="00BC6617" w:rsidRPr="00E4346A" w:rsidRDefault="00597614">
      <w:r w:rsidRPr="00E4346A">
        <w:t>AAE offer</w:t>
      </w:r>
      <w:r w:rsidR="009A2234" w:rsidRPr="00E4346A">
        <w:t>s</w:t>
      </w:r>
      <w:r w:rsidRPr="00E4346A">
        <w:t xml:space="preserve"> its help in reviewing and testing these formulae. </w:t>
      </w:r>
    </w:p>
    <w:p w14:paraId="3E8399AF" w14:textId="77777777" w:rsidR="006769E8" w:rsidRDefault="006769E8">
      <w:pPr>
        <w:rPr>
          <w:i/>
          <w:iCs/>
        </w:rPr>
      </w:pPr>
      <w:r w:rsidRPr="006769E8">
        <w:rPr>
          <w:i/>
          <w:iCs/>
        </w:rPr>
        <w:t xml:space="preserve">Question 10: Do you have any comments on the further clarifications or technical changes to the current list of indicators? Did you encounter any issues in the calculation of the adverse impact for any of the other existing indicators in Annex I? </w:t>
      </w:r>
    </w:p>
    <w:p w14:paraId="26107C37" w14:textId="77777777" w:rsidR="00654630" w:rsidRPr="00E4346A" w:rsidRDefault="006769E8" w:rsidP="00654630">
      <w:r>
        <w:rPr>
          <w:i/>
          <w:iCs/>
        </w:rPr>
        <w:t>AAE answer</w:t>
      </w:r>
      <w:r w:rsidRPr="00E4346A">
        <w:t xml:space="preserve">: </w:t>
      </w:r>
      <w:r w:rsidR="00620DD2" w:rsidRPr="00E4346A">
        <w:t>The "non-</w:t>
      </w:r>
      <w:r w:rsidR="00E4346A" w:rsidRPr="00E4346A">
        <w:t>exhaustive</w:t>
      </w:r>
      <w:r w:rsidR="00E4346A">
        <w:t>"</w:t>
      </w:r>
      <w:r w:rsidR="00620DD2" w:rsidRPr="00E4346A">
        <w:t xml:space="preserve"> list seems to be related to some of the </w:t>
      </w:r>
      <w:r w:rsidR="00E4346A" w:rsidRPr="00E4346A">
        <w:t xml:space="preserve">remarks in our answer to Question 9. </w:t>
      </w:r>
      <w:r w:rsidR="00654630" w:rsidRPr="00E4346A">
        <w:t xml:space="preserve">AAE offers its help in reviewing and testing these formulae. </w:t>
      </w:r>
    </w:p>
    <w:p w14:paraId="2A1AF42A" w14:textId="77777777" w:rsidR="006769E8" w:rsidRDefault="006769E8">
      <w:pPr>
        <w:rPr>
          <w:i/>
          <w:iCs/>
        </w:rPr>
      </w:pPr>
    </w:p>
    <w:p w14:paraId="062AC647" w14:textId="77777777" w:rsidR="004D26A2" w:rsidRDefault="006769E8">
      <w:pPr>
        <w:rPr>
          <w:i/>
          <w:iCs/>
        </w:rPr>
      </w:pPr>
      <w:r w:rsidRPr="006769E8">
        <w:rPr>
          <w:i/>
          <w:iCs/>
        </w:rPr>
        <w:lastRenderedPageBreak/>
        <w:t xml:space="preserve">Question 11: Do you agree with the proposal to require the disclosure of the share of information for the PAI indicators for which the financial market participant relies on information directly from investee companies? </w:t>
      </w:r>
    </w:p>
    <w:p w14:paraId="7978B000" w14:textId="6DC70542" w:rsidR="0040418D" w:rsidRDefault="001F005D">
      <w:r>
        <w:rPr>
          <w:i/>
          <w:iCs/>
        </w:rPr>
        <w:t xml:space="preserve">AAE answer: </w:t>
      </w:r>
      <w:r w:rsidR="000B7A78">
        <w:t>N</w:t>
      </w:r>
      <w:r w:rsidR="008365C6">
        <w:t>/A</w:t>
      </w:r>
    </w:p>
    <w:p w14:paraId="101F6FA7" w14:textId="77777777" w:rsidR="004D26A2" w:rsidRDefault="006769E8">
      <w:pPr>
        <w:rPr>
          <w:i/>
          <w:iCs/>
        </w:rPr>
      </w:pPr>
      <w:r w:rsidRPr="006769E8">
        <w:rPr>
          <w:i/>
          <w:iCs/>
        </w:rPr>
        <w:t xml:space="preserve">Question 12: What is your view on the approach taken in this consultation paper to define ‘all investments’? What are the advantages and drawbacks you identify? Would a change in the approach adopted for the treatment of ‘all investments’ be necessary in your view? </w:t>
      </w:r>
    </w:p>
    <w:p w14:paraId="7CE60EE8" w14:textId="6857B135" w:rsidR="00C33E3A" w:rsidRPr="00C33E3A" w:rsidRDefault="001F005D" w:rsidP="009462DA">
      <w:r>
        <w:rPr>
          <w:i/>
          <w:iCs/>
        </w:rPr>
        <w:t xml:space="preserve">AAE answer: </w:t>
      </w:r>
      <w:r w:rsidR="009462DA">
        <w:t>Unit</w:t>
      </w:r>
      <w:r w:rsidR="004D0526">
        <w:t xml:space="preserve"> Linked insurance product</w:t>
      </w:r>
      <w:r w:rsidR="00372105">
        <w:t>s</w:t>
      </w:r>
      <w:r w:rsidR="004D0526">
        <w:t xml:space="preserve"> may require specific tr</w:t>
      </w:r>
      <w:r w:rsidR="003E4605">
        <w:t xml:space="preserve">eatment.  AAE would be delighted to discuss this further. </w:t>
      </w:r>
    </w:p>
    <w:p w14:paraId="4384EDC4" w14:textId="77777777" w:rsidR="004D26A2" w:rsidRDefault="006769E8">
      <w:pPr>
        <w:rPr>
          <w:i/>
          <w:iCs/>
        </w:rPr>
      </w:pPr>
      <w:r w:rsidRPr="006769E8">
        <w:rPr>
          <w:i/>
          <w:iCs/>
        </w:rPr>
        <w:t>Question 13: Do you agree with the ESAs’ proposal to only require the inclusion of information on investee companies’ value chains in the PAI calculations where the investee company reports them? If not, what would you propose as an alternative?</w:t>
      </w:r>
    </w:p>
    <w:p w14:paraId="109C1031" w14:textId="51D6F1F9" w:rsidR="00C33E3A" w:rsidRPr="00C33E3A" w:rsidRDefault="001F005D">
      <w:r>
        <w:rPr>
          <w:i/>
          <w:iCs/>
        </w:rPr>
        <w:t xml:space="preserve">AAE answer: </w:t>
      </w:r>
      <w:r w:rsidR="00E12983">
        <w:t>N/A</w:t>
      </w:r>
    </w:p>
    <w:p w14:paraId="4B304B56" w14:textId="77777777" w:rsidR="00C33E3A" w:rsidRDefault="006769E8">
      <w:pPr>
        <w:rPr>
          <w:i/>
          <w:iCs/>
        </w:rPr>
      </w:pPr>
      <w:r w:rsidRPr="006769E8">
        <w:rPr>
          <w:i/>
          <w:iCs/>
        </w:rPr>
        <w:t xml:space="preserve"> Question 14: Do you agree with the proposed treatment of derivatives in the PAI </w:t>
      </w:r>
      <w:proofErr w:type="gramStart"/>
      <w:r w:rsidRPr="006769E8">
        <w:rPr>
          <w:i/>
          <w:iCs/>
        </w:rPr>
        <w:t>indicators</w:t>
      </w:r>
      <w:proofErr w:type="gramEnd"/>
      <w:r w:rsidRPr="006769E8">
        <w:rPr>
          <w:i/>
          <w:iCs/>
        </w:rPr>
        <w:t xml:space="preserve"> or would you suggest any other method?</w:t>
      </w:r>
    </w:p>
    <w:p w14:paraId="6CEC4A57" w14:textId="48623DFC" w:rsidR="00C33E3A" w:rsidRPr="00FB26CE" w:rsidRDefault="001F005D">
      <w:r w:rsidRPr="00FB26CE">
        <w:t xml:space="preserve">AAE answer: </w:t>
      </w:r>
      <w:r w:rsidR="00C33E3A" w:rsidRPr="00FB26CE">
        <w:t>N/A</w:t>
      </w:r>
    </w:p>
    <w:p w14:paraId="163EF442" w14:textId="77777777" w:rsidR="00C33E3A" w:rsidRDefault="006769E8">
      <w:pPr>
        <w:rPr>
          <w:i/>
          <w:iCs/>
        </w:rPr>
      </w:pPr>
      <w:r w:rsidRPr="006769E8">
        <w:rPr>
          <w:i/>
          <w:iCs/>
        </w:rPr>
        <w:t xml:space="preserve"> Question 15: What are your views with regard to the treatment of derivatives in general (Taxonomyalignment, share of sustainable investments and PAI calculations)? Should the netting provision of Article 17(1)(g) be applied to sustainable investment calculations?</w:t>
      </w:r>
    </w:p>
    <w:p w14:paraId="499C6AD5" w14:textId="67B96389" w:rsidR="00C33E3A" w:rsidRDefault="001F005D">
      <w:r>
        <w:rPr>
          <w:i/>
          <w:iCs/>
        </w:rPr>
        <w:t xml:space="preserve">AAE answer: </w:t>
      </w:r>
      <w:r w:rsidR="00C33E3A" w:rsidRPr="00C33E3A">
        <w:t>This is complex question</w:t>
      </w:r>
      <w:r w:rsidR="00211204">
        <w:t xml:space="preserve">. </w:t>
      </w:r>
      <w:r w:rsidR="005B4945">
        <w:t>In insurance</w:t>
      </w:r>
      <w:r w:rsidR="00E3305B">
        <w:t>,</w:t>
      </w:r>
      <w:r w:rsidR="005B4945">
        <w:t xml:space="preserve"> derivatives are often used for</w:t>
      </w:r>
      <w:r w:rsidR="00E3305B">
        <w:t xml:space="preserve"> risk management purposes, or to match</w:t>
      </w:r>
      <w:r w:rsidR="00A56DD9">
        <w:t xml:space="preserve"> cashflows of insurance products better.  This is clearly different from investment</w:t>
      </w:r>
      <w:r w:rsidR="00485A36">
        <w:t xml:space="preserve">.   We currently </w:t>
      </w:r>
      <w:r w:rsidR="00751B17">
        <w:t xml:space="preserve">could not appreciate all implication </w:t>
      </w:r>
      <w:r w:rsidR="00AD2D00">
        <w:t>of the netting provision.</w:t>
      </w:r>
    </w:p>
    <w:p w14:paraId="61319459" w14:textId="77777777" w:rsidR="001F005D" w:rsidRPr="00C33E3A" w:rsidRDefault="001F005D"/>
    <w:p w14:paraId="43817D52" w14:textId="2ABD5390" w:rsidR="001F005D" w:rsidRDefault="006769E8">
      <w:pPr>
        <w:rPr>
          <w:i/>
          <w:iCs/>
        </w:rPr>
      </w:pPr>
      <w:r w:rsidRPr="006769E8">
        <w:rPr>
          <w:i/>
          <w:iCs/>
        </w:rPr>
        <w:t xml:space="preserve">Question 16: Do you see the need to extend the scope of the provisions of point g of paragraph 1 of Article 17 of the SFDR Delegated Regulation to asset classes other than equity and sovereign exposures? </w:t>
      </w:r>
    </w:p>
    <w:p w14:paraId="614B6C94" w14:textId="15F5BEB9" w:rsidR="001F005D" w:rsidRPr="00FB26CE" w:rsidRDefault="001F005D">
      <w:r w:rsidRPr="00FB26CE">
        <w:t xml:space="preserve">AAE answer: </w:t>
      </w:r>
      <w:r w:rsidR="004840BF">
        <w:t>N/A</w:t>
      </w:r>
    </w:p>
    <w:p w14:paraId="49D4D24B" w14:textId="77777777" w:rsidR="001F005D" w:rsidRDefault="006769E8">
      <w:pPr>
        <w:rPr>
          <w:i/>
          <w:iCs/>
        </w:rPr>
      </w:pPr>
      <w:r w:rsidRPr="006769E8">
        <w:rPr>
          <w:i/>
          <w:iCs/>
        </w:rPr>
        <w:t>Question 17: Do you agree with the ESAs’ assessment of the DNSH framework under SFDR?</w:t>
      </w:r>
    </w:p>
    <w:p w14:paraId="694743F4" w14:textId="77777777" w:rsidR="00FB26CE" w:rsidRDefault="00FB26CE" w:rsidP="00FB26CE">
      <w:pPr>
        <w:rPr>
          <w:i/>
          <w:iCs/>
        </w:rPr>
      </w:pPr>
      <w:r>
        <w:rPr>
          <w:i/>
          <w:iCs/>
        </w:rPr>
        <w:t>AAE answer: N/A</w:t>
      </w:r>
    </w:p>
    <w:p w14:paraId="6B6827A7" w14:textId="77777777" w:rsidR="001F005D" w:rsidRDefault="006769E8">
      <w:pPr>
        <w:rPr>
          <w:i/>
          <w:iCs/>
        </w:rPr>
      </w:pPr>
      <w:r w:rsidRPr="006769E8">
        <w:rPr>
          <w:i/>
          <w:iCs/>
        </w:rPr>
        <w:t xml:space="preserve"> Question 18: </w:t>
      </w:r>
      <w:proofErr w:type="gramStart"/>
      <w:r w:rsidRPr="006769E8">
        <w:rPr>
          <w:i/>
          <w:iCs/>
        </w:rPr>
        <w:t>With regard to</w:t>
      </w:r>
      <w:proofErr w:type="gramEnd"/>
      <w:r w:rsidRPr="006769E8">
        <w:rPr>
          <w:i/>
          <w:iCs/>
        </w:rPr>
        <w:t xml:space="preserve"> the DNSH disclosures in the SFDR Delegated Regulation, do you consider it relevant to make disclosures about the quantitative thresholds FMPs use to take into account the PAI indicators for DNSH purposes mandatory? Please explain your reasoning. </w:t>
      </w:r>
    </w:p>
    <w:p w14:paraId="6A8062DD" w14:textId="7B9B98B8" w:rsidR="001F005D" w:rsidRDefault="001F005D">
      <w:pPr>
        <w:rPr>
          <w:i/>
          <w:iCs/>
        </w:rPr>
      </w:pPr>
      <w:r>
        <w:rPr>
          <w:i/>
          <w:iCs/>
        </w:rPr>
        <w:t>AAE answer: N/A</w:t>
      </w:r>
    </w:p>
    <w:p w14:paraId="4892D44B" w14:textId="77777777" w:rsidR="00FB26CE" w:rsidRDefault="006769E8">
      <w:pPr>
        <w:rPr>
          <w:i/>
          <w:iCs/>
        </w:rPr>
      </w:pPr>
      <w:r w:rsidRPr="006769E8">
        <w:rPr>
          <w:i/>
          <w:iCs/>
        </w:rPr>
        <w:t xml:space="preserve">Question 19: Do you support the introduction of an optional “safe </w:t>
      </w:r>
      <w:proofErr w:type="spellStart"/>
      <w:r w:rsidRPr="006769E8">
        <w:rPr>
          <w:i/>
          <w:iCs/>
        </w:rPr>
        <w:t>harbour</w:t>
      </w:r>
      <w:proofErr w:type="spellEnd"/>
      <w:r w:rsidRPr="006769E8">
        <w:rPr>
          <w:i/>
          <w:iCs/>
        </w:rPr>
        <w:t xml:space="preserve">” for environmental DNSH for taxonomy-aligned activities? Please explain your reasoning. </w:t>
      </w:r>
    </w:p>
    <w:p w14:paraId="6602416C" w14:textId="77777777" w:rsidR="00FB26CE" w:rsidRPr="00FB26CE" w:rsidRDefault="00FB26CE" w:rsidP="00FB26CE">
      <w:r w:rsidRPr="00FB26CE">
        <w:lastRenderedPageBreak/>
        <w:t>AAE answer: N/A</w:t>
      </w:r>
    </w:p>
    <w:p w14:paraId="5CC602C3" w14:textId="43E717CA" w:rsidR="006769E8" w:rsidRDefault="006769E8">
      <w:pPr>
        <w:rPr>
          <w:i/>
          <w:iCs/>
        </w:rPr>
      </w:pPr>
      <w:r w:rsidRPr="006769E8">
        <w:rPr>
          <w:i/>
          <w:iCs/>
        </w:rPr>
        <w:t xml:space="preserve">Question 20: Do you agree with the </w:t>
      </w:r>
      <w:proofErr w:type="gramStart"/>
      <w:r w:rsidRPr="006769E8">
        <w:rPr>
          <w:i/>
          <w:iCs/>
        </w:rPr>
        <w:t>longer term</w:t>
      </w:r>
      <w:proofErr w:type="gramEnd"/>
      <w:r w:rsidRPr="006769E8">
        <w:rPr>
          <w:i/>
          <w:iCs/>
        </w:rPr>
        <w:t xml:space="preserve"> view of the ESAs that if two parallel concepts of sustainability are retained that the Taxonomy TSCs should form the basis of DNSH assessments? Please explain your reasoning</w:t>
      </w:r>
    </w:p>
    <w:p w14:paraId="14DE559D" w14:textId="77777777" w:rsidR="00FB26CE" w:rsidRDefault="00FB26CE" w:rsidP="00FB26CE">
      <w:pPr>
        <w:rPr>
          <w:i/>
          <w:iCs/>
        </w:rPr>
      </w:pPr>
      <w:r>
        <w:rPr>
          <w:i/>
          <w:iCs/>
        </w:rPr>
        <w:t>AAE answer: N/A</w:t>
      </w:r>
    </w:p>
    <w:p w14:paraId="060B0CA1" w14:textId="77777777" w:rsidR="00FB26CE" w:rsidRDefault="00FB26CE">
      <w:pPr>
        <w:rPr>
          <w:i/>
          <w:iCs/>
        </w:rPr>
      </w:pPr>
      <w:r w:rsidRPr="00FB26CE">
        <w:rPr>
          <w:i/>
          <w:iCs/>
        </w:rPr>
        <w:t xml:space="preserve">Question 21: Are there other options for the SFDR Delegated Regulation DNSH disclosures to reduce the risk of greenwashing and increase comparability? </w:t>
      </w:r>
    </w:p>
    <w:p w14:paraId="6D83055F" w14:textId="77777777" w:rsidR="00FB26CE" w:rsidRDefault="00FB26CE" w:rsidP="00FB26CE">
      <w:pPr>
        <w:rPr>
          <w:i/>
          <w:iCs/>
        </w:rPr>
      </w:pPr>
      <w:r>
        <w:rPr>
          <w:i/>
          <w:iCs/>
        </w:rPr>
        <w:t>AAE answer: N/A</w:t>
      </w:r>
    </w:p>
    <w:p w14:paraId="7ACC90DD" w14:textId="7BEB1ED7" w:rsidR="00FB26CE" w:rsidRDefault="00FB26CE">
      <w:pPr>
        <w:rPr>
          <w:i/>
          <w:iCs/>
        </w:rPr>
      </w:pPr>
      <w:r w:rsidRPr="00FB26CE">
        <w:rPr>
          <w:i/>
          <w:iCs/>
        </w:rPr>
        <w:t>Question 22: Do you agree that the proposed disclosures strike the right balance between the need for clear, reliable, decision-useful information for investors and the need to keep requirements feasible and proportional for FMPs? Please explain your answers.</w:t>
      </w:r>
    </w:p>
    <w:p w14:paraId="1D4AD68F" w14:textId="77777777" w:rsidR="00FB26CE" w:rsidRDefault="00FB26CE" w:rsidP="00FB26CE">
      <w:pPr>
        <w:rPr>
          <w:i/>
          <w:iCs/>
        </w:rPr>
      </w:pPr>
      <w:r>
        <w:rPr>
          <w:i/>
          <w:iCs/>
        </w:rPr>
        <w:t>AAE answer: N/A</w:t>
      </w:r>
    </w:p>
    <w:p w14:paraId="6DCA2F69" w14:textId="77777777" w:rsidR="00FB26CE" w:rsidRDefault="00FB26CE">
      <w:pPr>
        <w:rPr>
          <w:i/>
          <w:iCs/>
        </w:rPr>
      </w:pPr>
      <w:r w:rsidRPr="00FB26CE">
        <w:rPr>
          <w:i/>
          <w:iCs/>
        </w:rPr>
        <w:t xml:space="preserve">Question 23: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4F1F1EFF" w14:textId="77777777" w:rsidR="00FB26CE" w:rsidRDefault="00FB26CE" w:rsidP="00FB26CE">
      <w:pPr>
        <w:rPr>
          <w:i/>
          <w:iCs/>
        </w:rPr>
      </w:pPr>
      <w:r>
        <w:rPr>
          <w:i/>
          <w:iCs/>
        </w:rPr>
        <w:t>AAE answer: N/A</w:t>
      </w:r>
    </w:p>
    <w:p w14:paraId="4A418884" w14:textId="77777777" w:rsidR="00FB26CE" w:rsidRDefault="00FB26CE">
      <w:pPr>
        <w:rPr>
          <w:i/>
          <w:iCs/>
        </w:rPr>
      </w:pPr>
    </w:p>
    <w:p w14:paraId="41FE39D7" w14:textId="77777777" w:rsidR="00FB26CE" w:rsidRDefault="00FB26CE">
      <w:pPr>
        <w:rPr>
          <w:i/>
          <w:iCs/>
        </w:rPr>
      </w:pPr>
      <w:r w:rsidRPr="00FB26CE">
        <w:rPr>
          <w:i/>
          <w:iCs/>
        </w:rPr>
        <w:t xml:space="preserve">Question 24: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 </w:t>
      </w:r>
    </w:p>
    <w:p w14:paraId="2354485A" w14:textId="17FDFEF7" w:rsidR="00FB26CE" w:rsidRPr="00FB26CE" w:rsidRDefault="00FB26CE" w:rsidP="00FB26CE">
      <w:r>
        <w:rPr>
          <w:i/>
          <w:iCs/>
        </w:rPr>
        <w:t xml:space="preserve">AAE answer: </w:t>
      </w:r>
      <w:r w:rsidR="001B5F53">
        <w:t xml:space="preserve">It </w:t>
      </w:r>
      <w:r w:rsidR="00827E8E">
        <w:t>may be</w:t>
      </w:r>
      <w:r w:rsidRPr="00FB26CE">
        <w:t xml:space="preserve"> useful to differentiate between the product level commitment and the  company’s’ commitment</w:t>
      </w:r>
      <w:r>
        <w:t>.</w:t>
      </w:r>
    </w:p>
    <w:p w14:paraId="64DC51B2" w14:textId="77777777" w:rsidR="00FB26CE" w:rsidRDefault="00FB26CE">
      <w:pPr>
        <w:rPr>
          <w:i/>
          <w:iCs/>
        </w:rPr>
      </w:pPr>
      <w:r w:rsidRPr="00FB26CE">
        <w:rPr>
          <w:i/>
          <w:iCs/>
        </w:rPr>
        <w:t>Question 25: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w:t>
      </w:r>
    </w:p>
    <w:p w14:paraId="0CBA2B52" w14:textId="77777777" w:rsidR="00FB26CE" w:rsidRDefault="00FB26CE" w:rsidP="00FB26CE">
      <w:pPr>
        <w:rPr>
          <w:i/>
          <w:iCs/>
        </w:rPr>
      </w:pPr>
      <w:r>
        <w:rPr>
          <w:i/>
          <w:iCs/>
        </w:rPr>
        <w:t>AAE answer: N/A</w:t>
      </w:r>
    </w:p>
    <w:p w14:paraId="304A0FDB" w14:textId="062B035B" w:rsidR="00FB26CE" w:rsidRDefault="00FB26CE">
      <w:pPr>
        <w:rPr>
          <w:i/>
          <w:iCs/>
        </w:rPr>
      </w:pPr>
      <w:r w:rsidRPr="00FB26CE">
        <w:rPr>
          <w:i/>
          <w:iCs/>
        </w:rPr>
        <w:t xml:space="preserve">Question 26: Do you agree with the proposed approach to require that the target is calculated </w:t>
      </w:r>
      <w:proofErr w:type="gramStart"/>
      <w:r w:rsidRPr="00FB26CE">
        <w:rPr>
          <w:i/>
          <w:iCs/>
        </w:rPr>
        <w:t>on the basis of</w:t>
      </w:r>
      <w:proofErr w:type="gramEnd"/>
      <w:r w:rsidRPr="00FB26CE">
        <w:rPr>
          <w:i/>
          <w:iCs/>
        </w:rPr>
        <w:t xml:space="preserve"> all investments of the financial product? Please explain your answer. </w:t>
      </w:r>
    </w:p>
    <w:p w14:paraId="3E6B8214" w14:textId="77777777" w:rsidR="00FB26CE" w:rsidRDefault="00FB26CE" w:rsidP="00FB26CE">
      <w:pPr>
        <w:rPr>
          <w:i/>
          <w:iCs/>
        </w:rPr>
      </w:pPr>
      <w:r>
        <w:rPr>
          <w:i/>
          <w:iCs/>
        </w:rPr>
        <w:t>AAE answer: N/A</w:t>
      </w:r>
    </w:p>
    <w:p w14:paraId="083758C9" w14:textId="77777777" w:rsidR="00FB26CE" w:rsidRDefault="00FB26CE">
      <w:pPr>
        <w:rPr>
          <w:i/>
          <w:iCs/>
        </w:rPr>
      </w:pPr>
      <w:r w:rsidRPr="00FB26CE">
        <w:rPr>
          <w:i/>
          <w:iCs/>
        </w:rPr>
        <w:lastRenderedPageBreak/>
        <w:t xml:space="preserve">Question 27: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5632E987" w14:textId="77777777" w:rsidR="00FB26CE" w:rsidRDefault="00FB26CE" w:rsidP="00FB26CE">
      <w:pPr>
        <w:rPr>
          <w:i/>
          <w:iCs/>
        </w:rPr>
      </w:pPr>
      <w:r>
        <w:rPr>
          <w:i/>
          <w:iCs/>
        </w:rPr>
        <w:t>AAE answer: N/A</w:t>
      </w:r>
    </w:p>
    <w:p w14:paraId="4C183DE1" w14:textId="77777777" w:rsidR="00FB26CE" w:rsidRDefault="00FB26CE">
      <w:pPr>
        <w:rPr>
          <w:i/>
          <w:iCs/>
        </w:rPr>
      </w:pPr>
      <w:r w:rsidRPr="00FB26CE">
        <w:rPr>
          <w:i/>
          <w:iCs/>
        </w:rPr>
        <w:t xml:space="preserve">Question 28: Do you agree with the approach taken to removals and the use of carbon credits and the alignment the ESAs have sought to achieve with the EFRAG Draft ESRS E1? Please explain your answer. </w:t>
      </w:r>
    </w:p>
    <w:p w14:paraId="6BB57FB4" w14:textId="23496D41" w:rsidR="00FB26CE" w:rsidRDefault="00FB26CE" w:rsidP="00FB26CE">
      <w:pPr>
        <w:rPr>
          <w:i/>
          <w:iCs/>
        </w:rPr>
      </w:pPr>
      <w:r>
        <w:rPr>
          <w:i/>
          <w:iCs/>
        </w:rPr>
        <w:t xml:space="preserve">AAE answer: </w:t>
      </w:r>
      <w:r w:rsidR="00C02095">
        <w:t>N/A</w:t>
      </w:r>
    </w:p>
    <w:p w14:paraId="002DF4BC" w14:textId="77777777" w:rsidR="00FB26CE" w:rsidRDefault="00FB26CE">
      <w:pPr>
        <w:rPr>
          <w:i/>
          <w:iCs/>
        </w:rPr>
      </w:pPr>
      <w:r w:rsidRPr="00FB26CE">
        <w:rPr>
          <w:i/>
          <w:iCs/>
        </w:rPr>
        <w:t xml:space="preserve">Question 29: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 </w:t>
      </w:r>
    </w:p>
    <w:p w14:paraId="3914A777" w14:textId="77777777" w:rsidR="005B7E59" w:rsidRDefault="005B7E59" w:rsidP="005B7E59">
      <w:r>
        <w:rPr>
          <w:i/>
          <w:iCs/>
        </w:rPr>
        <w:t>AAE</w:t>
      </w:r>
      <w:r w:rsidRPr="00857B41">
        <w:rPr>
          <w:i/>
          <w:iCs/>
        </w:rPr>
        <w:t xml:space="preserve"> answer: </w:t>
      </w:r>
      <w:r w:rsidRPr="00857B41">
        <w:t>N/A</w:t>
      </w:r>
    </w:p>
    <w:p w14:paraId="6B970FED" w14:textId="36547747" w:rsidR="00FB26CE" w:rsidRDefault="00FB26CE">
      <w:pPr>
        <w:rPr>
          <w:i/>
          <w:iCs/>
        </w:rPr>
      </w:pPr>
      <w:r w:rsidRPr="00FB26CE">
        <w:rPr>
          <w:i/>
          <w:iCs/>
        </w:rPr>
        <w:t>Question 30: What are your views on the inclusion of a dashboard at the top of Annexes II-V of the SFDR Delegated Regulation as summary of the key information to complement the more detailed information in the pre-contractual and periodic disclosures ? Does it serve the purpose of helping consumers and less experienced retail investors understand the essential information in a simpler and more visual way?</w:t>
      </w:r>
    </w:p>
    <w:p w14:paraId="78E5981F" w14:textId="1C2E3ED8" w:rsidR="00A647A3" w:rsidRDefault="005B7E59">
      <w:r>
        <w:rPr>
          <w:i/>
          <w:iCs/>
        </w:rPr>
        <w:t>AAE</w:t>
      </w:r>
      <w:r w:rsidR="00A647A3" w:rsidRPr="00857B41">
        <w:rPr>
          <w:i/>
          <w:iCs/>
        </w:rPr>
        <w:t xml:space="preserve"> answer: </w:t>
      </w:r>
      <w:r w:rsidR="009D54DC" w:rsidRPr="00B92FC8">
        <w:t>D</w:t>
      </w:r>
      <w:r w:rsidR="0095545D">
        <w:t xml:space="preserve">ashboards, </w:t>
      </w:r>
      <w:r w:rsidR="007E5FDD">
        <w:t>pictogram</w:t>
      </w:r>
      <w:r w:rsidR="00B92FC8">
        <w:t>s</w:t>
      </w:r>
      <w:r w:rsidR="007E5FDD">
        <w:t xml:space="preserve"> and schematic are </w:t>
      </w:r>
      <w:r w:rsidR="009D54DC">
        <w:t xml:space="preserve">often </w:t>
      </w:r>
      <w:r w:rsidR="007E5FDD">
        <w:t xml:space="preserve">easier to </w:t>
      </w:r>
      <w:r w:rsidR="004F2EB9">
        <w:t>understand,</w:t>
      </w:r>
      <w:r w:rsidR="007E5FDD">
        <w:t xml:space="preserve"> and </w:t>
      </w:r>
      <w:r w:rsidR="0095545D">
        <w:t>the key summary</w:t>
      </w:r>
      <w:r w:rsidR="007E5FDD">
        <w:t xml:space="preserve"> information shall be stated at beginning.</w:t>
      </w:r>
      <w:r w:rsidR="0095545D">
        <w:t xml:space="preserve"> It</w:t>
      </w:r>
      <w:r w:rsidR="00D61480">
        <w:t>s</w:t>
      </w:r>
      <w:r w:rsidR="004F2EB9">
        <w:t xml:space="preserve"> use should be judged </w:t>
      </w:r>
      <w:r w:rsidR="00A0659E">
        <w:t>by the</w:t>
      </w:r>
      <w:r w:rsidR="0095545D">
        <w:t xml:space="preserve"> help </w:t>
      </w:r>
      <w:r w:rsidR="00A0659E">
        <w:t>it provide</w:t>
      </w:r>
      <w:r w:rsidR="00A76DE8">
        <w:t>d to users</w:t>
      </w:r>
      <w:r w:rsidR="00D61480">
        <w:t>/consumers</w:t>
      </w:r>
      <w:r w:rsidR="00A76DE8">
        <w:t xml:space="preserve"> to </w:t>
      </w:r>
      <w:r w:rsidR="0095545D">
        <w:t>better understand</w:t>
      </w:r>
      <w:r w:rsidR="00A76DE8">
        <w:t>.</w:t>
      </w:r>
    </w:p>
    <w:p w14:paraId="220654FA" w14:textId="77777777" w:rsidR="00A647A3" w:rsidRDefault="00A647A3"/>
    <w:p w14:paraId="093A2C7F" w14:textId="25739DA8" w:rsidR="00A647A3" w:rsidRDefault="00A647A3">
      <w:pPr>
        <w:rPr>
          <w:i/>
          <w:iCs/>
        </w:rPr>
      </w:pPr>
      <w:r w:rsidRPr="00A647A3">
        <w:rPr>
          <w:i/>
          <w:iCs/>
        </w:rPr>
        <w:t>Question 31: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1E8312C4" w14:textId="77777777" w:rsidR="00857B41" w:rsidRDefault="00857B41" w:rsidP="00857B41">
      <w:r w:rsidRPr="00A647A3">
        <w:rPr>
          <w:i/>
          <w:iCs/>
        </w:rPr>
        <w:t xml:space="preserve">AAE answer: </w:t>
      </w:r>
      <w:r>
        <w:t>N/A</w:t>
      </w:r>
    </w:p>
    <w:p w14:paraId="31452BD2" w14:textId="77777777" w:rsidR="00A647A3" w:rsidRDefault="00A647A3">
      <w:pPr>
        <w:rPr>
          <w:i/>
          <w:iCs/>
        </w:rPr>
      </w:pPr>
      <w:r w:rsidRPr="00A647A3">
        <w:rPr>
          <w:i/>
          <w:iCs/>
        </w:rPr>
        <w:t xml:space="preserve"> Question 32: Do you have any suggestion on how to further simplify or enhance the legibility of the current templates? </w:t>
      </w:r>
    </w:p>
    <w:p w14:paraId="62D98197" w14:textId="77777777" w:rsidR="00857B41" w:rsidRDefault="00857B41" w:rsidP="00857B41">
      <w:r w:rsidRPr="00A647A3">
        <w:rPr>
          <w:i/>
          <w:iCs/>
        </w:rPr>
        <w:t xml:space="preserve">AAE answer: </w:t>
      </w:r>
      <w:r>
        <w:t>N/A</w:t>
      </w:r>
    </w:p>
    <w:p w14:paraId="6A67760A" w14:textId="77777777" w:rsidR="00857B41" w:rsidRDefault="00A647A3">
      <w:pPr>
        <w:rPr>
          <w:i/>
          <w:iCs/>
        </w:rPr>
      </w:pPr>
      <w:r w:rsidRPr="00A647A3">
        <w:rPr>
          <w:i/>
          <w:iCs/>
        </w:rPr>
        <w:t>Question 33: Is the investment tree in the asset allocation section necessary if the dashboard shows the proportion of sustainable and taxonomy-aligned investments?</w:t>
      </w:r>
    </w:p>
    <w:p w14:paraId="1E285E23" w14:textId="77777777" w:rsidR="00857B41" w:rsidRDefault="00857B41" w:rsidP="00857B41">
      <w:r w:rsidRPr="00A647A3">
        <w:rPr>
          <w:i/>
          <w:iCs/>
        </w:rPr>
        <w:t xml:space="preserve">AAE answer: </w:t>
      </w:r>
      <w:r>
        <w:t>N/A</w:t>
      </w:r>
    </w:p>
    <w:p w14:paraId="6361E4BE" w14:textId="174303A3" w:rsidR="00A647A3" w:rsidRDefault="00A647A3">
      <w:pPr>
        <w:rPr>
          <w:i/>
          <w:iCs/>
        </w:rPr>
      </w:pPr>
      <w:r w:rsidRPr="00A647A3">
        <w:rPr>
          <w:i/>
          <w:iCs/>
        </w:rPr>
        <w:t xml:space="preserve"> Question 34: Do you agree with this approach of ensuring consistency in the use of </w:t>
      </w:r>
      <w:proofErr w:type="spellStart"/>
      <w:r w:rsidRPr="00A647A3">
        <w:rPr>
          <w:i/>
          <w:iCs/>
        </w:rPr>
        <w:t>colours</w:t>
      </w:r>
      <w:proofErr w:type="spellEnd"/>
      <w:r w:rsidRPr="00A647A3">
        <w:rPr>
          <w:i/>
          <w:iCs/>
        </w:rPr>
        <w:t xml:space="preserve"> in Annex II to V in the templates?</w:t>
      </w:r>
    </w:p>
    <w:p w14:paraId="6996B5C2" w14:textId="5FC0F174" w:rsidR="00857B41" w:rsidRDefault="00857B41" w:rsidP="00857B41">
      <w:r w:rsidRPr="00A647A3">
        <w:rPr>
          <w:i/>
          <w:iCs/>
        </w:rPr>
        <w:lastRenderedPageBreak/>
        <w:t xml:space="preserve">AAE answer: </w:t>
      </w:r>
      <w:r w:rsidR="008D0E73" w:rsidRPr="008D0E73">
        <w:t xml:space="preserve">Consistency is usually </w:t>
      </w:r>
      <w:r w:rsidR="008D0E73">
        <w:t>beneficia</w:t>
      </w:r>
      <w:r w:rsidR="006C6B39">
        <w:t xml:space="preserve"> to avoid misunderstanding</w:t>
      </w:r>
      <w:r w:rsidR="00BB0AAE">
        <w:t>. We see no objections to full</w:t>
      </w:r>
      <w:r w:rsidR="007E5FDD">
        <w:t xml:space="preserve"> </w:t>
      </w:r>
      <w:r w:rsidR="003D16EC">
        <w:t>harmonization if</w:t>
      </w:r>
      <w:r w:rsidR="004209AD">
        <w:t xml:space="preserve"> </w:t>
      </w:r>
      <w:r w:rsidR="007E5FDD">
        <w:t xml:space="preserve">the rules </w:t>
      </w:r>
      <w:r w:rsidR="004209AD">
        <w:t>are</w:t>
      </w:r>
      <w:r w:rsidR="007E5FDD">
        <w:t xml:space="preserve"> clearly defined. </w:t>
      </w:r>
    </w:p>
    <w:p w14:paraId="70062EA4" w14:textId="38385000" w:rsidR="00A647A3" w:rsidRDefault="00A647A3">
      <w:pPr>
        <w:rPr>
          <w:i/>
          <w:iCs/>
        </w:rPr>
      </w:pPr>
      <w:r w:rsidRPr="00A647A3">
        <w:rPr>
          <w:i/>
          <w:iCs/>
        </w:rPr>
        <w:t xml:space="preserve"> Question 35: Do you agree with the approach to allow to display the pre-contractual and periodic disclosures in an extendable manner electronically? </w:t>
      </w:r>
    </w:p>
    <w:p w14:paraId="20789322" w14:textId="77777777" w:rsidR="007E5FDD" w:rsidRDefault="007E5FDD" w:rsidP="007E5FDD">
      <w:r w:rsidRPr="00A647A3">
        <w:rPr>
          <w:i/>
          <w:iCs/>
        </w:rPr>
        <w:t xml:space="preserve">AAE answer: </w:t>
      </w:r>
      <w:r>
        <w:t>N/A</w:t>
      </w:r>
    </w:p>
    <w:p w14:paraId="34008322" w14:textId="77777777" w:rsidR="00A647A3" w:rsidRDefault="00A647A3">
      <w:pPr>
        <w:rPr>
          <w:i/>
          <w:iCs/>
        </w:rPr>
      </w:pPr>
      <w:r w:rsidRPr="00A647A3">
        <w:rPr>
          <w:i/>
          <w:iCs/>
        </w:rPr>
        <w:t xml:space="preserve">Question 36: Do you have any feedback </w:t>
      </w:r>
      <w:proofErr w:type="gramStart"/>
      <w:r w:rsidRPr="00A647A3">
        <w:rPr>
          <w:i/>
          <w:iCs/>
        </w:rPr>
        <w:t>with regard to</w:t>
      </w:r>
      <w:proofErr w:type="gramEnd"/>
      <w:r w:rsidRPr="00A647A3">
        <w:rPr>
          <w:i/>
          <w:iCs/>
        </w:rPr>
        <w:t xml:space="preserve"> the potential criteria for estimates? </w:t>
      </w:r>
    </w:p>
    <w:p w14:paraId="2634C7BF" w14:textId="7F9896E7" w:rsidR="00F33B04" w:rsidRDefault="00F33B04" w:rsidP="00F33B04">
      <w:r w:rsidRPr="00A647A3">
        <w:rPr>
          <w:i/>
          <w:iCs/>
        </w:rPr>
        <w:t xml:space="preserve">AAE answer: </w:t>
      </w:r>
      <w:r>
        <w:t>N/A</w:t>
      </w:r>
    </w:p>
    <w:p w14:paraId="070DC11F" w14:textId="35B67703" w:rsidR="00A647A3" w:rsidRDefault="00A647A3">
      <w:pPr>
        <w:rPr>
          <w:i/>
          <w:iCs/>
        </w:rPr>
      </w:pPr>
      <w:r w:rsidRPr="00A647A3">
        <w:rPr>
          <w:i/>
          <w:iCs/>
        </w:rPr>
        <w:t xml:space="preserve">Question 37: Do you perceive the need for a more specific definition of the concept of “key environmental metrics” to prevent greenwashing? If so, how could those metrics be defined? </w:t>
      </w:r>
    </w:p>
    <w:p w14:paraId="2B097CCA" w14:textId="77777777" w:rsidR="00857B41" w:rsidRDefault="00857B41" w:rsidP="00857B41">
      <w:r w:rsidRPr="00A647A3">
        <w:rPr>
          <w:i/>
          <w:iCs/>
        </w:rPr>
        <w:t xml:space="preserve">AAE answer: </w:t>
      </w:r>
      <w:r>
        <w:t>N/A</w:t>
      </w:r>
    </w:p>
    <w:p w14:paraId="67FE3262" w14:textId="564AB2CE" w:rsidR="00A647A3" w:rsidRDefault="00A647A3">
      <w:pPr>
        <w:rPr>
          <w:i/>
          <w:iCs/>
        </w:rPr>
      </w:pPr>
      <w:r w:rsidRPr="00A647A3">
        <w:rPr>
          <w:i/>
          <w:iCs/>
        </w:rPr>
        <w:t xml:space="preserve">Question 38: Do you see the need to set out specific rules on the calculation of the proportion of sustainable investments of financial products? Please elaborate. </w:t>
      </w:r>
    </w:p>
    <w:p w14:paraId="21DF3BD4" w14:textId="0ED9857E" w:rsidR="00962A1D" w:rsidRDefault="00962A1D" w:rsidP="00962A1D">
      <w:r w:rsidRPr="00A647A3">
        <w:rPr>
          <w:i/>
          <w:iCs/>
        </w:rPr>
        <w:t xml:space="preserve">AAE answer: </w:t>
      </w:r>
      <w:r w:rsidR="00B044D0">
        <w:t>N/A</w:t>
      </w:r>
    </w:p>
    <w:p w14:paraId="0D9183BE" w14:textId="2277C646" w:rsidR="00A647A3" w:rsidRDefault="00A647A3">
      <w:pPr>
        <w:rPr>
          <w:i/>
          <w:iCs/>
        </w:rPr>
      </w:pPr>
      <w:r w:rsidRPr="00A647A3">
        <w:rPr>
          <w:i/>
          <w:iCs/>
        </w:rPr>
        <w:t xml:space="preserve">Question 39: Do you agree that cross-referencing in periodic disclosures of financial products with investment options would be beneficial to address information overload? </w:t>
      </w:r>
    </w:p>
    <w:p w14:paraId="22BF57B7" w14:textId="2D5F5F66" w:rsidR="00962A1D" w:rsidRDefault="00962A1D" w:rsidP="00962A1D">
      <w:r w:rsidRPr="00A647A3">
        <w:rPr>
          <w:i/>
          <w:iCs/>
        </w:rPr>
        <w:t xml:space="preserve">AAE answer: </w:t>
      </w:r>
      <w:r w:rsidR="00AC6742">
        <w:t>Cross-referencing</w:t>
      </w:r>
      <w:r w:rsidR="006B7DE1">
        <w:t>, if clear and unambiguous, is a goo</w:t>
      </w:r>
      <w:r w:rsidR="00FB2329">
        <w:t>d option to address information overload and operational risk</w:t>
      </w:r>
    </w:p>
    <w:p w14:paraId="01C7B7E0" w14:textId="77777777" w:rsidR="00A647A3" w:rsidRDefault="00A647A3">
      <w:pPr>
        <w:rPr>
          <w:i/>
          <w:iCs/>
        </w:rPr>
      </w:pPr>
    </w:p>
    <w:p w14:paraId="2FC7A49B" w14:textId="77777777" w:rsidR="00A647A3" w:rsidRDefault="00A647A3">
      <w:pPr>
        <w:rPr>
          <w:i/>
          <w:iCs/>
        </w:rPr>
      </w:pPr>
      <w:r w:rsidRPr="00A647A3">
        <w:rPr>
          <w:i/>
          <w:iCs/>
        </w:rPr>
        <w:t>Question 40: Do you agree with the proposed website disclosures for financial products with investment options?</w:t>
      </w:r>
    </w:p>
    <w:p w14:paraId="59B08BFE" w14:textId="20C5731C" w:rsidR="00A647A3" w:rsidRDefault="00A647A3" w:rsidP="00A647A3">
      <w:r w:rsidRPr="00A647A3">
        <w:rPr>
          <w:i/>
          <w:iCs/>
        </w:rPr>
        <w:t xml:space="preserve">AAE answer: </w:t>
      </w:r>
      <w:r w:rsidR="001D13FF">
        <w:t>N/A</w:t>
      </w:r>
    </w:p>
    <w:p w14:paraId="11959E0C" w14:textId="77777777" w:rsidR="00A647A3" w:rsidRDefault="00A647A3">
      <w:pPr>
        <w:rPr>
          <w:i/>
          <w:iCs/>
        </w:rPr>
      </w:pPr>
      <w:r w:rsidRPr="00A647A3">
        <w:rPr>
          <w:i/>
          <w:iCs/>
        </w:rPr>
        <w:t xml:space="preserve"> Question 41: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44F074AF" w14:textId="4E83D435" w:rsidR="00A647A3" w:rsidRDefault="00A647A3" w:rsidP="00A647A3">
      <w:r w:rsidRPr="00A647A3">
        <w:rPr>
          <w:i/>
          <w:iCs/>
        </w:rPr>
        <w:t xml:space="preserve">AAE answer: </w:t>
      </w:r>
      <w:r w:rsidR="007D65B7">
        <w:t>N/A</w:t>
      </w:r>
    </w:p>
    <w:p w14:paraId="3C5BB510" w14:textId="2280F19D" w:rsidR="00A647A3" w:rsidRDefault="00A647A3">
      <w:pPr>
        <w:rPr>
          <w:i/>
          <w:iCs/>
        </w:rPr>
      </w:pPr>
      <w:r w:rsidRPr="00A647A3">
        <w:rPr>
          <w:i/>
          <w:iCs/>
        </w:rPr>
        <w:t xml:space="preserve">Question 42: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 </w:t>
      </w:r>
    </w:p>
    <w:p w14:paraId="041AABD3" w14:textId="39A63134" w:rsidR="00A647A3" w:rsidRDefault="00A647A3" w:rsidP="00A647A3">
      <w:r w:rsidRPr="00A647A3">
        <w:rPr>
          <w:i/>
          <w:iCs/>
        </w:rPr>
        <w:t xml:space="preserve">AAE answer: </w:t>
      </w:r>
      <w:r w:rsidR="00C83211">
        <w:t xml:space="preserve">We consider </w:t>
      </w:r>
      <w:r w:rsidR="002D6418">
        <w:t>machine-readable format</w:t>
      </w:r>
      <w:r w:rsidR="00C83211">
        <w:t xml:space="preserve">s useful in reporting.  </w:t>
      </w:r>
      <w:r w:rsidR="00176EF6">
        <w:t>Appropriate</w:t>
      </w:r>
      <w:r w:rsidR="00E67D50">
        <w:t xml:space="preserve">, reliable </w:t>
      </w:r>
      <w:r w:rsidR="00176EF6">
        <w:t xml:space="preserve">viewers should be provided free of </w:t>
      </w:r>
      <w:r w:rsidR="00E67D50">
        <w:t xml:space="preserve">charge. </w:t>
      </w:r>
    </w:p>
    <w:p w14:paraId="7D69CCB3" w14:textId="33DCE576" w:rsidR="00A647A3" w:rsidRDefault="00A647A3">
      <w:pPr>
        <w:rPr>
          <w:i/>
          <w:iCs/>
        </w:rPr>
      </w:pPr>
      <w:r w:rsidRPr="00A647A3">
        <w:rPr>
          <w:i/>
          <w:iCs/>
        </w:rPr>
        <w:lastRenderedPageBreak/>
        <w:t>Question 43: Do you have any views on the preliminary impact assessments? Can you provide estimates of costs associated with each of the policy options?</w:t>
      </w:r>
    </w:p>
    <w:p w14:paraId="3FE99972" w14:textId="77777777" w:rsidR="00A647A3" w:rsidRDefault="00A647A3" w:rsidP="00A647A3">
      <w:r w:rsidRPr="00A647A3">
        <w:rPr>
          <w:i/>
          <w:iCs/>
        </w:rPr>
        <w:t xml:space="preserve">AAE answer: </w:t>
      </w:r>
      <w:r w:rsidRPr="00A647A3">
        <w:t>N/A</w:t>
      </w:r>
    </w:p>
    <w:p w14:paraId="53F157C4" w14:textId="77777777" w:rsidR="00A647A3" w:rsidRPr="00A647A3" w:rsidRDefault="00A647A3">
      <w:pPr>
        <w:rPr>
          <w:i/>
          <w:iCs/>
          <w:lang w:val="en-GB"/>
        </w:rPr>
      </w:pPr>
    </w:p>
    <w:sectPr w:rsidR="00A647A3" w:rsidRPr="00A647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6D81" w14:textId="77777777" w:rsidR="007978D8" w:rsidRDefault="007978D8" w:rsidP="0095545D">
      <w:pPr>
        <w:spacing w:after="0" w:line="240" w:lineRule="auto"/>
      </w:pPr>
      <w:r>
        <w:separator/>
      </w:r>
    </w:p>
  </w:endnote>
  <w:endnote w:type="continuationSeparator" w:id="0">
    <w:p w14:paraId="08AD3835" w14:textId="77777777" w:rsidR="007978D8" w:rsidRDefault="007978D8" w:rsidP="0095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1067" w14:textId="77777777" w:rsidR="007978D8" w:rsidRDefault="007978D8" w:rsidP="0095545D">
      <w:pPr>
        <w:spacing w:after="0" w:line="240" w:lineRule="auto"/>
      </w:pPr>
      <w:r>
        <w:separator/>
      </w:r>
    </w:p>
  </w:footnote>
  <w:footnote w:type="continuationSeparator" w:id="0">
    <w:p w14:paraId="32A15CC1" w14:textId="77777777" w:rsidR="007978D8" w:rsidRDefault="007978D8" w:rsidP="00955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B7"/>
    <w:rsid w:val="00006346"/>
    <w:rsid w:val="00006C80"/>
    <w:rsid w:val="00026705"/>
    <w:rsid w:val="000318B4"/>
    <w:rsid w:val="000422F7"/>
    <w:rsid w:val="000463E8"/>
    <w:rsid w:val="0007529C"/>
    <w:rsid w:val="00086009"/>
    <w:rsid w:val="00095FD6"/>
    <w:rsid w:val="000B7A78"/>
    <w:rsid w:val="00174C9F"/>
    <w:rsid w:val="00176CB4"/>
    <w:rsid w:val="00176EF6"/>
    <w:rsid w:val="001811EC"/>
    <w:rsid w:val="001B2B51"/>
    <w:rsid w:val="001B4509"/>
    <w:rsid w:val="001B5F53"/>
    <w:rsid w:val="001D13FF"/>
    <w:rsid w:val="001E619C"/>
    <w:rsid w:val="001F005D"/>
    <w:rsid w:val="00210276"/>
    <w:rsid w:val="00211204"/>
    <w:rsid w:val="00294355"/>
    <w:rsid w:val="0029617D"/>
    <w:rsid w:val="002A626E"/>
    <w:rsid w:val="002D6418"/>
    <w:rsid w:val="003016E9"/>
    <w:rsid w:val="00307834"/>
    <w:rsid w:val="00311DF5"/>
    <w:rsid w:val="003167A0"/>
    <w:rsid w:val="00332FFE"/>
    <w:rsid w:val="0033665D"/>
    <w:rsid w:val="00353959"/>
    <w:rsid w:val="00360ACA"/>
    <w:rsid w:val="00372105"/>
    <w:rsid w:val="00377C4E"/>
    <w:rsid w:val="003C1B31"/>
    <w:rsid w:val="003C5014"/>
    <w:rsid w:val="003C5C31"/>
    <w:rsid w:val="003D0F8E"/>
    <w:rsid w:val="003D16EC"/>
    <w:rsid w:val="003E4605"/>
    <w:rsid w:val="00401B32"/>
    <w:rsid w:val="0040418D"/>
    <w:rsid w:val="004209AD"/>
    <w:rsid w:val="004219E3"/>
    <w:rsid w:val="00433DA5"/>
    <w:rsid w:val="00441337"/>
    <w:rsid w:val="0045079C"/>
    <w:rsid w:val="00473A4C"/>
    <w:rsid w:val="00481C7D"/>
    <w:rsid w:val="004840BF"/>
    <w:rsid w:val="004852EC"/>
    <w:rsid w:val="00485A36"/>
    <w:rsid w:val="00486A58"/>
    <w:rsid w:val="004D0526"/>
    <w:rsid w:val="004D26A2"/>
    <w:rsid w:val="004F1917"/>
    <w:rsid w:val="004F2EB9"/>
    <w:rsid w:val="005004F7"/>
    <w:rsid w:val="005200B7"/>
    <w:rsid w:val="0052596A"/>
    <w:rsid w:val="005773B8"/>
    <w:rsid w:val="00597614"/>
    <w:rsid w:val="005A004B"/>
    <w:rsid w:val="005B4945"/>
    <w:rsid w:val="005B7E59"/>
    <w:rsid w:val="005E122A"/>
    <w:rsid w:val="00600C45"/>
    <w:rsid w:val="00620DD2"/>
    <w:rsid w:val="006357A5"/>
    <w:rsid w:val="00653F50"/>
    <w:rsid w:val="00654630"/>
    <w:rsid w:val="00666E40"/>
    <w:rsid w:val="006769E8"/>
    <w:rsid w:val="006959D2"/>
    <w:rsid w:val="006B77C4"/>
    <w:rsid w:val="006B7DE1"/>
    <w:rsid w:val="006C361E"/>
    <w:rsid w:val="006C682E"/>
    <w:rsid w:val="006C6B39"/>
    <w:rsid w:val="006D55A7"/>
    <w:rsid w:val="006E07E9"/>
    <w:rsid w:val="006E77E1"/>
    <w:rsid w:val="006F3A61"/>
    <w:rsid w:val="006F7452"/>
    <w:rsid w:val="00713237"/>
    <w:rsid w:val="00751B17"/>
    <w:rsid w:val="00752EEA"/>
    <w:rsid w:val="00756BA6"/>
    <w:rsid w:val="00761A4C"/>
    <w:rsid w:val="007711B4"/>
    <w:rsid w:val="00782ED7"/>
    <w:rsid w:val="0079031C"/>
    <w:rsid w:val="007978D8"/>
    <w:rsid w:val="007A40ED"/>
    <w:rsid w:val="007B15E8"/>
    <w:rsid w:val="007D65B7"/>
    <w:rsid w:val="007D7857"/>
    <w:rsid w:val="007E430C"/>
    <w:rsid w:val="007E5FDD"/>
    <w:rsid w:val="007F7E0C"/>
    <w:rsid w:val="008072AD"/>
    <w:rsid w:val="008117BA"/>
    <w:rsid w:val="00827E8E"/>
    <w:rsid w:val="008365C6"/>
    <w:rsid w:val="00843CFB"/>
    <w:rsid w:val="00857B41"/>
    <w:rsid w:val="00871D8F"/>
    <w:rsid w:val="00875AC7"/>
    <w:rsid w:val="008765CE"/>
    <w:rsid w:val="00876D49"/>
    <w:rsid w:val="008826E2"/>
    <w:rsid w:val="008A39A6"/>
    <w:rsid w:val="008A7E87"/>
    <w:rsid w:val="008B54B6"/>
    <w:rsid w:val="008C10FB"/>
    <w:rsid w:val="008C1144"/>
    <w:rsid w:val="008D0E73"/>
    <w:rsid w:val="008E778D"/>
    <w:rsid w:val="008F1B6E"/>
    <w:rsid w:val="008F60BB"/>
    <w:rsid w:val="00910A92"/>
    <w:rsid w:val="0093652F"/>
    <w:rsid w:val="0094127B"/>
    <w:rsid w:val="009462DA"/>
    <w:rsid w:val="00952DA3"/>
    <w:rsid w:val="0095545D"/>
    <w:rsid w:val="00962A1D"/>
    <w:rsid w:val="009723DF"/>
    <w:rsid w:val="009A2234"/>
    <w:rsid w:val="009D54DC"/>
    <w:rsid w:val="00A05C94"/>
    <w:rsid w:val="00A05D39"/>
    <w:rsid w:val="00A0659E"/>
    <w:rsid w:val="00A135D0"/>
    <w:rsid w:val="00A444FD"/>
    <w:rsid w:val="00A56DD9"/>
    <w:rsid w:val="00A647A3"/>
    <w:rsid w:val="00A76DE8"/>
    <w:rsid w:val="00AA5D03"/>
    <w:rsid w:val="00AB013B"/>
    <w:rsid w:val="00AB1075"/>
    <w:rsid w:val="00AB6E34"/>
    <w:rsid w:val="00AC1AEC"/>
    <w:rsid w:val="00AC6742"/>
    <w:rsid w:val="00AD2D00"/>
    <w:rsid w:val="00AD3210"/>
    <w:rsid w:val="00AD3401"/>
    <w:rsid w:val="00AF4ECB"/>
    <w:rsid w:val="00B036E0"/>
    <w:rsid w:val="00B044D0"/>
    <w:rsid w:val="00B20369"/>
    <w:rsid w:val="00B26821"/>
    <w:rsid w:val="00B36B5E"/>
    <w:rsid w:val="00B66364"/>
    <w:rsid w:val="00B92FC8"/>
    <w:rsid w:val="00BB0AAE"/>
    <w:rsid w:val="00BC1B6E"/>
    <w:rsid w:val="00BC6617"/>
    <w:rsid w:val="00BD2C2F"/>
    <w:rsid w:val="00BF3334"/>
    <w:rsid w:val="00BF3E8F"/>
    <w:rsid w:val="00BF6A4C"/>
    <w:rsid w:val="00C02095"/>
    <w:rsid w:val="00C259DC"/>
    <w:rsid w:val="00C33E3A"/>
    <w:rsid w:val="00C83211"/>
    <w:rsid w:val="00CB4E03"/>
    <w:rsid w:val="00CC3275"/>
    <w:rsid w:val="00CC4EF5"/>
    <w:rsid w:val="00CD0B31"/>
    <w:rsid w:val="00CE1466"/>
    <w:rsid w:val="00D01FC1"/>
    <w:rsid w:val="00D31C1C"/>
    <w:rsid w:val="00D61480"/>
    <w:rsid w:val="00D6518A"/>
    <w:rsid w:val="00D8603D"/>
    <w:rsid w:val="00D87BC5"/>
    <w:rsid w:val="00DA043B"/>
    <w:rsid w:val="00DA6C71"/>
    <w:rsid w:val="00DD55C8"/>
    <w:rsid w:val="00DE46F6"/>
    <w:rsid w:val="00E04B18"/>
    <w:rsid w:val="00E12983"/>
    <w:rsid w:val="00E3305B"/>
    <w:rsid w:val="00E34B0D"/>
    <w:rsid w:val="00E4346A"/>
    <w:rsid w:val="00E4608D"/>
    <w:rsid w:val="00E67D50"/>
    <w:rsid w:val="00E75BD7"/>
    <w:rsid w:val="00E82B78"/>
    <w:rsid w:val="00E8633B"/>
    <w:rsid w:val="00EB69E0"/>
    <w:rsid w:val="00EC3425"/>
    <w:rsid w:val="00EE1368"/>
    <w:rsid w:val="00F203F8"/>
    <w:rsid w:val="00F33B04"/>
    <w:rsid w:val="00F47F0E"/>
    <w:rsid w:val="00F97F58"/>
    <w:rsid w:val="00FB2329"/>
    <w:rsid w:val="00FB26CE"/>
    <w:rsid w:val="00FB5C75"/>
    <w:rsid w:val="00FC1656"/>
    <w:rsid w:val="00FD35CF"/>
    <w:rsid w:val="00FD7F20"/>
    <w:rsid w:val="00FE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22D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45D"/>
  </w:style>
  <w:style w:type="paragraph" w:styleId="Footer">
    <w:name w:val="footer"/>
    <w:basedOn w:val="Normal"/>
    <w:link w:val="FooterChar"/>
    <w:uiPriority w:val="99"/>
    <w:unhideWhenUsed/>
    <w:rsid w:val="00955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45D"/>
  </w:style>
  <w:style w:type="character" w:styleId="Hyperlink">
    <w:name w:val="Hyperlink"/>
    <w:basedOn w:val="DefaultParagraphFont"/>
    <w:uiPriority w:val="99"/>
    <w:semiHidden/>
    <w:unhideWhenUsed/>
    <w:rsid w:val="00FD3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938">
      <w:bodyDiv w:val="1"/>
      <w:marLeft w:val="0"/>
      <w:marRight w:val="0"/>
      <w:marTop w:val="0"/>
      <w:marBottom w:val="0"/>
      <w:divBdr>
        <w:top w:val="none" w:sz="0" w:space="0" w:color="auto"/>
        <w:left w:val="none" w:sz="0" w:space="0" w:color="auto"/>
        <w:bottom w:val="none" w:sz="0" w:space="0" w:color="auto"/>
        <w:right w:val="none" w:sz="0" w:space="0" w:color="auto"/>
      </w:divBdr>
      <w:divsChild>
        <w:div w:id="932710144">
          <w:marLeft w:val="0"/>
          <w:marRight w:val="0"/>
          <w:marTop w:val="0"/>
          <w:marBottom w:val="600"/>
          <w:divBdr>
            <w:top w:val="none" w:sz="0" w:space="0" w:color="auto"/>
            <w:left w:val="none" w:sz="0" w:space="0" w:color="auto"/>
            <w:bottom w:val="none" w:sz="0" w:space="0" w:color="auto"/>
            <w:right w:val="none" w:sz="0" w:space="0" w:color="auto"/>
          </w:divBdr>
        </w:div>
      </w:divsChild>
    </w:div>
    <w:div w:id="12944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www.consilium.europa.eu%2Fen%2Fpolicies%2Feu-list-of-non-cooperative-jurisdictions%2F&amp;data=05%7C01%7CLutz_Wilhelmy%40swissre.com%7C43c0f785aa204215102508db7cab42e7%7C45597f606e374be7acfb4c9e23b261ea%7C1%7C0%7C638240847576583065%7CUnknown%7CTWFpbGZsb3d8eyJWIjoiMC4wLjAwMDAiLCJQIjoiV2luMzIiLCJBTiI6Ik1haWwiLCJXVCI6Mn0%3D%7C3000%7C%7C%7C&amp;sdata=fuMRTnhvqD4WPgVGSF98kpxQ1AL9mfUW6pdDmCzZzM4%3D&amp;reserve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2596</Words>
  <Characters>14798</Characters>
  <Application>Microsoft Office Word</Application>
  <DocSecurity>0</DocSecurity>
  <Lines>123</Lines>
  <Paragraphs>34</Paragraphs>
  <ScaleCrop>false</ScaleCrop>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2023-07-05T10:30:00Z</dcterms:created>
  <dcterms:modified xsi:type="dcterms:W3CDTF">2023-07-05T10:31:00Z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c2fedb-0da6-4717-8531-d16a1b9930f4_Enabled">
    <vt:lpwstr>true</vt:lpwstr>
  </property>
  <property fmtid="{D5CDD505-2E9C-101B-9397-08002B2CF9AE}" pid="3" name="MSIP_Label_90c2fedb-0da6-4717-8531-d16a1b9930f4_SetDate">
    <vt:lpwstr>2023-07-05T10:31:18Z</vt:lpwstr>
  </property>
  <property fmtid="{D5CDD505-2E9C-101B-9397-08002B2CF9AE}" pid="4" name="MSIP_Label_90c2fedb-0da6-4717-8531-d16a1b9930f4_Method">
    <vt:lpwstr>Privileged</vt:lpwstr>
  </property>
  <property fmtid="{D5CDD505-2E9C-101B-9397-08002B2CF9AE}" pid="5" name="MSIP_Label_90c2fedb-0da6-4717-8531-d16a1b9930f4_Name">
    <vt:lpwstr>90c2fedb-0da6-4717-8531-d16a1b9930f4</vt:lpwstr>
  </property>
  <property fmtid="{D5CDD505-2E9C-101B-9397-08002B2CF9AE}" pid="6" name="MSIP_Label_90c2fedb-0da6-4717-8531-d16a1b9930f4_SiteId">
    <vt:lpwstr>45597f60-6e37-4be7-acfb-4c9e23b261ea</vt:lpwstr>
  </property>
  <property fmtid="{D5CDD505-2E9C-101B-9397-08002B2CF9AE}" pid="7" name="MSIP_Label_90c2fedb-0da6-4717-8531-d16a1b9930f4_ActionId">
    <vt:lpwstr>68ce499c-e6dc-4448-84ae-c00e56a65114</vt:lpwstr>
  </property>
  <property fmtid="{D5CDD505-2E9C-101B-9397-08002B2CF9AE}" pid="8" name="MSIP_Label_90c2fedb-0da6-4717-8531-d16a1b9930f4_ContentBits">
    <vt:lpwstr>0</vt:lpwstr>
  </property>
  <property fmtid="{D5CDD505-2E9C-101B-9397-08002B2CF9AE}" pid="9" name="Sensitivity">
    <vt:lpwstr>Internal</vt:lpwstr>
  </property>
</Properties>
</file>