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5651736B" w:rsidR="005418F4" w:rsidRPr="005418F4" w:rsidRDefault="00276BC2" w:rsidP="005418F4">
                <w:pPr>
                  <w:spacing w:after="250"/>
                  <w:rPr>
                    <w:rFonts w:ascii="Arial" w:eastAsiaTheme="minorEastAsia" w:hAnsi="Arial" w:cs="Arial"/>
                    <w:color w:val="808080"/>
                    <w:szCs w:val="20"/>
                  </w:rPr>
                </w:pPr>
                <w:r>
                  <w:rPr>
                    <w:rFonts w:ascii="Arial" w:eastAsiaTheme="minorEastAsia" w:hAnsi="Arial" w:cs="Arial"/>
                    <w:color w:val="808080"/>
                    <w:szCs w:val="20"/>
                  </w:rPr>
                  <w:t>IFM Investors</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1BE4D00C" w:rsidR="005418F4" w:rsidRPr="005418F4" w:rsidRDefault="00304938"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94FDF">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68EC4A28" w:rsidR="005418F4" w:rsidRPr="005418F4" w:rsidRDefault="00276BC2"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05C47FD9" w:rsidR="005418F4" w:rsidRPr="005418F4" w:rsidRDefault="00276BC2"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UK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67EB5A36" w14:textId="77777777" w:rsidR="00276BC2" w:rsidRDefault="00276BC2" w:rsidP="00276BC2">
      <w:permStart w:id="1348034591" w:edGrp="everyone"/>
      <w:r>
        <w:t xml:space="preserve">While it is helpful the PAIs are derived from the first draft of the ESRS, meaning all companies in scope of CSRD will report, there remains a challenge collecting data until information is available (in a standardized way) for a broad scope of companies. </w:t>
      </w:r>
    </w:p>
    <w:p w14:paraId="10D7A1D8" w14:textId="77777777" w:rsidR="00276BC2" w:rsidRDefault="00276BC2" w:rsidP="00276BC2">
      <w:r>
        <w:t xml:space="preserve">For firms that invest outside of the EEA and in private markets, there will still be many companies in the investable universe that have no underlying regulatory requirements to collect and disclose the data points required for the purposes of this disclosure. This creates a barrier to effective data collection. </w:t>
      </w:r>
    </w:p>
    <w:p w14:paraId="391D7F19" w14:textId="77777777" w:rsidR="00276BC2" w:rsidRDefault="00276BC2" w:rsidP="00276BC2">
      <w:r>
        <w:t xml:space="preserve">We recommend that the definitions consistently give scope to local legislation where investees are outside of the EEA. This would significantly aid in streamlining the data collection process and promote transparency and the desired outcomes for consumers. This is also the approach that has been taken with the definition of adequate wages, as an example. </w:t>
      </w:r>
    </w:p>
    <w:p w14:paraId="46E6DC14" w14:textId="77777777" w:rsidR="00276BC2" w:rsidRDefault="00276BC2" w:rsidP="00276BC2">
      <w:r>
        <w:t xml:space="preserve">The social PAIs (and the PAIs more generally, in SFDR) do not adequately recognize the difference in data collection availability between public vs. private and equity vs. debt. From a debt perspective, it is very difficult to expect issuers to provide this information to capital providers as any sustainability related factors need to be agreed with borrowers up front and can be difficult to amend where there are further changes in any requirements.   </w:t>
      </w:r>
    </w:p>
    <w:p w14:paraId="0A07EADD" w14:textId="77777777" w:rsidR="00276BC2" w:rsidRDefault="00276BC2" w:rsidP="00276BC2">
      <w:r>
        <w:t xml:space="preserve">It would be helpful if initiatives could align globally, for example European regulators may want to consider the work of the US-based ESG Data Convergence Initiative that is working to drive </w:t>
      </w:r>
      <w:r>
        <w:lastRenderedPageBreak/>
        <w:t xml:space="preserve">convergence on meaningful environmental, social, and governance (ESG) metrics for the private equity industry. </w:t>
      </w:r>
    </w:p>
    <w:p w14:paraId="15B0F2CF" w14:textId="77777777" w:rsidR="00276BC2" w:rsidRDefault="00276BC2" w:rsidP="00276BC2">
      <w:r>
        <w:t xml:space="preserve">We also ask the ESAs to consider the amount of work needed by firms to implement any updates to the requirements and to avoid minor adjustments where possible. Grandfathering requirements for existing closed-ended funds with respect to future changes should also be considered. The requirements are embedded and agreed in legal commitments with investors, which can include investors outside of the EEA, and it is not possible/ feasible/ difficult would be difficult to amend those legal commitments, once </w:t>
      </w:r>
      <w:proofErr w:type="gramStart"/>
      <w:r>
        <w:t>entered into</w:t>
      </w:r>
      <w:proofErr w:type="gramEnd"/>
      <w:r>
        <w:t xml:space="preserve"> and once the fund is closed. The proposed approach may also encourage firms to set lenient targets given it is difficult for a manager to make material changes once a fund is closed, while managers will be looking to ensure there is a reasonable opportunity for fund objectives to </w:t>
      </w:r>
      <w:proofErr w:type="gramStart"/>
      <w:r>
        <w:t>actually be</w:t>
      </w:r>
      <w:proofErr w:type="gramEnd"/>
      <w:r>
        <w:t xml:space="preserve"> achieved despite the evolving requirements.  </w:t>
      </w:r>
    </w:p>
    <w:p w14:paraId="304C9462" w14:textId="77777777" w:rsidR="00276BC2" w:rsidRDefault="00276BC2" w:rsidP="00276BC2">
      <w:r>
        <w:t xml:space="preserve">There are already mandatory social indicators covering violations of the UN GC, gender pay gap, diversity, and exposure to controversial weapons (PAIs 10 to 14). We do not see significant real-world benefits in adding another 4 mandatory indicators. </w:t>
      </w:r>
    </w:p>
    <w:p w14:paraId="69439777" w14:textId="77777777" w:rsidR="00276BC2" w:rsidRDefault="00276BC2" w:rsidP="00276BC2">
      <w:r>
        <w:t xml:space="preserve">We suggest that consideration is given towards making the optional social and employee indicators 1 to 3 listed in Table 3, of the current RTS, mandatory. It is common practice for this data to be captured by companies. Other suggested mandatory indicators that are measurable and commonly captured and recorded by companies is the number of complaints from customers and the community and the number of local national laws that have been broken by the investee. We think these indicators are important to society, feasible to collect since they are generally captured by most companies and therefore should be mandatory.  </w:t>
      </w:r>
    </w:p>
    <w:p w14:paraId="3CBAF82C" w14:textId="77777777" w:rsidR="00276BC2" w:rsidRDefault="00276BC2" w:rsidP="00276BC2">
      <w:r>
        <w:t xml:space="preserve">We question the need for PAIs on tobacco and weapons and propose that the EU create an exclusion list for investments that cannot be categorized as Sustainable Investments by firms. </w:t>
      </w:r>
    </w:p>
    <w:p w14:paraId="12718624" w14:textId="77777777" w:rsidR="00276BC2" w:rsidRDefault="00276BC2" w:rsidP="00276BC2">
      <w:r>
        <w:t>Specific Feedback on new mandatory indicator 4</w:t>
      </w:r>
      <w:proofErr w:type="gramStart"/>
      <w:r>
        <w:t>:  “</w:t>
      </w:r>
      <w:proofErr w:type="gramEnd"/>
      <w:r>
        <w:t xml:space="preserve">Share of employees earning less than the adequate wage” </w:t>
      </w:r>
    </w:p>
    <w:p w14:paraId="65100A5C" w14:textId="77777777" w:rsidR="00276BC2" w:rsidRDefault="00276BC2" w:rsidP="00276BC2">
      <w:r>
        <w:t xml:space="preserve">The amount of work, effort and cost involved to collect such data is disproportionate to the real world benefit it would achieve for the purposes of this disclosure, which, in our view, would be minimal. We suggest that the PAI be amended to measure share of employees impacted by non-compliance with national legislation relating to employee pay in the investee jurisdiction, which is a data point already collected by most companies. </w:t>
      </w:r>
    </w:p>
    <w:p w14:paraId="4A55641A" w14:textId="12318783" w:rsidR="009C41BB" w:rsidRDefault="00276BC2" w:rsidP="00276BC2">
      <w:r>
        <w:t xml:space="preserve">Adequate wages are generally not reported by any companies that we lend to however, would suspect this data would not be exceptionally difficult for most companies to collect and provide as the data should be readily available. For example, in the US, there is a federal minimum wage and then state minimum wage (state is at or higher than federal wage – noting that some states are non-union and so there’s a need to ensure this would not cause issues). The scope would also need to be clarified </w:t>
      </w:r>
      <w:proofErr w:type="gramStart"/>
      <w:r>
        <w:t>e.g.</w:t>
      </w:r>
      <w:proofErr w:type="gramEnd"/>
      <w:r>
        <w:t xml:space="preserve"> would we be required to see wage details of sub-contractors etc? This disclosure should be restricted to investee companies and not too far downstream.</w:t>
      </w:r>
    </w:p>
    <w:permEnd w:id="1348034591"/>
    <w:p w14:paraId="48EE2711" w14:textId="6AD54008"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31747C6E" w14:textId="77777777" w:rsidR="00276BC2" w:rsidRDefault="00276BC2" w:rsidP="00276BC2">
      <w:permStart w:id="1140268191" w:edGrp="everyone"/>
      <w:r>
        <w:t xml:space="preserve">Please also see our answer to Q1. There are already mandatory social indicators covering violations of the UN GC, gender pay gap, diversity, and exposure to controversial weapons (PAIs 10 to 14). </w:t>
      </w:r>
    </w:p>
    <w:p w14:paraId="24568AF8" w14:textId="77777777" w:rsidR="00276BC2" w:rsidRDefault="00276BC2" w:rsidP="00276BC2">
      <w:r>
        <w:t xml:space="preserve">In our view, the health and safety of employees in the workplace is more important to society than the proposed mandatory social indicators. To strike a balance between feasibility and proportionality as well as the EU’s aims, we suggest that consideration be given towards making the optional social and employee indicators 1 to 3 listed in Table 3, of the current RTS, mandatory. It is common practice for this data to be captured by companies.  </w:t>
      </w:r>
    </w:p>
    <w:p w14:paraId="2FF56595" w14:textId="49298470" w:rsidR="009C41BB" w:rsidRDefault="00276BC2" w:rsidP="00276BC2">
      <w:r>
        <w:t>Other suggested mandatory indicators that are measurable and commonly captured and recorded by companies is the number of complaints from customers and the community and the number of local national laws that have been broken by the investee.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C3CB3AB" w14:textId="77777777" w:rsidR="00276BC2" w:rsidRDefault="00276BC2" w:rsidP="00276BC2">
      <w:pPr>
        <w:spacing w:after="0" w:line="240" w:lineRule="auto"/>
      </w:pPr>
      <w:permStart w:id="452221127" w:edGrp="everyone"/>
      <w:r>
        <w:t xml:space="preserve">The change increases the onus on a firm to ensure that human and labour rights issues are not occurring. It is more active. The environmental aspects of the UNGC are lost. </w:t>
      </w:r>
    </w:p>
    <w:p w14:paraId="3FC59890" w14:textId="77777777" w:rsidR="00276BC2" w:rsidRDefault="00276BC2" w:rsidP="00276BC2">
      <w:pPr>
        <w:spacing w:after="0" w:line="240" w:lineRule="auto"/>
      </w:pPr>
    </w:p>
    <w:p w14:paraId="7100C321" w14:textId="0D078987" w:rsidR="009C41BB" w:rsidRDefault="00276BC2" w:rsidP="00276BC2">
      <w:r>
        <w:t xml:space="preserve">Compliance with the UN GC Principles is more involved and very few global organizations have publicly available information on this. Currently, capital providers ask investees to confirm they have not breached the relevant principles on an annual basis. If further disclosure is envisioned by regulators, it would be helpful to have guidance set out by the ESA.   </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lastRenderedPageBreak/>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7B85BDDB" w14:textId="77777777" w:rsidR="00276BC2" w:rsidRDefault="00276BC2" w:rsidP="00276BC2">
      <w:pPr>
        <w:spacing w:after="0" w:line="240" w:lineRule="auto"/>
      </w:pPr>
      <w:permStart w:id="2059607147" w:edGrp="everyone"/>
      <w:r>
        <w:t xml:space="preserve">A formula is helpful, assisting with comparability and provides good clarification, however, introducing this a year or so after implementation is not ideal as firms have already developed systems and solutions using our own methodology. There will be costs associated with reviewing and amending these and this will also have an impact on comparability. </w:t>
      </w:r>
    </w:p>
    <w:p w14:paraId="54D165EE" w14:textId="77777777" w:rsidR="00276BC2" w:rsidRDefault="00276BC2" w:rsidP="00276BC2">
      <w:pPr>
        <w:spacing w:after="0" w:line="240" w:lineRule="auto"/>
      </w:pPr>
    </w:p>
    <w:p w14:paraId="00404C15" w14:textId="77777777" w:rsidR="00276BC2" w:rsidRDefault="00276BC2" w:rsidP="00276BC2">
      <w:pPr>
        <w:spacing w:after="0" w:line="240" w:lineRule="auto"/>
      </w:pPr>
      <w:r>
        <w:t xml:space="preserve">Coherency needs to be preserved between the various regulations underpinning the EU’s sustainable finance reforms to support standardization of disclosures and comparability. Amendments to existing PAI calculations to align with CSRD is helpful in some ways, however, does not capture and standardize the availability of data for all companies in the EU investable universe. Many investment managers operate globally, with investors and investments around the world. While the reforms are helpful in the EU, we note CSRD and the ESRS will not apply to all companies and will be phased in. Beyond the EU, there will continue to be significant challenges in collecting data until information is available (in a standardized way) for a broad scope of companies. </w:t>
      </w:r>
    </w:p>
    <w:p w14:paraId="3DB37554" w14:textId="77777777" w:rsidR="00276BC2" w:rsidRDefault="00276BC2" w:rsidP="00276BC2">
      <w:pPr>
        <w:spacing w:after="0" w:line="240" w:lineRule="auto"/>
      </w:pPr>
    </w:p>
    <w:p w14:paraId="28A8FE18" w14:textId="77777777" w:rsidR="00276BC2" w:rsidRDefault="00276BC2" w:rsidP="00276BC2">
      <w:pPr>
        <w:spacing w:after="0" w:line="240" w:lineRule="auto"/>
      </w:pPr>
      <w:r>
        <w:t xml:space="preserve">Some examples of issues with the data points: </w:t>
      </w:r>
    </w:p>
    <w:p w14:paraId="7628BA21" w14:textId="77777777" w:rsidR="00276BC2" w:rsidRDefault="00276BC2" w:rsidP="00276BC2">
      <w:pPr>
        <w:spacing w:after="0" w:line="240" w:lineRule="auto"/>
      </w:pPr>
    </w:p>
    <w:p w14:paraId="137974E9" w14:textId="77777777" w:rsidR="00276BC2" w:rsidRDefault="00276BC2" w:rsidP="00276BC2">
      <w:pPr>
        <w:spacing w:after="0" w:line="240" w:lineRule="auto"/>
      </w:pPr>
      <w:r>
        <w:t xml:space="preserve">Several definitions such as “Emissions to water” cross reference to EU directives. Investees located in the EU are already familiar with these definitions and collect data and monitor against these, however, there is a disproportionate amount of effort, work and challenge with collecting data from investments located outside of the EEA and in locations that have their own definitions. These companies comply with their local regulations and collecting data in accordance with this. We ask that the definitions be broadened to give scope to local legislation where investees are outside of the EEA. This would significantly aid in streamlining the data collection process and is the approach that has been taken with the definition of adequate wages, as an example. </w:t>
      </w:r>
    </w:p>
    <w:p w14:paraId="3586B7EE" w14:textId="77777777" w:rsidR="00276BC2" w:rsidRDefault="00276BC2" w:rsidP="00276BC2">
      <w:pPr>
        <w:spacing w:after="0" w:line="240" w:lineRule="auto"/>
      </w:pPr>
    </w:p>
    <w:p w14:paraId="0C4B0286" w14:textId="77777777" w:rsidR="00276BC2" w:rsidRDefault="00276BC2" w:rsidP="00276BC2">
      <w:pPr>
        <w:spacing w:after="0" w:line="240" w:lineRule="auto"/>
      </w:pPr>
      <w:r>
        <w:t xml:space="preserve">“Emissions to water” is currently defined as “direct emissions of priority substances as defined in Article 2(30) pf Directive 2000/60/EC of the European Parliament and of the Council and direct emissions of nitrates, phosphates, and pesticides. This definition will be used by investees located in the EU however, for those located outside of the EU, it is defined differently. Companies will naturally monitor compliance with their own local laws and regulations. We suggest definitions allow emissions to water to be defined in accordance with local laws as will be done with the definition for adequate wages, as an example.  </w:t>
      </w:r>
    </w:p>
    <w:p w14:paraId="34AC9916" w14:textId="77777777" w:rsidR="00276BC2" w:rsidRDefault="00276BC2" w:rsidP="00276BC2">
      <w:pPr>
        <w:spacing w:after="0" w:line="240" w:lineRule="auto"/>
      </w:pPr>
    </w:p>
    <w:p w14:paraId="4D5F1AA0" w14:textId="4160D8D3" w:rsidR="009C41BB" w:rsidRDefault="00276BC2" w:rsidP="00276BC2">
      <w:r>
        <w:t>“Activities negatively affecting biodiversity-sensitive areas” is also a metric that is jurisdictionally driven and not typically collected and available from investees, especially those outside of the EEA.</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341E5617" w:rsidR="009C41BB" w:rsidRPr="00276BC2" w:rsidRDefault="00276BC2" w:rsidP="009C41BB">
      <w:pPr>
        <w:rPr>
          <w:rFonts w:eastAsia="Times New Roman"/>
        </w:rPr>
      </w:pPr>
      <w:permStart w:id="1591695117" w:edGrp="everyone"/>
      <w:r>
        <w:rPr>
          <w:rFonts w:eastAsia="Times New Roman"/>
        </w:rPr>
        <w:t>Receiving clarifications on the regulations and additional guidance issued at a very late stage (after managers have defined their data collection processes) has been difficult. Determining taxonomy alignment is a reasonably time intensive exercise, and one that investee companies not based in Europe may never undertake, making it difficult for a manager to obtain information (especially for unlisted companies and debt).</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18DEC03A" w:rsidR="009C41BB" w:rsidRDefault="00276BC2" w:rsidP="009C41BB">
      <w:permStart w:id="684359195" w:edGrp="everyone"/>
      <w:r>
        <w:rPr>
          <w:rStyle w:val="normaltextrun"/>
          <w:rFonts w:ascii="Calibri" w:hAnsi="Calibri" w:cs="Calibri"/>
        </w:rPr>
        <w:t>The development of further guidelines to assist firms with setting acceptable performance ranges for each PAI would also be valued.</w:t>
      </w:r>
      <w:r>
        <w:rPr>
          <w:rStyle w:val="eop"/>
          <w:rFonts w:ascii="Calibri" w:hAnsi="Calibri" w:cs="Calibri"/>
        </w:rPr>
        <w:t> Where</w:t>
      </w:r>
      <w:r>
        <w:rPr>
          <w:rStyle w:val="normaltextrun"/>
          <w:rFonts w:ascii="Calibri" w:hAnsi="Calibri" w:cs="Calibri"/>
        </w:rPr>
        <w:t xml:space="preserve"> the PAIs ask f</w:t>
      </w:r>
      <w:r>
        <w:rPr>
          <w:rStyle w:val="normaltextrun"/>
        </w:rPr>
        <w:t>irms</w:t>
      </w:r>
      <w:r>
        <w:rPr>
          <w:rStyle w:val="normaltextrun"/>
          <w:rFonts w:ascii="Calibri" w:hAnsi="Calibri" w:cs="Calibri"/>
        </w:rPr>
        <w:t xml:space="preserve"> to normalize by enterprise value, firms could add more debt to a company to increase its level of SI or taxonomy alignment in a portfolio. There are also three equity values (3 different values), which is not helpful. </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xml:space="preserve">: Do you agree with the ESAs’ proposal to only require the inclusion of information on investee companies’ value chains in the PAI calculations where </w:t>
      </w:r>
      <w:r>
        <w:lastRenderedPageBreak/>
        <w:t>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lastRenderedPageBreak/>
        <w:t>&lt;ESMA_QUESTION_SFDR_17&gt;</w:t>
      </w:r>
    </w:p>
    <w:p w14:paraId="7DDA6D60" w14:textId="151AE1BC" w:rsidR="009C41BB" w:rsidRPr="00276BC2" w:rsidRDefault="00276BC2" w:rsidP="00276BC2">
      <w:pPr>
        <w:spacing w:after="0" w:line="240" w:lineRule="auto"/>
        <w:rPr>
          <w:i/>
          <w:iCs/>
          <w:color w:val="A6A6A6" w:themeColor="background1" w:themeShade="A6"/>
        </w:rPr>
      </w:pPr>
      <w:permStart w:id="791154279" w:edGrp="everyone"/>
      <w:r>
        <w:rPr>
          <w:rStyle w:val="normaltextrun"/>
        </w:rPr>
        <w:t>If the regime is too complicated and onerous to comply with, there is a risk that firms will declassify their funds to Art. 6/8. Firms may also look to source capital from / reoriented capital to other jurisdictions where it is less costly to comply with the requirements, leaving the EEA at a competitive disadvantage to other parts of the world.</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2DF4C399" w:rsidR="009C41BB" w:rsidRDefault="00276BC2" w:rsidP="00276BC2">
      <w:pPr>
        <w:spacing w:after="0" w:line="240" w:lineRule="auto"/>
      </w:pPr>
      <w:permStart w:id="984368250" w:edGrp="everyone"/>
      <w:r>
        <w:rPr>
          <w:rStyle w:val="normaltextrun"/>
          <w:rFonts w:ascii="Calibri" w:hAnsi="Calibri" w:cs="Calibri"/>
          <w:color w:val="000000"/>
          <w:shd w:val="clear" w:color="auto" w:fill="FFFFFF"/>
        </w:rPr>
        <w:t xml:space="preserve">We support setting quantitative thresholds where possible. However, there are difficulties setting quantitative limits for certain PAI indicators, such as PAI 10 and 11 covering Violations of the OECD Guidelines for Multinational Enterprises. </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5D53E4B8" w:rsidR="009C41BB" w:rsidRDefault="00FC7D0A" w:rsidP="00FC7D0A">
      <w:pPr>
        <w:spacing w:after="0" w:line="240" w:lineRule="auto"/>
      </w:pPr>
      <w:permStart w:id="403253184" w:edGrp="everyone"/>
      <w:r>
        <w:rPr>
          <w:rStyle w:val="normaltextrun"/>
          <w:rFonts w:ascii="Calibri" w:hAnsi="Calibri" w:cs="Calibri"/>
          <w:color w:val="000000"/>
          <w:shd w:val="clear" w:color="auto" w:fill="FFFFFF"/>
        </w:rPr>
        <w:t xml:space="preserve">We support setting quantitative thresholds where possible. However, there are difficulties setting quantitative limits for certain PAI indicators, such as PAI 10 and 11 covering Violations of the OECD Guidelines for Multinational Enterprises. </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0CF66A6" w:rsidR="009C41BB" w:rsidRPr="00FC7D0A" w:rsidRDefault="00FC7D0A" w:rsidP="00FC7D0A">
      <w:pPr>
        <w:spacing w:after="0" w:line="240" w:lineRule="auto"/>
        <w:rPr>
          <w:rFonts w:ascii="Calibri" w:hAnsi="Calibri" w:cs="Calibri"/>
          <w:color w:val="000000"/>
          <w:shd w:val="clear" w:color="auto" w:fill="FFFFFF"/>
        </w:rPr>
      </w:pPr>
      <w:permStart w:id="10765956" w:edGrp="everyone"/>
      <w:r>
        <w:rPr>
          <w:rStyle w:val="normaltextrun"/>
          <w:rFonts w:ascii="Calibri" w:hAnsi="Calibri" w:cs="Calibri"/>
          <w:color w:val="000000"/>
          <w:shd w:val="clear" w:color="auto" w:fill="FFFFFF"/>
        </w:rPr>
        <w:t xml:space="preserve">We agree with application </w:t>
      </w:r>
      <w:r>
        <w:rPr>
          <w:rStyle w:val="normaltextrun"/>
          <w:rFonts w:ascii="Calibri" w:hAnsi="Calibri" w:cs="Calibri"/>
          <w:color w:val="000000"/>
          <w:u w:val="single"/>
          <w:shd w:val="clear" w:color="auto" w:fill="FFFFFF"/>
        </w:rPr>
        <w:t>only to</w:t>
      </w:r>
      <w:r>
        <w:rPr>
          <w:rStyle w:val="normaltextrun"/>
          <w:rFonts w:ascii="Calibri" w:hAnsi="Calibri" w:cs="Calibri"/>
          <w:color w:val="000000"/>
          <w:shd w:val="clear" w:color="auto" w:fill="FFFFFF"/>
        </w:rPr>
        <w:t xml:space="preserve"> 'Sustainable Investment' labelled investments. This would create less confusion and a clearer understanding of the standard requirements.</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lastRenderedPageBreak/>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0EF80BDD" w14:textId="77777777" w:rsidR="00FC7D0A" w:rsidRDefault="00FC7D0A" w:rsidP="00FC7D0A">
      <w:pPr>
        <w:spacing w:after="0" w:line="240" w:lineRule="auto"/>
      </w:pPr>
      <w:permStart w:id="2084635173" w:edGrp="everyone"/>
      <w:r>
        <w:t>We are</w:t>
      </w:r>
      <w:r>
        <w:rPr>
          <w:b/>
          <w:bCs/>
        </w:rPr>
        <w:t xml:space="preserve"> </w:t>
      </w:r>
      <w:r>
        <w:t>supportive of transparent reporting and think it is good practice. We agree all financed emissions calculations should be using PCAF methodology (using EVIC). </w:t>
      </w:r>
    </w:p>
    <w:p w14:paraId="5CEBD5C8" w14:textId="77777777" w:rsidR="00FC7D0A" w:rsidRDefault="00FC7D0A" w:rsidP="00FC7D0A">
      <w:pPr>
        <w:spacing w:after="0" w:line="240" w:lineRule="auto"/>
      </w:pPr>
    </w:p>
    <w:p w14:paraId="510623A7" w14:textId="62179ADD" w:rsidR="00FC7D0A" w:rsidRDefault="00FC7D0A" w:rsidP="00FC7D0A">
      <w:pPr>
        <w:spacing w:after="0" w:line="240" w:lineRule="auto"/>
      </w:pPr>
      <w:r>
        <w:t xml:space="preserve">Disclosure against a 2050 target is not helpful in obtaining clarity on strategy or actions. Therefore, disclosure on targets would only be useful if an interim target was stipulated and required, for example 2030, initially. Disclosure on targets should be required where the product is making decarbonisation claims in relation to the investments held in the portfolio. </w:t>
      </w:r>
    </w:p>
    <w:p w14:paraId="7392A4FE" w14:textId="77777777" w:rsidR="00FC7D0A" w:rsidRDefault="00FC7D0A" w:rsidP="00FC7D0A">
      <w:pPr>
        <w:spacing w:after="0" w:line="240" w:lineRule="auto"/>
      </w:pPr>
    </w:p>
    <w:p w14:paraId="6D5BB63B" w14:textId="6B48F069" w:rsidR="009C41BB" w:rsidRDefault="00FC7D0A" w:rsidP="00FC7D0A">
      <w:r>
        <w:t>For non-homogeneous asset classes such as infrastructure, “absolute reduction targets” are more appropriate than targets expressed as a per tonnes of CO2 equivalent per millions EUR of investments. A ‘per tonnes of CO2 equivalent per millions EUR of investments’ target will fluctuate as the portfolio changes. Assets do not have the same CO2 profiles and changes in CO2 emissions are generally step changes for assets rather than gradual changes. </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3FCFF32A" w:rsidR="009C41BB" w:rsidRPr="00FC7D0A" w:rsidRDefault="00FC7D0A" w:rsidP="00FC7D0A">
      <w:pPr>
        <w:spacing w:after="0" w:line="240" w:lineRule="auto"/>
        <w:rPr>
          <w:rFonts w:ascii="Calibri" w:hAnsi="Calibri" w:cs="Calibri"/>
          <w:color w:val="000000"/>
          <w:shd w:val="clear" w:color="auto" w:fill="FFFFFF"/>
        </w:rPr>
      </w:pPr>
      <w:permStart w:id="762907966" w:edGrp="everyone"/>
      <w:r>
        <w:rPr>
          <w:rStyle w:val="normaltextrun"/>
          <w:rFonts w:ascii="Calibri" w:hAnsi="Calibri" w:cs="Calibri"/>
          <w:color w:val="000000"/>
          <w:shd w:val="clear" w:color="auto" w:fill="FFFFFF"/>
        </w:rPr>
        <w:t>Disclosures on targets (interim) and progress should only be required for Article 9(3) products or Article 8 products that call out decarbonisation as an E/S objective. If firms call out products as holding transition investments, they should have to set targets and report on progress.</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5783B42B" w14:textId="77777777" w:rsidR="00FC7D0A" w:rsidRDefault="00FC7D0A" w:rsidP="00FC7D0A">
      <w:pPr>
        <w:spacing w:after="0" w:line="240" w:lineRule="auto"/>
      </w:pPr>
      <w:permStart w:id="1824523423" w:edGrp="everyone"/>
      <w:r>
        <w:t xml:space="preserve">We agree that it is useful for investors to disclose on the extent to which targets set for their </w:t>
      </w:r>
      <w:proofErr w:type="gramStart"/>
      <w:r>
        <w:t>Article</w:t>
      </w:r>
      <w:proofErr w:type="gramEnd"/>
      <w:r>
        <w:t xml:space="preserve"> 9 funds are Paris-aligned. More specifically, we support disclosure on the extent to which targets are aligned with the objective of limiting global temperature increases to 1.5c, in line with the best available science. PAI tests could also be linked to Paris-Alignment, particularly relating to Scope 3 emissions.</w:t>
      </w:r>
    </w:p>
    <w:p w14:paraId="72A3CCAE" w14:textId="77777777" w:rsidR="00FC7D0A" w:rsidRDefault="00FC7D0A" w:rsidP="00FC7D0A">
      <w:pPr>
        <w:spacing w:after="0" w:line="240" w:lineRule="auto"/>
      </w:pPr>
      <w:r>
        <w:t> </w:t>
      </w:r>
    </w:p>
    <w:p w14:paraId="10F0211B" w14:textId="77777777" w:rsidR="00FC7D0A" w:rsidRDefault="00FC7D0A" w:rsidP="00FC7D0A">
      <w:pPr>
        <w:spacing w:after="0" w:line="240" w:lineRule="auto"/>
      </w:pPr>
      <w:r>
        <w:t xml:space="preserve">However, we see </w:t>
      </w:r>
      <w:proofErr w:type="gramStart"/>
      <w:r>
        <w:t>a number of</w:t>
      </w:r>
      <w:proofErr w:type="gramEnd"/>
      <w:r>
        <w:t xml:space="preserve"> issues:</w:t>
      </w:r>
    </w:p>
    <w:p w14:paraId="6732BFE1" w14:textId="77777777" w:rsidR="00FC7D0A" w:rsidRDefault="00FC7D0A" w:rsidP="00FC7D0A">
      <w:pPr>
        <w:pStyle w:val="ListParagraph"/>
        <w:numPr>
          <w:ilvl w:val="0"/>
          <w:numId w:val="43"/>
        </w:numPr>
        <w:spacing w:after="0" w:line="240" w:lineRule="auto"/>
        <w:rPr>
          <w:lang w:val="en-US"/>
        </w:rPr>
      </w:pPr>
      <w:r>
        <w:t xml:space="preserve">Paris-alignment methodologies are still very nascent and not well understood. </w:t>
      </w:r>
    </w:p>
    <w:p w14:paraId="20F807FC" w14:textId="77777777" w:rsidR="00FC7D0A" w:rsidRDefault="00FC7D0A" w:rsidP="00FC7D0A">
      <w:pPr>
        <w:pStyle w:val="ListParagraph"/>
        <w:numPr>
          <w:ilvl w:val="0"/>
          <w:numId w:val="43"/>
        </w:numPr>
        <w:spacing w:after="0" w:line="240" w:lineRule="auto"/>
      </w:pPr>
      <w:r>
        <w:t xml:space="preserve">There is no clear methodology for infrastructure assets. </w:t>
      </w:r>
    </w:p>
    <w:p w14:paraId="665721F1" w14:textId="77777777" w:rsidR="00FC7D0A" w:rsidRDefault="00FC7D0A" w:rsidP="00FC7D0A">
      <w:pPr>
        <w:pStyle w:val="ListParagraph"/>
        <w:numPr>
          <w:ilvl w:val="0"/>
          <w:numId w:val="43"/>
        </w:numPr>
        <w:spacing w:after="0" w:line="240" w:lineRule="auto"/>
      </w:pPr>
      <w:r>
        <w:t>Methodologies are focused on industry sectors</w:t>
      </w:r>
    </w:p>
    <w:p w14:paraId="17831788" w14:textId="0C192765" w:rsidR="009C41BB" w:rsidRPr="00FC7D0A" w:rsidRDefault="00FC7D0A" w:rsidP="009C41BB">
      <w:pPr>
        <w:pStyle w:val="ListParagraph"/>
        <w:numPr>
          <w:ilvl w:val="0"/>
          <w:numId w:val="43"/>
        </w:numPr>
        <w:rPr>
          <w:rFonts w:ascii="Calibri" w:hAnsi="Calibri" w:cs="Calibri"/>
          <w:color w:val="000000"/>
          <w:shd w:val="clear" w:color="auto" w:fill="FFFFFF"/>
        </w:rPr>
      </w:pPr>
      <w:r>
        <w:t>Data availability is poor for unlisted assets.</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0BC04C9E" w:rsidR="009C41BB" w:rsidRPr="00FC7D0A" w:rsidRDefault="00FC7D0A" w:rsidP="009C41BB">
      <w:pPr>
        <w:rPr>
          <w:rFonts w:ascii="Calibri" w:hAnsi="Calibri" w:cs="Calibri"/>
          <w:color w:val="000000"/>
          <w:shd w:val="clear" w:color="auto" w:fill="FFFFFF"/>
        </w:rPr>
      </w:pPr>
      <w:permStart w:id="1572164812" w:edGrp="everyone"/>
      <w:r>
        <w:rPr>
          <w:rStyle w:val="normaltextrun"/>
          <w:rFonts w:ascii="Calibri" w:hAnsi="Calibri" w:cs="Calibri"/>
          <w:color w:val="000000"/>
          <w:shd w:val="clear" w:color="auto" w:fill="FFFFFF"/>
        </w:rPr>
        <w:lastRenderedPageBreak/>
        <w:t>It would be more useful if the target covered a high proportion of portfolio emissions, as opposed to being applicable to all investments.  For example - a target which covers 80% of portfolio emissions, but only 30% of investments by value, may be more impactful than a target covering 60% of investments by value and only 40% emissions. If target based on value of all investments is used, emission coverage should also be disclosed for comparative purposes.</w:t>
      </w:r>
      <w:r>
        <w:rPr>
          <w:rStyle w:val="eop"/>
          <w:rFonts w:ascii="Calibri" w:hAnsi="Calibri" w:cs="Calibri"/>
          <w:color w:val="000000"/>
          <w:shd w:val="clear" w:color="auto" w:fill="FFFFFF"/>
        </w:rPr>
        <w:t> </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48A63CD0" w:rsidR="009C41BB" w:rsidRPr="00FC7D0A" w:rsidRDefault="00FC7D0A" w:rsidP="00FC7D0A">
      <w:pPr>
        <w:spacing w:after="0" w:line="240" w:lineRule="auto"/>
      </w:pPr>
      <w:permStart w:id="324808106" w:edGrp="everyone"/>
      <w:r>
        <w:t xml:space="preserve">We agree that PCAF should be used as the only standard. The calculation methodologies are well defined and available for the different asset classes. We are a member of PCAF. </w:t>
      </w:r>
    </w:p>
    <w:permEnd w:id="324808106"/>
    <w:p w14:paraId="2EE82A70" w14:textId="77777777" w:rsidR="00304938" w:rsidRDefault="00304938" w:rsidP="009C41BB"/>
    <w:p w14:paraId="0E6910F8" w14:textId="362119D1"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013E4361" w14:textId="77777777" w:rsidR="00FC7D0A" w:rsidRDefault="00FC7D0A" w:rsidP="00FC7D0A">
      <w:pPr>
        <w:spacing w:after="0" w:line="240" w:lineRule="auto"/>
      </w:pPr>
      <w:permStart w:id="1690654287" w:edGrp="everyone"/>
      <w:r>
        <w:t>Only gross emissions should be used with respect to targets (enabling greater comparison and transparency on emissions) and carbon credits shouldn't be used for interim targets. Carbon credits should be retained for sectors where there is no technological solution for abatement post 2035. Investing in decarbonisation is likely to be much cheaper over a longer timeframe (10-15) years than purchasing credits on an annual basis (that are expected to increase in price significantly). </w:t>
      </w:r>
    </w:p>
    <w:p w14:paraId="4CAB9BBB" w14:textId="77777777" w:rsidR="00FC7D0A" w:rsidRDefault="00FC7D0A" w:rsidP="00FC7D0A">
      <w:pPr>
        <w:spacing w:after="0" w:line="240" w:lineRule="auto"/>
      </w:pPr>
    </w:p>
    <w:p w14:paraId="528C3FA3" w14:textId="1490F053" w:rsidR="009C41BB" w:rsidRDefault="00FC7D0A" w:rsidP="00FC7D0A">
      <w:r>
        <w:t xml:space="preserve">We understand this may raise implications for assets that are considering the use of credits to meet their </w:t>
      </w:r>
      <w:proofErr w:type="gramStart"/>
      <w:r>
        <w:t>targets</w:t>
      </w:r>
      <w:proofErr w:type="gramEnd"/>
      <w:r>
        <w:t xml:space="preserve"> and this may give rise to a situation where underlying assets are reporting being ‘net zero’ while the portfolio itself, under a stricter regulatory regime, is not net zero. Where carbon credits are used, we support measures to increase transparency and to prevent double counting. </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lastRenderedPageBreak/>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385F2BD3" w:rsidR="009C41BB" w:rsidRPr="00FC7D0A" w:rsidRDefault="00304938" w:rsidP="009C41BB">
      <w:pPr>
        <w:rPr>
          <w:rFonts w:ascii="Calibri" w:hAnsi="Calibri" w:cs="Calibri"/>
          <w:color w:val="000000"/>
          <w:shd w:val="clear" w:color="auto" w:fill="FFFFFF"/>
        </w:rPr>
      </w:pPr>
      <w:permStart w:id="811147857" w:edGrp="everyone"/>
      <w:r>
        <w:rPr>
          <w:rStyle w:val="normaltextrun"/>
          <w:rFonts w:ascii="Calibri" w:hAnsi="Calibri" w:cs="Calibri"/>
          <w:color w:val="000000"/>
          <w:shd w:val="clear" w:color="auto" w:fill="FFFFFF"/>
        </w:rPr>
        <w:t>We do</w:t>
      </w:r>
      <w:r w:rsidR="00FC7D0A">
        <w:rPr>
          <w:rStyle w:val="normaltextrun"/>
          <w:rFonts w:ascii="Calibri" w:hAnsi="Calibri" w:cs="Calibri"/>
          <w:color w:val="000000"/>
          <w:shd w:val="clear" w:color="auto" w:fill="FFFFFF"/>
        </w:rPr>
        <w:t xml:space="preserve"> not see the benefits of this and </w:t>
      </w:r>
      <w:r>
        <w:rPr>
          <w:rStyle w:val="normaltextrun"/>
          <w:rFonts w:ascii="Calibri" w:hAnsi="Calibri" w:cs="Calibri"/>
          <w:color w:val="000000"/>
          <w:shd w:val="clear" w:color="auto" w:fill="FFFFFF"/>
        </w:rPr>
        <w:t>consider there may be</w:t>
      </w:r>
      <w:r w:rsidR="00FC7D0A">
        <w:rPr>
          <w:rStyle w:val="normaltextrun"/>
          <w:rFonts w:ascii="Calibri" w:hAnsi="Calibri" w:cs="Calibri"/>
          <w:color w:val="000000"/>
          <w:shd w:val="clear" w:color="auto" w:fill="FFFFFF"/>
        </w:rPr>
        <w:t xml:space="preserve"> a disincentive, particularly for multi asset class managers operating across different jurisdictions (who don't necessarily have the same requirements as the EU). A better solution would be to set entity level reporting at the supranational level.</w:t>
      </w:r>
      <w:r w:rsidR="00FC7D0A">
        <w:rPr>
          <w:rStyle w:val="eop"/>
          <w:rFonts w:ascii="Calibri" w:hAnsi="Calibri" w:cs="Calibri"/>
          <w:color w:val="000000"/>
          <w:shd w:val="clear" w:color="auto" w:fill="FFFFFF"/>
        </w:rPr>
        <w:t> </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5F57776B" w14:textId="38530ADD" w:rsidR="00FC7D0A" w:rsidRDefault="00FC7D0A" w:rsidP="00FC7D0A">
      <w:pPr>
        <w:spacing w:after="0" w:line="240" w:lineRule="auto"/>
        <w:rPr>
          <w:rStyle w:val="normaltextrun"/>
          <w:rFonts w:ascii="Calibri" w:hAnsi="Calibri" w:cs="Calibri"/>
          <w:color w:val="000000"/>
          <w:shd w:val="clear" w:color="auto" w:fill="FFFFFF"/>
        </w:rPr>
      </w:pPr>
      <w:permStart w:id="1542225393" w:edGrp="everyone"/>
      <w:r>
        <w:rPr>
          <w:rStyle w:val="normaltextrun"/>
          <w:rFonts w:ascii="Calibri" w:hAnsi="Calibri" w:cs="Calibri"/>
          <w:color w:val="000000"/>
          <w:shd w:val="clear" w:color="auto" w:fill="FFFFFF"/>
        </w:rPr>
        <w:t xml:space="preserve">Thought should be given towards establishing different levels of disclosures for retail vs. professional investors. There are still conflicts between public disclosures for products and general solicitation rules.  </w:t>
      </w:r>
    </w:p>
    <w:p w14:paraId="398D2521" w14:textId="77777777" w:rsidR="00FC7D0A" w:rsidRDefault="00FC7D0A" w:rsidP="00FC7D0A">
      <w:pPr>
        <w:spacing w:after="0" w:line="240" w:lineRule="auto"/>
        <w:rPr>
          <w:rStyle w:val="normaltextrun"/>
          <w:rFonts w:ascii="Calibri" w:hAnsi="Calibri" w:cs="Calibri"/>
          <w:color w:val="000000"/>
          <w:shd w:val="clear" w:color="auto" w:fill="FFFFFF"/>
        </w:rPr>
      </w:pPr>
    </w:p>
    <w:p w14:paraId="0032ED2A" w14:textId="129531F3" w:rsidR="009C41BB" w:rsidRDefault="00FC7D0A" w:rsidP="00FC7D0A">
      <w:r>
        <w:rPr>
          <w:rStyle w:val="normaltextrun"/>
          <w:rFonts w:ascii="Calibri" w:hAnsi="Calibri" w:cs="Calibri"/>
          <w:color w:val="000000"/>
          <w:shd w:val="clear" w:color="auto" w:fill="FFFFFF"/>
        </w:rPr>
        <w:t>To the extent they Commission wants to continue to update templates, this is a costly exercise for fund managers from a time and resourcing perspective. Each time there is an update to the template, we must instruct external counsel to input. That accrues costs if we have multiple PPMS. It would be really helpful to have templates that are easier to adapt and insert (</w:t>
      </w:r>
      <w:proofErr w:type="gramStart"/>
      <w:r>
        <w:rPr>
          <w:rStyle w:val="normaltextrun"/>
          <w:rFonts w:ascii="Calibri" w:hAnsi="Calibri" w:cs="Calibri"/>
          <w:color w:val="000000"/>
          <w:shd w:val="clear" w:color="auto" w:fill="FFFFFF"/>
        </w:rPr>
        <w:t>i.e.</w:t>
      </w:r>
      <w:proofErr w:type="gramEnd"/>
      <w:r>
        <w:rPr>
          <w:rStyle w:val="normaltextrun"/>
          <w:rFonts w:ascii="Calibri" w:hAnsi="Calibri" w:cs="Calibri"/>
          <w:color w:val="000000"/>
          <w:shd w:val="clear" w:color="auto" w:fill="FFFFFF"/>
        </w:rPr>
        <w:t xml:space="preserve"> in electronic form), so that if changes are made, fund managers can easily input / answer the questions. The templates should be simplified.</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15B13386" w14:textId="0DB4C915" w:rsidR="00FC7D0A" w:rsidRDefault="00304938" w:rsidP="00FC7D0A">
      <w:pPr>
        <w:rPr>
          <w:rStyle w:val="normaltextrun"/>
          <w:rFonts w:ascii="Calibri" w:hAnsi="Calibri" w:cs="Calibri"/>
          <w:color w:val="000000"/>
          <w:shd w:val="clear" w:color="auto" w:fill="FFFFFF"/>
        </w:rPr>
      </w:pPr>
      <w:permStart w:id="782583199" w:edGrp="everyone"/>
      <w:r>
        <w:rPr>
          <w:rStyle w:val="normaltextrun"/>
          <w:rFonts w:ascii="Calibri" w:hAnsi="Calibri" w:cs="Calibri"/>
          <w:color w:val="000000"/>
          <w:shd w:val="clear" w:color="auto" w:fill="FFFFFF"/>
        </w:rPr>
        <w:lastRenderedPageBreak/>
        <w:t>Also see IFM’s answer</w:t>
      </w:r>
      <w:r w:rsidR="00FC7D0A">
        <w:rPr>
          <w:rStyle w:val="normaltextrun"/>
          <w:rFonts w:ascii="Calibri" w:hAnsi="Calibri" w:cs="Calibri"/>
          <w:color w:val="000000"/>
          <w:shd w:val="clear" w:color="auto" w:fill="FFFFFF"/>
        </w:rPr>
        <w:t xml:space="preserve"> for Q30. Thought should be given towards establishing different levels of disclosures for retail vs. professional investors. There are still conflicts between public disclosures for products and general solicitation rules.  </w:t>
      </w:r>
    </w:p>
    <w:p w14:paraId="4A991AED" w14:textId="3B9EA144" w:rsidR="009C41BB" w:rsidRDefault="00FC7D0A" w:rsidP="00FC7D0A">
      <w:r>
        <w:rPr>
          <w:rStyle w:val="normaltextrun"/>
          <w:rFonts w:ascii="Calibri" w:hAnsi="Calibri" w:cs="Calibri"/>
          <w:color w:val="000000"/>
          <w:shd w:val="clear" w:color="auto" w:fill="FFFFFF"/>
        </w:rPr>
        <w:t>To the extent they Commission wants to continue to update templates, this is a costly exercise for fund managers from a time and resourcing perspective. Each time there is an update to the template, we must instruct external counsel to input. That accrues costs if we have multiple PPMS. It would be really helpful to have templates that are easier to adapt and insert (</w:t>
      </w:r>
      <w:proofErr w:type="gramStart"/>
      <w:r>
        <w:rPr>
          <w:rStyle w:val="normaltextrun"/>
          <w:rFonts w:ascii="Calibri" w:hAnsi="Calibri" w:cs="Calibri"/>
          <w:color w:val="000000"/>
          <w:shd w:val="clear" w:color="auto" w:fill="FFFFFF"/>
        </w:rPr>
        <w:t>i.e.</w:t>
      </w:r>
      <w:proofErr w:type="gramEnd"/>
      <w:r>
        <w:rPr>
          <w:rStyle w:val="normaltextrun"/>
          <w:rFonts w:ascii="Calibri" w:hAnsi="Calibri" w:cs="Calibri"/>
          <w:color w:val="000000"/>
          <w:shd w:val="clear" w:color="auto" w:fill="FFFFFF"/>
        </w:rPr>
        <w:t xml:space="preserve"> in electronic form), so that if changes are made, fund managers can easily input / answer the questions. The templates should be simplified.</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lastRenderedPageBreak/>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3939A30B" w:rsidR="009C41BB" w:rsidRPr="00FC7D0A" w:rsidRDefault="00FC7D0A" w:rsidP="00FC7D0A">
      <w:pPr>
        <w:spacing w:after="0" w:line="240" w:lineRule="auto"/>
        <w:rPr>
          <w:rFonts w:ascii="Calibri" w:hAnsi="Calibri" w:cs="Calibri"/>
          <w:color w:val="000000"/>
          <w:shd w:val="clear" w:color="auto" w:fill="FFFFFF"/>
        </w:rPr>
      </w:pPr>
      <w:permStart w:id="1477927507" w:edGrp="everyone"/>
      <w:r>
        <w:rPr>
          <w:rStyle w:val="normaltextrun"/>
          <w:rFonts w:ascii="Calibri" w:hAnsi="Calibri" w:cs="Calibri"/>
          <w:color w:val="000000"/>
          <w:shd w:val="clear" w:color="auto" w:fill="FFFFFF"/>
        </w:rPr>
        <w:t>Key environmental metrics need further specification as well as the metrics would be deemed suitable for determining substantial contribution.</w:t>
      </w:r>
    </w:p>
    <w:permEnd w:id="1477927507"/>
    <w:p w14:paraId="2C972BE6" w14:textId="77777777" w:rsidR="00304938" w:rsidRDefault="00304938" w:rsidP="009C41BB"/>
    <w:p w14:paraId="6186E95A" w14:textId="7330A782"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0CBBB2F6" w:rsidR="009C41BB" w:rsidRPr="00FC7D0A" w:rsidRDefault="00FC7D0A" w:rsidP="009C41BB">
      <w:pPr>
        <w:rPr>
          <w:rFonts w:ascii="Calibri" w:hAnsi="Calibri" w:cs="Calibri"/>
          <w:color w:val="000000"/>
          <w:shd w:val="clear" w:color="auto" w:fill="FFFFFF"/>
        </w:rPr>
      </w:pPr>
      <w:permStart w:id="1880105875" w:edGrp="everyone"/>
      <w:r>
        <w:rPr>
          <w:rStyle w:val="normaltextrun"/>
          <w:rFonts w:ascii="Calibri" w:hAnsi="Calibri" w:cs="Calibri"/>
          <w:color w:val="000000"/>
          <w:shd w:val="clear" w:color="auto" w:fill="FFFFFF"/>
        </w:rPr>
        <w:t>FMPs should be able to set their own approach and disclose their approach.</w:t>
      </w:r>
      <w:r>
        <w:rPr>
          <w:rStyle w:val="eop"/>
          <w:rFonts w:ascii="Calibri" w:hAnsi="Calibri" w:cs="Calibri"/>
          <w:color w:val="000000"/>
          <w:shd w:val="clear" w:color="auto" w:fill="FFFFFF"/>
        </w:rPr>
        <w:t> </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lastRenderedPageBreak/>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lastRenderedPageBreak/>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84C" w14:textId="77777777" w:rsidR="00A41B8D" w:rsidRDefault="00A41B8D" w:rsidP="00707738">
      <w:pPr>
        <w:spacing w:after="0" w:line="240" w:lineRule="auto"/>
      </w:pPr>
      <w:r>
        <w:separator/>
      </w:r>
    </w:p>
  </w:endnote>
  <w:endnote w:type="continuationSeparator" w:id="0">
    <w:p w14:paraId="290C2818" w14:textId="77777777" w:rsidR="00A41B8D" w:rsidRDefault="00A41B8D"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DAE6" w14:textId="77777777" w:rsidR="00A41B8D" w:rsidRDefault="00A41B8D" w:rsidP="00707738">
      <w:pPr>
        <w:spacing w:after="0" w:line="240" w:lineRule="auto"/>
      </w:pPr>
      <w:r>
        <w:separator/>
      </w:r>
    </w:p>
  </w:footnote>
  <w:footnote w:type="continuationSeparator" w:id="0">
    <w:p w14:paraId="60E961DD" w14:textId="77777777" w:rsidR="00A41B8D" w:rsidRDefault="00A41B8D"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AA4E42"/>
    <w:multiLevelType w:val="hybridMultilevel"/>
    <w:tmpl w:val="4C82ACC8"/>
    <w:lvl w:ilvl="0" w:tplc="E5F0EEF8">
      <w:start w:val="202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30"/>
  </w:num>
  <w:num w:numId="6" w16cid:durableId="1277104421">
    <w:abstractNumId w:val="32"/>
  </w:num>
  <w:num w:numId="7" w16cid:durableId="242104871">
    <w:abstractNumId w:val="20"/>
  </w:num>
  <w:num w:numId="8" w16cid:durableId="522284696">
    <w:abstractNumId w:val="12"/>
  </w:num>
  <w:num w:numId="9" w16cid:durableId="1250770362">
    <w:abstractNumId w:val="8"/>
  </w:num>
  <w:num w:numId="10" w16cid:durableId="1358701701">
    <w:abstractNumId w:val="36"/>
  </w:num>
  <w:num w:numId="11" w16cid:durableId="1625037795">
    <w:abstractNumId w:val="21"/>
  </w:num>
  <w:num w:numId="12" w16cid:durableId="61487579">
    <w:abstractNumId w:val="41"/>
  </w:num>
  <w:num w:numId="13" w16cid:durableId="856233915">
    <w:abstractNumId w:val="16"/>
  </w:num>
  <w:num w:numId="14" w16cid:durableId="1381858278">
    <w:abstractNumId w:val="34"/>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9"/>
  </w:num>
  <w:num w:numId="21" w16cid:durableId="748115910">
    <w:abstractNumId w:val="4"/>
  </w:num>
  <w:num w:numId="22" w16cid:durableId="717703608">
    <w:abstractNumId w:val="35"/>
  </w:num>
  <w:num w:numId="23" w16cid:durableId="600113171">
    <w:abstractNumId w:val="14"/>
  </w:num>
  <w:num w:numId="24" w16cid:durableId="241523878">
    <w:abstractNumId w:val="37"/>
  </w:num>
  <w:num w:numId="25" w16cid:durableId="80297080">
    <w:abstractNumId w:val="9"/>
  </w:num>
  <w:num w:numId="26" w16cid:durableId="576936923">
    <w:abstractNumId w:val="38"/>
  </w:num>
  <w:num w:numId="27" w16cid:durableId="379136238">
    <w:abstractNumId w:val="19"/>
  </w:num>
  <w:num w:numId="28" w16cid:durableId="1234242114">
    <w:abstractNumId w:val="17"/>
  </w:num>
  <w:num w:numId="29" w16cid:durableId="6490979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3"/>
  </w:num>
  <w:num w:numId="37" w16cid:durableId="860432523">
    <w:abstractNumId w:val="26"/>
  </w:num>
  <w:num w:numId="38" w16cid:durableId="1880386777">
    <w:abstractNumId w:val="24"/>
  </w:num>
  <w:num w:numId="39" w16cid:durableId="140314737">
    <w:abstractNumId w:val="6"/>
  </w:num>
  <w:num w:numId="40" w16cid:durableId="399055937">
    <w:abstractNumId w:val="31"/>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47351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BC2"/>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938"/>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94FDF"/>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77D04"/>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86298"/>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C7D0A"/>
    <w:rsid w:val="00FD1BCF"/>
    <w:rsid w:val="00FD262D"/>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customStyle="1" w:styleId="normaltextrun">
    <w:name w:val="normaltextrun"/>
    <w:basedOn w:val="DefaultParagraphFont"/>
    <w:rsid w:val="00276BC2"/>
  </w:style>
  <w:style w:type="character" w:customStyle="1" w:styleId="eop">
    <w:name w:val="eop"/>
    <w:basedOn w:val="DefaultParagraphFont"/>
    <w:rsid w:val="0027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37138624">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293829724">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479077636">
      <w:bodyDiv w:val="1"/>
      <w:marLeft w:val="0"/>
      <w:marRight w:val="0"/>
      <w:marTop w:val="0"/>
      <w:marBottom w:val="0"/>
      <w:divBdr>
        <w:top w:val="none" w:sz="0" w:space="0" w:color="auto"/>
        <w:left w:val="none" w:sz="0" w:space="0" w:color="auto"/>
        <w:bottom w:val="none" w:sz="0" w:space="0" w:color="auto"/>
        <w:right w:val="none" w:sz="0" w:space="0" w:color="auto"/>
      </w:divBdr>
    </w:div>
    <w:div w:id="507911351">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11458907">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864442249">
      <w:bodyDiv w:val="1"/>
      <w:marLeft w:val="0"/>
      <w:marRight w:val="0"/>
      <w:marTop w:val="0"/>
      <w:marBottom w:val="0"/>
      <w:divBdr>
        <w:top w:val="none" w:sz="0" w:space="0" w:color="auto"/>
        <w:left w:val="none" w:sz="0" w:space="0" w:color="auto"/>
        <w:bottom w:val="none" w:sz="0" w:space="0" w:color="auto"/>
        <w:right w:val="none" w:sz="0" w:space="0" w:color="auto"/>
      </w:divBdr>
    </w:div>
    <w:div w:id="879436054">
      <w:bodyDiv w:val="1"/>
      <w:marLeft w:val="0"/>
      <w:marRight w:val="0"/>
      <w:marTop w:val="0"/>
      <w:marBottom w:val="0"/>
      <w:divBdr>
        <w:top w:val="none" w:sz="0" w:space="0" w:color="auto"/>
        <w:left w:val="none" w:sz="0" w:space="0" w:color="auto"/>
        <w:bottom w:val="none" w:sz="0" w:space="0" w:color="auto"/>
        <w:right w:val="none" w:sz="0" w:space="0" w:color="auto"/>
      </w:divBdr>
    </w:div>
    <w:div w:id="929312338">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985818986">
      <w:bodyDiv w:val="1"/>
      <w:marLeft w:val="0"/>
      <w:marRight w:val="0"/>
      <w:marTop w:val="0"/>
      <w:marBottom w:val="0"/>
      <w:divBdr>
        <w:top w:val="none" w:sz="0" w:space="0" w:color="auto"/>
        <w:left w:val="none" w:sz="0" w:space="0" w:color="auto"/>
        <w:bottom w:val="none" w:sz="0" w:space="0" w:color="auto"/>
        <w:right w:val="none" w:sz="0" w:space="0" w:color="auto"/>
      </w:divBdr>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112432973">
      <w:bodyDiv w:val="1"/>
      <w:marLeft w:val="0"/>
      <w:marRight w:val="0"/>
      <w:marTop w:val="0"/>
      <w:marBottom w:val="0"/>
      <w:divBdr>
        <w:top w:val="none" w:sz="0" w:space="0" w:color="auto"/>
        <w:left w:val="none" w:sz="0" w:space="0" w:color="auto"/>
        <w:bottom w:val="none" w:sz="0" w:space="0" w:color="auto"/>
        <w:right w:val="none" w:sz="0" w:space="0" w:color="auto"/>
      </w:divBdr>
    </w:div>
    <w:div w:id="1227455680">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313676711">
      <w:bodyDiv w:val="1"/>
      <w:marLeft w:val="0"/>
      <w:marRight w:val="0"/>
      <w:marTop w:val="0"/>
      <w:marBottom w:val="0"/>
      <w:divBdr>
        <w:top w:val="none" w:sz="0" w:space="0" w:color="auto"/>
        <w:left w:val="none" w:sz="0" w:space="0" w:color="auto"/>
        <w:bottom w:val="none" w:sz="0" w:space="0" w:color="auto"/>
        <w:right w:val="none" w:sz="0" w:space="0" w:color="auto"/>
      </w:divBdr>
    </w:div>
    <w:div w:id="1389261411">
      <w:bodyDiv w:val="1"/>
      <w:marLeft w:val="0"/>
      <w:marRight w:val="0"/>
      <w:marTop w:val="0"/>
      <w:marBottom w:val="0"/>
      <w:divBdr>
        <w:top w:val="none" w:sz="0" w:space="0" w:color="auto"/>
        <w:left w:val="none" w:sz="0" w:space="0" w:color="auto"/>
        <w:bottom w:val="none" w:sz="0" w:space="0" w:color="auto"/>
        <w:right w:val="none" w:sz="0" w:space="0" w:color="auto"/>
      </w:divBdr>
    </w:div>
    <w:div w:id="1468007678">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691949731">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09006244">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852453490">
      <w:bodyDiv w:val="1"/>
      <w:marLeft w:val="0"/>
      <w:marRight w:val="0"/>
      <w:marTop w:val="0"/>
      <w:marBottom w:val="0"/>
      <w:divBdr>
        <w:top w:val="none" w:sz="0" w:space="0" w:color="auto"/>
        <w:left w:val="none" w:sz="0" w:space="0" w:color="auto"/>
        <w:bottom w:val="none" w:sz="0" w:space="0" w:color="auto"/>
        <w:right w:val="none" w:sz="0" w:space="0" w:color="auto"/>
      </w:divBdr>
    </w:div>
    <w:div w:id="1920216266">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4920850">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068651123">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 ds:uri="40a17f77-1929-4e25-9c96-0feefab79ed5"/>
  </ds:schemaRefs>
</ds:datastoreItem>
</file>

<file path=customXml/itemProps4.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5.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JC ESAs letter 2023</Template>
  <TotalTime>16</TotalTime>
  <Pages>19</Pages>
  <Words>4843</Words>
  <Characters>27610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Latham, Amanda</cp:lastModifiedBy>
  <cp:revision>5</cp:revision>
  <cp:lastPrinted>2022-02-14T13:26:00Z</cp:lastPrinted>
  <dcterms:created xsi:type="dcterms:W3CDTF">2023-07-04T15:50:00Z</dcterms:created>
  <dcterms:modified xsi:type="dcterms:W3CDTF">2023-07-04T16:08:00Z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