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401FE5C5"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r w:rsidRPr="005418F4">
        <w:rPr>
          <w:rFonts w:ascii="Arial" w:hAnsi="Arial" w:cs="Arial"/>
          <w:b/>
          <w:bCs/>
          <w:sz w:val="28"/>
          <w:szCs w:val="28"/>
          <w:lang w:val="en-US"/>
        </w:rPr>
        <w:t>eview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 xml:space="preserve">_nameofrespondent.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_ABCD.</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9A208D" w14:paraId="41EDECFD" w14:textId="77777777" w:rsidTr="00421692">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lang w:val="fr-FR"/>
            </w:rPr>
            <w:id w:val="651570699"/>
            <w:text/>
          </w:sdtPr>
          <w:sdtEndPr/>
          <w:sdtContent>
            <w:tc>
              <w:tcPr>
                <w:tcW w:w="5595" w:type="dxa"/>
                <w:shd w:val="clear" w:color="auto" w:fill="auto"/>
                <w:vAlign w:val="center"/>
              </w:tcPr>
              <w:p w14:paraId="2D662032" w14:textId="20D5AD67" w:rsidR="005418F4" w:rsidRPr="00A55DD7" w:rsidRDefault="00A55DD7" w:rsidP="005418F4">
                <w:pPr>
                  <w:spacing w:after="250"/>
                  <w:rPr>
                    <w:rFonts w:ascii="Arial" w:eastAsiaTheme="minorEastAsia" w:hAnsi="Arial" w:cs="Arial"/>
                    <w:color w:val="808080"/>
                    <w:szCs w:val="20"/>
                    <w:lang w:val="fr-FR"/>
                  </w:rPr>
                </w:pPr>
                <w:r w:rsidRPr="00A55DD7">
                  <w:rPr>
                    <w:rFonts w:ascii="Arial" w:eastAsiaTheme="minorEastAsia" w:hAnsi="Arial" w:cs="Arial"/>
                    <w:color w:val="808080"/>
                    <w:szCs w:val="20"/>
                    <w:lang w:val="fr-FR"/>
                  </w:rPr>
                  <w:t>Institut de la finance du</w:t>
                </w:r>
                <w:r>
                  <w:rPr>
                    <w:rFonts w:ascii="Arial" w:eastAsiaTheme="minorEastAsia" w:hAnsi="Arial" w:cs="Arial"/>
                    <w:color w:val="808080"/>
                    <w:szCs w:val="20"/>
                    <w:lang w:val="fr-FR"/>
                  </w:rPr>
                  <w:t>rable (IFD)</w:t>
                </w:r>
              </w:p>
            </w:tc>
          </w:sdtContent>
        </w:sdt>
      </w:tr>
      <w:tr w:rsidR="005418F4" w:rsidRPr="005418F4" w14:paraId="1994CDD1" w14:textId="77777777" w:rsidTr="00421692">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7D1866D8" w:rsidR="005418F4" w:rsidRPr="005418F4" w:rsidRDefault="009A208D"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A3C24">
                  <w:rPr>
                    <w:rFonts w:ascii="Arial" w:eastAsiaTheme="minorEastAsia" w:hAnsi="Arial" w:cs="Arial"/>
                    <w:color w:val="1A1A1A" w:themeColor="background1" w:themeShade="1A"/>
                    <w:szCs w:val="20"/>
                  </w:rPr>
                  <w:t xml:space="preserve">Finance, insurance, </w:t>
                </w:r>
                <w:r w:rsidR="00B16D46">
                  <w:rPr>
                    <w:rFonts w:ascii="Arial" w:eastAsiaTheme="minorEastAsia" w:hAnsi="Arial" w:cs="Arial"/>
                    <w:color w:val="1A1A1A" w:themeColor="background1" w:themeShade="1A"/>
                    <w:szCs w:val="20"/>
                  </w:rPr>
                  <w:t>corporate, bank</w:t>
                </w:r>
                <w:r w:rsidR="005418F4" w:rsidRPr="005418F4">
                  <w:rPr>
                    <w:rFonts w:ascii="Arial" w:eastAsiaTheme="minorEastAsia" w:hAnsi="Arial" w:cs="Arial"/>
                    <w:color w:val="1A1A1A" w:themeColor="background1" w:themeShade="1A"/>
                    <w:szCs w:val="20"/>
                  </w:rPr>
                  <w:t>.</w:t>
                </w:r>
              </w:sdtContent>
            </w:sdt>
          </w:p>
        </w:tc>
      </w:tr>
      <w:tr w:rsidR="005418F4" w:rsidRPr="005418F4" w14:paraId="6D2BB9B6" w14:textId="77777777" w:rsidTr="00421692">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5917360B" w:rsidR="005418F4" w:rsidRPr="005418F4" w:rsidRDefault="00701842"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421692">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tc>
          <w:tcPr>
            <w:tcW w:w="5595" w:type="dxa"/>
            <w:shd w:val="clear" w:color="auto" w:fill="auto"/>
            <w:vAlign w:val="center"/>
          </w:tcPr>
          <w:p w14:paraId="763C0ACF" w14:textId="1340B414" w:rsidR="005418F4" w:rsidRPr="005418F4" w:rsidRDefault="00817076"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 xml:space="preserve">France </w:t>
            </w:r>
            <w:sdt>
              <w:sdtPr>
                <w:rPr>
                  <w:rFonts w:ascii="Arial" w:eastAsiaTheme="minorEastAsia" w:hAnsi="Arial" w:cs="Arial"/>
                  <w:color w:val="1A1A1A" w:themeColor="background1" w:themeShade="1A"/>
                  <w:szCs w:val="20"/>
                </w:r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r>
                  <w:rPr>
                    <w:rFonts w:ascii="Arial" w:eastAsiaTheme="minorEastAsia" w:hAnsi="Arial" w:cs="Arial"/>
                    <w:color w:val="1A1A1A" w:themeColor="background1" w:themeShade="1A"/>
                    <w:szCs w:val="20"/>
                  </w:rPr>
                  <w:t xml:space="preserve">     </w:t>
                </w:r>
              </w:sdtContent>
            </w:sdt>
          </w:p>
        </w:tc>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Pr="00800F15" w:rsidRDefault="009C41BB" w:rsidP="00384BD2">
      <w:pPr>
        <w:pStyle w:val="Questionstyle"/>
        <w:numPr>
          <w:ilvl w:val="0"/>
          <w:numId w:val="42"/>
        </w:numPr>
      </w:pPr>
      <w:bookmarkStart w:id="0" w:name="_Hlk131609827"/>
      <w:r w:rsidRPr="00800F15">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0B82B0FB" w14:textId="77777777" w:rsidR="00BD4A00" w:rsidRDefault="009C41BB" w:rsidP="00953E8F">
      <w:pPr>
        <w:spacing w:after="0" w:line="240" w:lineRule="auto"/>
        <w:jc w:val="both"/>
      </w:pPr>
      <w:r>
        <w:t>&lt;ESMA_QUESTION_SFDR_1&gt;</w:t>
      </w:r>
      <w:permStart w:id="5929778" w:edGrp="everyone"/>
    </w:p>
    <w:p w14:paraId="4C3DA985" w14:textId="77777777" w:rsidR="00BD4A00" w:rsidRDefault="00BD4A00" w:rsidP="00953E8F">
      <w:pPr>
        <w:spacing w:after="0" w:line="240" w:lineRule="auto"/>
        <w:jc w:val="both"/>
      </w:pPr>
    </w:p>
    <w:p w14:paraId="57165922" w14:textId="2FCC509F" w:rsidR="00953E8F" w:rsidRPr="00BD4A00" w:rsidRDefault="00953E8F" w:rsidP="00953E8F">
      <w:pPr>
        <w:spacing w:after="0" w:line="240" w:lineRule="auto"/>
        <w:jc w:val="both"/>
      </w:pPr>
      <w:r w:rsidRPr="00465EB3">
        <w:rPr>
          <w:rFonts w:cstheme="minorHAnsi"/>
        </w:rPr>
        <w:t>The draft RTSs introduce 4 new mandatory indicators and 6 new opt-in indicators; for investments outside sovereigns, supranationals and real-estate, they would complement the 57 current indicators (without taking into account the sub-indicators</w:t>
      </w:r>
      <w:r w:rsidR="004407C7" w:rsidRPr="00465EB3">
        <w:rPr>
          <w:rFonts w:cstheme="minorHAnsi"/>
        </w:rPr>
        <w:t>).</w:t>
      </w:r>
    </w:p>
    <w:p w14:paraId="65F3C275" w14:textId="77777777" w:rsidR="00785443" w:rsidRPr="00465EB3" w:rsidRDefault="00785443" w:rsidP="00953E8F">
      <w:pPr>
        <w:spacing w:after="0" w:line="240" w:lineRule="auto"/>
        <w:jc w:val="both"/>
        <w:rPr>
          <w:rFonts w:cstheme="minorHAnsi"/>
        </w:rPr>
      </w:pPr>
    </w:p>
    <w:p w14:paraId="258B5B3A" w14:textId="04FC3145" w:rsidR="004407C7" w:rsidRPr="00465EB3" w:rsidRDefault="004407C7" w:rsidP="00953E8F">
      <w:pPr>
        <w:spacing w:after="0" w:line="240" w:lineRule="auto"/>
        <w:jc w:val="both"/>
        <w:rPr>
          <w:rFonts w:cstheme="minorHAnsi"/>
          <w:color w:val="374151"/>
          <w:shd w:val="clear" w:color="auto" w:fill="F7F7F8"/>
        </w:rPr>
      </w:pPr>
      <w:r w:rsidRPr="00465EB3">
        <w:rPr>
          <w:rFonts w:cstheme="minorHAnsi"/>
        </w:rPr>
        <w:t xml:space="preserve">We consider </w:t>
      </w:r>
      <w:r w:rsidR="00613003" w:rsidRPr="00465EB3">
        <w:rPr>
          <w:rFonts w:cstheme="minorHAnsi"/>
        </w:rPr>
        <w:t xml:space="preserve">premature to introduce new indicators </w:t>
      </w:r>
      <w:r w:rsidR="00A55A92" w:rsidRPr="00465EB3">
        <w:rPr>
          <w:rFonts w:cstheme="minorHAnsi"/>
        </w:rPr>
        <w:t xml:space="preserve">while we do not have feedback on the </w:t>
      </w:r>
      <w:r w:rsidR="000441ED" w:rsidRPr="00465EB3">
        <w:rPr>
          <w:rFonts w:cstheme="minorHAnsi"/>
        </w:rPr>
        <w:t>first</w:t>
      </w:r>
      <w:r w:rsidR="00A55A92" w:rsidRPr="00465EB3">
        <w:rPr>
          <w:rFonts w:cstheme="minorHAnsi"/>
        </w:rPr>
        <w:t xml:space="preserve"> indicators yet.</w:t>
      </w:r>
    </w:p>
    <w:p w14:paraId="39291DDF" w14:textId="77777777" w:rsidR="00785443" w:rsidRPr="00465EB3" w:rsidRDefault="00785443" w:rsidP="00953E8F">
      <w:pPr>
        <w:spacing w:after="0" w:line="240" w:lineRule="auto"/>
        <w:jc w:val="both"/>
        <w:rPr>
          <w:rFonts w:cstheme="minorHAnsi"/>
          <w:lang w:val="en-US"/>
        </w:rPr>
      </w:pPr>
    </w:p>
    <w:p w14:paraId="27AC5365" w14:textId="77777777" w:rsidR="00C87C92" w:rsidRPr="00465EB3" w:rsidRDefault="00C87C92" w:rsidP="00C87C92">
      <w:pPr>
        <w:jc w:val="both"/>
        <w:rPr>
          <w:rFonts w:cstheme="minorHAnsi"/>
          <w:b/>
          <w:bCs/>
          <w:u w:val="single"/>
          <w:lang w:val="en-US"/>
        </w:rPr>
      </w:pPr>
      <w:r w:rsidRPr="00465EB3">
        <w:rPr>
          <w:rFonts w:cstheme="minorHAnsi"/>
          <w:b/>
          <w:bCs/>
          <w:u w:val="single"/>
          <w:lang w:val="en-US"/>
        </w:rPr>
        <w:t>Consistency with the ESRS</w:t>
      </w:r>
    </w:p>
    <w:p w14:paraId="304E4CB5" w14:textId="70F54D05" w:rsidR="003C7DEF" w:rsidRPr="00465EB3" w:rsidRDefault="00620C2B" w:rsidP="00620C2B">
      <w:pPr>
        <w:jc w:val="both"/>
        <w:rPr>
          <w:rFonts w:cstheme="minorHAnsi"/>
          <w:lang w:val="en-US"/>
        </w:rPr>
      </w:pPr>
      <w:r w:rsidRPr="00465EB3">
        <w:rPr>
          <w:rFonts w:cstheme="minorHAnsi"/>
          <w:lang w:val="en-US"/>
        </w:rPr>
        <w:t xml:space="preserve">We consider that the proposed new </w:t>
      </w:r>
      <w:r w:rsidRPr="00465EB3">
        <w:rPr>
          <w:rFonts w:cstheme="minorHAnsi"/>
        </w:rPr>
        <w:t xml:space="preserve">approach </w:t>
      </w:r>
      <w:r w:rsidR="00D86FDD" w:rsidRPr="00465EB3">
        <w:rPr>
          <w:rFonts w:cstheme="minorHAnsi"/>
        </w:rPr>
        <w:t>of the ESRS (European Sustainability Reporting Standards)</w:t>
      </w:r>
      <w:r w:rsidR="005D6D39" w:rsidRPr="00465EB3">
        <w:rPr>
          <w:rFonts w:cstheme="minorHAnsi"/>
        </w:rPr>
        <w:t>,</w:t>
      </w:r>
      <w:r w:rsidR="00D86FDD" w:rsidRPr="00465EB3">
        <w:rPr>
          <w:rFonts w:cstheme="minorHAnsi"/>
        </w:rPr>
        <w:t xml:space="preserve"> according to which every datapoint is subject to materiality</w:t>
      </w:r>
      <w:r w:rsidR="005D6D39" w:rsidRPr="00465EB3">
        <w:rPr>
          <w:rFonts w:cstheme="minorHAnsi"/>
          <w:color w:val="374151"/>
          <w:shd w:val="clear" w:color="auto" w:fill="F7F7F8"/>
        </w:rPr>
        <w:t xml:space="preserve">, </w:t>
      </w:r>
      <w:r w:rsidR="00EA4179" w:rsidRPr="00465EB3">
        <w:rPr>
          <w:rFonts w:cstheme="minorHAnsi"/>
          <w:lang w:val="en-US"/>
        </w:rPr>
        <w:t xml:space="preserve">puts </w:t>
      </w:r>
      <w:r w:rsidR="00DA05D5" w:rsidRPr="00465EB3">
        <w:rPr>
          <w:rFonts w:cstheme="minorHAnsi"/>
          <w:lang w:val="en-US"/>
        </w:rPr>
        <w:t xml:space="preserve">financial market participants </w:t>
      </w:r>
      <w:r w:rsidR="002E6CA2" w:rsidRPr="00465EB3">
        <w:rPr>
          <w:rFonts w:cstheme="minorHAnsi"/>
          <w:lang w:val="en-US"/>
        </w:rPr>
        <w:t xml:space="preserve">(FMP) </w:t>
      </w:r>
      <w:r w:rsidR="00D50120" w:rsidRPr="00465EB3">
        <w:rPr>
          <w:rFonts w:cstheme="minorHAnsi"/>
          <w:lang w:val="en-US"/>
        </w:rPr>
        <w:t xml:space="preserve">in a very difficult </w:t>
      </w:r>
      <w:r w:rsidR="001A3226" w:rsidRPr="00465EB3">
        <w:rPr>
          <w:rFonts w:cstheme="minorHAnsi"/>
          <w:lang w:val="en-US"/>
        </w:rPr>
        <w:t xml:space="preserve">situation as they are </w:t>
      </w:r>
      <w:r w:rsidRPr="00465EB3">
        <w:rPr>
          <w:rFonts w:cstheme="minorHAnsi"/>
          <w:lang w:val="en-US"/>
        </w:rPr>
        <w:t>subject to more stringent reporting requirements, in the context of the SFDR because the materiality assessment is not allowed under th</w:t>
      </w:r>
      <w:r w:rsidR="00DA05D5" w:rsidRPr="00465EB3">
        <w:rPr>
          <w:rFonts w:cstheme="minorHAnsi"/>
          <w:lang w:val="en-US"/>
        </w:rPr>
        <w:t>is</w:t>
      </w:r>
      <w:r w:rsidRPr="00465EB3">
        <w:rPr>
          <w:rFonts w:cstheme="minorHAnsi"/>
          <w:lang w:val="en-US"/>
        </w:rPr>
        <w:t xml:space="preserve"> regulation</w:t>
      </w:r>
      <w:r w:rsidR="0026023B" w:rsidRPr="00465EB3">
        <w:rPr>
          <w:rFonts w:cstheme="minorHAnsi"/>
          <w:lang w:val="en-US"/>
        </w:rPr>
        <w:t xml:space="preserve"> and ESG-related information must be collected and reported by financial institutions on each of their counterparties. To comply with their reporting requirements, financial institutions may rely on proxies and estimates, which alters the quality of their reporting and risk analysis, or collect information on a bilateral basis, which is extremely burdensome for both companies and financial institutions</w:t>
      </w:r>
      <w:r w:rsidRPr="00465EB3">
        <w:rPr>
          <w:rFonts w:cstheme="minorHAnsi"/>
          <w:lang w:val="en-US"/>
        </w:rPr>
        <w:t xml:space="preserve">. </w:t>
      </w:r>
      <w:r w:rsidR="003C7DEF" w:rsidRPr="008B1257">
        <w:rPr>
          <w:rStyle w:val="cf01"/>
          <w:rFonts w:asciiTheme="minorHAnsi" w:hAnsiTheme="minorHAnsi" w:cstheme="minorHAnsi"/>
          <w:b/>
          <w:bCs/>
          <w:sz w:val="22"/>
          <w:szCs w:val="22"/>
        </w:rPr>
        <w:t>The first urgency is</w:t>
      </w:r>
      <w:r w:rsidR="000F5295" w:rsidRPr="008B1257">
        <w:rPr>
          <w:rStyle w:val="cf01"/>
          <w:rFonts w:asciiTheme="minorHAnsi" w:hAnsiTheme="minorHAnsi" w:cstheme="minorHAnsi"/>
          <w:b/>
          <w:bCs/>
          <w:sz w:val="22"/>
          <w:szCs w:val="22"/>
        </w:rPr>
        <w:t xml:space="preserve"> therefore</w:t>
      </w:r>
      <w:r w:rsidR="003C7DEF" w:rsidRPr="008B1257">
        <w:rPr>
          <w:rStyle w:val="cf01"/>
          <w:rFonts w:asciiTheme="minorHAnsi" w:hAnsiTheme="minorHAnsi" w:cstheme="minorHAnsi"/>
          <w:b/>
          <w:bCs/>
          <w:sz w:val="22"/>
          <w:szCs w:val="22"/>
        </w:rPr>
        <w:t xml:space="preserve"> to align </w:t>
      </w:r>
      <w:r w:rsidR="00854503" w:rsidRPr="008B1257">
        <w:rPr>
          <w:rStyle w:val="cf01"/>
          <w:rFonts w:asciiTheme="minorHAnsi" w:hAnsiTheme="minorHAnsi" w:cstheme="minorHAnsi"/>
          <w:b/>
          <w:bCs/>
          <w:sz w:val="22"/>
          <w:szCs w:val="22"/>
        </w:rPr>
        <w:t>SFDR and CSRD</w:t>
      </w:r>
      <w:r w:rsidR="003C7DEF" w:rsidRPr="008B1257">
        <w:rPr>
          <w:rStyle w:val="cf01"/>
          <w:rFonts w:asciiTheme="minorHAnsi" w:hAnsiTheme="minorHAnsi" w:cstheme="minorHAnsi"/>
          <w:b/>
          <w:bCs/>
          <w:sz w:val="22"/>
          <w:szCs w:val="22"/>
        </w:rPr>
        <w:t xml:space="preserve"> regulation</w:t>
      </w:r>
      <w:r w:rsidR="00854503" w:rsidRPr="008B1257">
        <w:rPr>
          <w:rStyle w:val="cf01"/>
          <w:rFonts w:asciiTheme="minorHAnsi" w:hAnsiTheme="minorHAnsi" w:cstheme="minorHAnsi"/>
          <w:b/>
          <w:bCs/>
          <w:sz w:val="22"/>
          <w:szCs w:val="22"/>
        </w:rPr>
        <w:t>s</w:t>
      </w:r>
      <w:r w:rsidR="003C7DEF" w:rsidRPr="00465EB3">
        <w:rPr>
          <w:rStyle w:val="cf01"/>
          <w:rFonts w:asciiTheme="minorHAnsi" w:hAnsiTheme="minorHAnsi" w:cstheme="minorHAnsi"/>
          <w:sz w:val="22"/>
          <w:szCs w:val="22"/>
        </w:rPr>
        <w:t>.</w:t>
      </w:r>
    </w:p>
    <w:p w14:paraId="0ADFB5D9" w14:textId="265491E3" w:rsidR="00620C2B" w:rsidRPr="00465EB3" w:rsidRDefault="00CC3B97" w:rsidP="00620C2B">
      <w:pPr>
        <w:jc w:val="both"/>
        <w:rPr>
          <w:rFonts w:cstheme="minorHAnsi"/>
          <w:lang w:val="en-IE"/>
        </w:rPr>
      </w:pPr>
      <w:r w:rsidRPr="00465EB3">
        <w:rPr>
          <w:rFonts w:cstheme="minorHAnsi"/>
          <w:lang w:val="en-IE"/>
        </w:rPr>
        <w:t xml:space="preserve">We need more clarification and explanation on how to </w:t>
      </w:r>
      <w:r w:rsidRPr="003F1326">
        <w:rPr>
          <w:rFonts w:cstheme="minorHAnsi"/>
          <w:lang w:val="en-IE"/>
        </w:rPr>
        <w:t xml:space="preserve">count </w:t>
      </w:r>
      <w:r w:rsidR="002C76DF" w:rsidRPr="003F1326">
        <w:rPr>
          <w:rFonts w:cstheme="minorHAnsi"/>
          <w:lang w:val="en-IE"/>
        </w:rPr>
        <w:t xml:space="preserve">the </w:t>
      </w:r>
      <w:r w:rsidR="002C76DF" w:rsidRPr="003F1326">
        <w:rPr>
          <w:rFonts w:cstheme="minorHAnsi"/>
        </w:rPr>
        <w:t xml:space="preserve">mandatory social indicators in Annex I. </w:t>
      </w:r>
      <w:r w:rsidR="00635ED3" w:rsidRPr="003F1326">
        <w:rPr>
          <w:rFonts w:cstheme="minorHAnsi"/>
        </w:rPr>
        <w:t xml:space="preserve">Furthermore, </w:t>
      </w:r>
      <w:r w:rsidR="003849FF" w:rsidRPr="00465EB3">
        <w:rPr>
          <w:rFonts w:cstheme="minorHAnsi"/>
          <w:lang w:val="en-IE"/>
        </w:rPr>
        <w:t>c</w:t>
      </w:r>
      <w:r w:rsidR="00635ED3" w:rsidRPr="00465EB3">
        <w:rPr>
          <w:rFonts w:cstheme="minorHAnsi"/>
          <w:lang w:val="en-IE"/>
        </w:rPr>
        <w:t xml:space="preserve">ompanies may be allowed to report “not material” if the data is immaterial. This would allow FMPs to easily collect and consolidate investees’ data, and the responsibility for reporting </w:t>
      </w:r>
      <w:r w:rsidR="00635ED3" w:rsidRPr="00465EB3">
        <w:rPr>
          <w:rFonts w:cstheme="minorHAnsi"/>
          <w:lang w:val="en-IE"/>
        </w:rPr>
        <w:lastRenderedPageBreak/>
        <w:t>“not material” would be born</w:t>
      </w:r>
      <w:r w:rsidR="00B90546" w:rsidRPr="00465EB3">
        <w:rPr>
          <w:rFonts w:cstheme="minorHAnsi"/>
          <w:lang w:val="en-IE"/>
        </w:rPr>
        <w:t>e</w:t>
      </w:r>
      <w:r w:rsidR="00635ED3" w:rsidRPr="00465EB3">
        <w:rPr>
          <w:rFonts w:cstheme="minorHAnsi"/>
          <w:lang w:val="en-IE"/>
        </w:rPr>
        <w:t xml:space="preserve"> by investee companies. </w:t>
      </w:r>
      <w:r w:rsidR="00BA7163" w:rsidRPr="00465EB3">
        <w:rPr>
          <w:rFonts w:cstheme="minorHAnsi"/>
          <w:lang w:val="en-IE"/>
        </w:rPr>
        <w:t xml:space="preserve">Otherwise, the situation will be burdensome for both financial actors and corporates, as financial actors will request the data even if the company </w:t>
      </w:r>
      <w:r w:rsidR="00B36C0F" w:rsidRPr="00465EB3">
        <w:rPr>
          <w:rFonts w:cstheme="minorHAnsi"/>
          <w:lang w:val="en-IE"/>
        </w:rPr>
        <w:t>decided not to report it</w:t>
      </w:r>
      <w:r w:rsidR="00BA7163" w:rsidRPr="00465EB3">
        <w:rPr>
          <w:rFonts w:cstheme="minorHAnsi"/>
          <w:lang w:val="en-IE"/>
        </w:rPr>
        <w:t>.</w:t>
      </w:r>
    </w:p>
    <w:p w14:paraId="1C8D8C0B" w14:textId="6848ED83" w:rsidR="00CE15DF" w:rsidRPr="00465EB3" w:rsidRDefault="006F0CF8" w:rsidP="00063C37">
      <w:pPr>
        <w:spacing w:after="120"/>
        <w:jc w:val="both"/>
        <w:rPr>
          <w:rFonts w:cstheme="minorHAnsi"/>
          <w:lang w:val="en-IE"/>
        </w:rPr>
      </w:pPr>
      <w:r w:rsidRPr="00465EB3">
        <w:rPr>
          <w:rFonts w:cstheme="minorHAnsi"/>
          <w:lang w:val="en-IE"/>
        </w:rPr>
        <w:t>In general</w:t>
      </w:r>
      <w:r w:rsidR="00620C2B" w:rsidRPr="00465EB3">
        <w:rPr>
          <w:rFonts w:cstheme="minorHAnsi"/>
          <w:lang w:val="en-IE"/>
        </w:rPr>
        <w:t>, we urge the European Commission to clarify that if SFDR PAI information is deemed immaterial by investee companies, FMPs</w:t>
      </w:r>
      <w:r w:rsidR="00F46A29">
        <w:rPr>
          <w:rFonts w:cstheme="minorHAnsi"/>
          <w:lang w:val="en-IE"/>
        </w:rPr>
        <w:t xml:space="preserve"> </w:t>
      </w:r>
      <w:r w:rsidR="00CE15DF" w:rsidRPr="00465EB3">
        <w:rPr>
          <w:rFonts w:cstheme="minorHAnsi"/>
          <w:lang w:val="en-IE"/>
        </w:rPr>
        <w:t>:</w:t>
      </w:r>
    </w:p>
    <w:p w14:paraId="5D08E2AD" w14:textId="58D3E806" w:rsidR="00CE15DF" w:rsidRPr="00465EB3" w:rsidRDefault="00F40D5F" w:rsidP="00063C37">
      <w:pPr>
        <w:spacing w:after="120"/>
        <w:jc w:val="both"/>
        <w:rPr>
          <w:rFonts w:cstheme="minorHAnsi"/>
          <w:lang w:val="en-IE"/>
        </w:rPr>
      </w:pPr>
      <w:r w:rsidRPr="00465EB3">
        <w:rPr>
          <w:rFonts w:cstheme="minorHAnsi"/>
          <w:lang w:val="en-IE"/>
        </w:rPr>
        <w:t>(i)</w:t>
      </w:r>
      <w:r w:rsidR="00492FBE" w:rsidRPr="00465EB3">
        <w:rPr>
          <w:rFonts w:cstheme="minorHAnsi"/>
          <w:lang w:val="en-IE"/>
        </w:rPr>
        <w:t xml:space="preserve"> </w:t>
      </w:r>
      <w:r w:rsidR="004C3085" w:rsidRPr="00465EB3">
        <w:rPr>
          <w:rFonts w:cstheme="minorHAnsi"/>
          <w:lang w:val="en-IE"/>
        </w:rPr>
        <w:t xml:space="preserve">can </w:t>
      </w:r>
      <w:r w:rsidR="00492FBE" w:rsidRPr="00465EB3">
        <w:rPr>
          <w:rFonts w:cstheme="minorHAnsi"/>
          <w:lang w:val="en-IE"/>
        </w:rPr>
        <w:t>also</w:t>
      </w:r>
      <w:r w:rsidR="00620C2B" w:rsidRPr="00465EB3">
        <w:rPr>
          <w:rFonts w:cstheme="minorHAnsi"/>
          <w:lang w:val="en-IE"/>
        </w:rPr>
        <w:t xml:space="preserve"> </w:t>
      </w:r>
      <w:r w:rsidR="00492FBE" w:rsidRPr="00465EB3">
        <w:rPr>
          <w:rFonts w:cstheme="minorHAnsi"/>
          <w:lang w:val="en-IE"/>
        </w:rPr>
        <w:t>consider this information</w:t>
      </w:r>
      <w:r w:rsidR="006D572F" w:rsidRPr="00465EB3">
        <w:rPr>
          <w:rFonts w:cstheme="minorHAnsi"/>
          <w:lang w:val="en-IE"/>
        </w:rPr>
        <w:t xml:space="preserve"> as</w:t>
      </w:r>
      <w:r w:rsidR="00620C2B" w:rsidRPr="00465EB3">
        <w:rPr>
          <w:rFonts w:cstheme="minorHAnsi"/>
          <w:lang w:val="en-IE"/>
        </w:rPr>
        <w:t xml:space="preserve"> “not material”</w:t>
      </w:r>
      <w:r w:rsidR="00CE15DF" w:rsidRPr="00465EB3">
        <w:rPr>
          <w:rFonts w:cstheme="minorHAnsi"/>
          <w:lang w:val="en-IE"/>
        </w:rPr>
        <w:t xml:space="preserve">, or </w:t>
      </w:r>
      <w:r w:rsidR="00A951CB" w:rsidRPr="00465EB3">
        <w:rPr>
          <w:rFonts w:cstheme="minorHAnsi"/>
          <w:lang w:val="en-IE"/>
        </w:rPr>
        <w:t xml:space="preserve">can </w:t>
      </w:r>
      <w:r w:rsidR="00CE15DF" w:rsidRPr="00465EB3">
        <w:rPr>
          <w:rFonts w:cstheme="minorHAnsi"/>
          <w:lang w:val="en-IE"/>
        </w:rPr>
        <w:t>a</w:t>
      </w:r>
      <w:r w:rsidR="00A55232" w:rsidRPr="00465EB3">
        <w:rPr>
          <w:rFonts w:cstheme="minorHAnsi"/>
          <w:lang w:val="en-IE"/>
        </w:rPr>
        <w:t>lternatively</w:t>
      </w:r>
      <w:r w:rsidR="00A951CB" w:rsidRPr="00465EB3">
        <w:rPr>
          <w:rFonts w:cstheme="minorHAnsi"/>
          <w:lang w:val="en-IE"/>
        </w:rPr>
        <w:t xml:space="preserve"> assign </w:t>
      </w:r>
      <w:r w:rsidR="00EA1474" w:rsidRPr="00465EB3">
        <w:rPr>
          <w:rFonts w:cstheme="minorHAnsi"/>
          <w:lang w:val="en-IE"/>
        </w:rPr>
        <w:t>the “0” value to the corresponding indicator</w:t>
      </w:r>
      <w:r w:rsidR="004F63CD" w:rsidRPr="00465EB3">
        <w:rPr>
          <w:rFonts w:cstheme="minorHAnsi"/>
          <w:lang w:val="en-IE"/>
        </w:rPr>
        <w:t>,</w:t>
      </w:r>
    </w:p>
    <w:p w14:paraId="2F147EA5" w14:textId="6B55797B" w:rsidR="00CE15DF" w:rsidRPr="00465EB3" w:rsidRDefault="00CE15DF" w:rsidP="00063C37">
      <w:pPr>
        <w:spacing w:after="120"/>
        <w:jc w:val="both"/>
        <w:rPr>
          <w:rFonts w:cstheme="minorHAnsi"/>
          <w:lang w:val="en-IE"/>
        </w:rPr>
      </w:pPr>
      <w:r w:rsidRPr="00465EB3">
        <w:rPr>
          <w:rFonts w:cstheme="minorHAnsi"/>
          <w:lang w:val="en-IE"/>
        </w:rPr>
        <w:t xml:space="preserve">(ii) </w:t>
      </w:r>
      <w:r w:rsidR="00620C2B" w:rsidRPr="00465EB3">
        <w:rPr>
          <w:rFonts w:cstheme="minorHAnsi"/>
          <w:lang w:val="en-IE"/>
        </w:rPr>
        <w:t xml:space="preserve">and are not required to seek data in another manner. </w:t>
      </w:r>
    </w:p>
    <w:p w14:paraId="6E17D910" w14:textId="1BD3DD81" w:rsidR="00620C2B" w:rsidRPr="00465EB3" w:rsidRDefault="004C3085" w:rsidP="00063C37">
      <w:pPr>
        <w:spacing w:after="120"/>
        <w:jc w:val="both"/>
        <w:rPr>
          <w:rFonts w:cstheme="minorHAnsi"/>
          <w:lang w:val="en-IE"/>
        </w:rPr>
      </w:pPr>
      <w:r w:rsidRPr="00465EB3">
        <w:rPr>
          <w:rFonts w:cstheme="minorHAnsi"/>
          <w:lang w:val="en-IE"/>
        </w:rPr>
        <w:t xml:space="preserve">In the </w:t>
      </w:r>
      <w:r w:rsidR="00597294" w:rsidRPr="00465EB3">
        <w:rPr>
          <w:rFonts w:cstheme="minorHAnsi"/>
          <w:lang w:val="en-IE"/>
        </w:rPr>
        <w:t xml:space="preserve">situation where </w:t>
      </w:r>
      <w:r w:rsidR="006D6850" w:rsidRPr="00465EB3">
        <w:rPr>
          <w:rFonts w:cstheme="minorHAnsi"/>
          <w:lang w:val="en-IE"/>
        </w:rPr>
        <w:t>an information is</w:t>
      </w:r>
      <w:r w:rsidR="008B1257">
        <w:rPr>
          <w:rFonts w:cstheme="minorHAnsi"/>
          <w:lang w:val="en-IE"/>
        </w:rPr>
        <w:t xml:space="preserve"> </w:t>
      </w:r>
      <w:r w:rsidR="005C64C9">
        <w:rPr>
          <w:rFonts w:cstheme="minorHAnsi"/>
          <w:lang w:val="en-IE"/>
        </w:rPr>
        <w:t>not disclosed</w:t>
      </w:r>
      <w:r w:rsidR="006D6850" w:rsidRPr="00465EB3">
        <w:rPr>
          <w:rFonts w:cstheme="minorHAnsi"/>
          <w:lang w:val="en-IE"/>
        </w:rPr>
        <w:t xml:space="preserve"> in </w:t>
      </w:r>
      <w:r w:rsidR="00873EEF" w:rsidRPr="00465EB3">
        <w:rPr>
          <w:rFonts w:cstheme="minorHAnsi"/>
          <w:lang w:val="en-IE"/>
        </w:rPr>
        <w:t>the corporate</w:t>
      </w:r>
      <w:r w:rsidR="003D3D7E" w:rsidRPr="00465EB3">
        <w:rPr>
          <w:rFonts w:cstheme="minorHAnsi"/>
          <w:lang w:val="en-IE"/>
        </w:rPr>
        <w:t>’s sustainability report</w:t>
      </w:r>
      <w:r w:rsidR="00603676" w:rsidRPr="00465EB3">
        <w:rPr>
          <w:rFonts w:cstheme="minorHAnsi"/>
          <w:lang w:val="en-IE"/>
        </w:rPr>
        <w:t xml:space="preserve"> under the CSRD</w:t>
      </w:r>
      <w:r w:rsidR="00206CCF" w:rsidRPr="00465EB3">
        <w:rPr>
          <w:rFonts w:cstheme="minorHAnsi"/>
          <w:lang w:val="en-IE"/>
        </w:rPr>
        <w:t xml:space="preserve">, </w:t>
      </w:r>
      <w:r w:rsidR="005F40C7" w:rsidRPr="00465EB3">
        <w:rPr>
          <w:rFonts w:cstheme="minorHAnsi"/>
          <w:lang w:val="en-IE"/>
        </w:rPr>
        <w:t>FMPs should be</w:t>
      </w:r>
      <w:r w:rsidR="00620C2B" w:rsidRPr="00465EB3">
        <w:rPr>
          <w:rFonts w:cstheme="minorHAnsi"/>
          <w:lang w:val="en-IE"/>
        </w:rPr>
        <w:t xml:space="preserve"> allowed to exclude the company from the </w:t>
      </w:r>
      <w:r w:rsidR="002C2BDB" w:rsidRPr="00465EB3">
        <w:rPr>
          <w:rFonts w:cstheme="minorHAnsi"/>
          <w:lang w:val="en-IE"/>
        </w:rPr>
        <w:t xml:space="preserve">calculation </w:t>
      </w:r>
      <w:r w:rsidR="00620C2B" w:rsidRPr="00465EB3">
        <w:rPr>
          <w:rFonts w:cstheme="minorHAnsi"/>
          <w:lang w:val="en-IE"/>
        </w:rPr>
        <w:t>of the</w:t>
      </w:r>
      <w:r w:rsidR="002C2BDB" w:rsidRPr="00465EB3">
        <w:rPr>
          <w:rFonts w:cstheme="minorHAnsi"/>
          <w:lang w:val="en-IE"/>
        </w:rPr>
        <w:t>ir</w:t>
      </w:r>
      <w:r w:rsidR="00620C2B" w:rsidRPr="00465EB3">
        <w:rPr>
          <w:rFonts w:cstheme="minorHAnsi"/>
          <w:lang w:val="en-IE"/>
        </w:rPr>
        <w:t xml:space="preserve"> coverage ratio</w:t>
      </w:r>
      <w:r w:rsidR="002C2BDB" w:rsidRPr="00465EB3">
        <w:rPr>
          <w:rFonts w:cstheme="minorHAnsi"/>
          <w:lang w:val="en-IE"/>
        </w:rPr>
        <w:t>.</w:t>
      </w:r>
      <w:r w:rsidR="005C64C9">
        <w:rPr>
          <w:rFonts w:cstheme="minorHAnsi"/>
          <w:lang w:val="en-IE"/>
        </w:rPr>
        <w:t xml:space="preserve"> Indeed, if the information is not clearly reported as “not material” by the company, FMPs cannot know if the information is missing because it is not material or because it is material but not yet disclosed due a phasing-in phase or because the company choose not to report the data or forgot to report the data</w:t>
      </w:r>
    </w:p>
    <w:p w14:paraId="31907C72" w14:textId="272BDBA9" w:rsidR="00C96E63" w:rsidRPr="00465EB3" w:rsidRDefault="00C96E63" w:rsidP="00C96E63">
      <w:pPr>
        <w:jc w:val="both"/>
        <w:rPr>
          <w:rFonts w:cstheme="minorHAnsi"/>
          <w:b/>
          <w:bCs/>
          <w:u w:val="single"/>
          <w:lang w:val="en-US"/>
        </w:rPr>
      </w:pPr>
      <w:r w:rsidRPr="00465EB3">
        <w:rPr>
          <w:rFonts w:cstheme="minorHAnsi"/>
          <w:b/>
          <w:bCs/>
          <w:u w:val="single"/>
          <w:lang w:val="en-US"/>
        </w:rPr>
        <w:t>Simplification of the scheme</w:t>
      </w:r>
    </w:p>
    <w:p w14:paraId="0F02FE67" w14:textId="45434688" w:rsidR="00C96E63" w:rsidRPr="00465EB3" w:rsidRDefault="00C96E63" w:rsidP="00C96E63">
      <w:pPr>
        <w:pStyle w:val="paragraph"/>
        <w:spacing w:before="0" w:beforeAutospacing="0" w:after="0" w:afterAutospacing="0"/>
        <w:jc w:val="both"/>
        <w:textAlignment w:val="baseline"/>
        <w:rPr>
          <w:rStyle w:val="eop"/>
          <w:rFonts w:asciiTheme="minorHAnsi" w:hAnsiTheme="minorHAnsi" w:cstheme="minorHAnsi"/>
          <w:color w:val="000000"/>
          <w:sz w:val="22"/>
          <w:szCs w:val="22"/>
          <w:lang w:val="en-GB"/>
        </w:rPr>
      </w:pPr>
      <w:r w:rsidRPr="00465EB3">
        <w:rPr>
          <w:rStyle w:val="normaltextrun"/>
          <w:rFonts w:asciiTheme="minorHAnsi" w:hAnsiTheme="minorHAnsi" w:cstheme="minorHAnsi"/>
          <w:color w:val="000000"/>
          <w:sz w:val="22"/>
          <w:szCs w:val="22"/>
          <w:lang w:val="en-US"/>
        </w:rPr>
        <w:t xml:space="preserve">The number of optional PAI is already too developed, some indicators are very similar with small differences. IFD considers that the European regulation should stay focused on a short list of mandatory indicators, preferably cross-sectoral or concerning several major sectors; regarding additional indicators, their number should be reduced, focused on priority topics and grounded on the ESRSs. For that reason, IFD does not consider that the addition of new optional PAIs is </w:t>
      </w:r>
      <w:r w:rsidR="00A2383E" w:rsidRPr="00465EB3">
        <w:rPr>
          <w:rStyle w:val="normaltextrun"/>
          <w:rFonts w:asciiTheme="minorHAnsi" w:hAnsiTheme="minorHAnsi" w:cstheme="minorHAnsi"/>
          <w:color w:val="000000"/>
          <w:sz w:val="22"/>
          <w:szCs w:val="22"/>
          <w:lang w:val="en-US"/>
        </w:rPr>
        <w:t xml:space="preserve">relevant </w:t>
      </w:r>
      <w:r w:rsidRPr="00465EB3">
        <w:rPr>
          <w:rStyle w:val="normaltextrun"/>
          <w:rFonts w:asciiTheme="minorHAnsi" w:hAnsiTheme="minorHAnsi" w:cstheme="minorHAnsi"/>
          <w:color w:val="000000"/>
          <w:sz w:val="22"/>
          <w:szCs w:val="22"/>
          <w:lang w:val="en-US"/>
        </w:rPr>
        <w:t>given the high number of optional PAIs already adopted in the RTS.</w:t>
      </w:r>
      <w:r w:rsidRPr="00465EB3">
        <w:rPr>
          <w:rStyle w:val="eop"/>
          <w:rFonts w:asciiTheme="minorHAnsi" w:hAnsiTheme="minorHAnsi" w:cstheme="minorHAnsi"/>
          <w:color w:val="000000"/>
          <w:sz w:val="22"/>
          <w:szCs w:val="22"/>
          <w:lang w:val="en-GB"/>
        </w:rPr>
        <w:t> </w:t>
      </w:r>
    </w:p>
    <w:p w14:paraId="00E678DC" w14:textId="77777777" w:rsidR="00C96E63" w:rsidRPr="00465EB3" w:rsidRDefault="00C96E63" w:rsidP="00C96E63">
      <w:pPr>
        <w:pStyle w:val="paragraph"/>
        <w:spacing w:before="0" w:beforeAutospacing="0" w:after="0" w:afterAutospacing="0"/>
        <w:jc w:val="both"/>
        <w:textAlignment w:val="baseline"/>
        <w:rPr>
          <w:rFonts w:asciiTheme="minorHAnsi" w:hAnsiTheme="minorHAnsi" w:cstheme="minorHAnsi"/>
          <w:sz w:val="22"/>
          <w:szCs w:val="22"/>
          <w:lang w:val="en-GB"/>
        </w:rPr>
      </w:pPr>
    </w:p>
    <w:p w14:paraId="24B72F52" w14:textId="77777777" w:rsidR="00C96E63" w:rsidRPr="00465EB3" w:rsidRDefault="00C96E63" w:rsidP="00C96E63">
      <w:pPr>
        <w:spacing w:after="0"/>
        <w:jc w:val="both"/>
        <w:rPr>
          <w:rFonts w:cstheme="minorHAnsi"/>
          <w:lang w:val="en-US"/>
        </w:rPr>
      </w:pPr>
      <w:r w:rsidRPr="00465EB3">
        <w:rPr>
          <w:rFonts w:cstheme="minorHAnsi"/>
          <w:b/>
          <w:bCs/>
          <w:lang w:val="en-US"/>
        </w:rPr>
        <w:t>The scheme should be simplified</w:t>
      </w:r>
      <w:r w:rsidRPr="00465EB3">
        <w:rPr>
          <w:rFonts w:cstheme="minorHAnsi"/>
          <w:lang w:val="en-US"/>
        </w:rPr>
        <w:t>, as the burden on relying parties appears disproportionate given the issue of data availability and the cost of reporting implementation supported by corporates. The following recommendations on the simplification of the scheme should be considered:</w:t>
      </w:r>
    </w:p>
    <w:p w14:paraId="229F1464" w14:textId="77777777" w:rsidR="00C96E63" w:rsidRPr="00465EB3" w:rsidRDefault="00C96E63" w:rsidP="00131F74">
      <w:pPr>
        <w:numPr>
          <w:ilvl w:val="0"/>
          <w:numId w:val="45"/>
        </w:numPr>
        <w:tabs>
          <w:tab w:val="clear" w:pos="360"/>
          <w:tab w:val="num" w:pos="567"/>
        </w:tabs>
        <w:spacing w:after="0"/>
        <w:jc w:val="both"/>
        <w:rPr>
          <w:rFonts w:cstheme="minorHAnsi"/>
          <w:lang w:val="en-US"/>
        </w:rPr>
      </w:pPr>
      <w:r w:rsidRPr="00465EB3">
        <w:rPr>
          <w:rFonts w:cstheme="minorHAnsi"/>
          <w:b/>
          <w:bCs/>
          <w:lang w:val="en-US"/>
        </w:rPr>
        <w:t xml:space="preserve">reducing the number of indicators </w:t>
      </w:r>
      <w:r w:rsidRPr="00465EB3">
        <w:rPr>
          <w:rFonts w:cstheme="minorHAnsi"/>
          <w:lang w:val="en-US"/>
        </w:rPr>
        <w:t xml:space="preserve">that is currently approaching 70, in particular by merging certain PAIs with a similar objective (e.g., precarious workers, grievance mechanisms) and removing/delaying some non mature ones; it should be noted that opt-in indicators are in practice becoming mandatory when each limited partners chose different PAIs; </w:t>
      </w:r>
    </w:p>
    <w:p w14:paraId="305C778D" w14:textId="77777777" w:rsidR="00F46A29" w:rsidRDefault="00C96E63" w:rsidP="00F46A29">
      <w:pPr>
        <w:numPr>
          <w:ilvl w:val="0"/>
          <w:numId w:val="45"/>
        </w:numPr>
        <w:tabs>
          <w:tab w:val="clear" w:pos="360"/>
          <w:tab w:val="num" w:pos="567"/>
        </w:tabs>
        <w:spacing w:after="0"/>
        <w:jc w:val="both"/>
        <w:rPr>
          <w:rFonts w:cstheme="minorHAnsi"/>
          <w:lang w:val="en-US"/>
        </w:rPr>
      </w:pPr>
      <w:r w:rsidRPr="00465EB3">
        <w:rPr>
          <w:rFonts w:cstheme="minorHAnsi"/>
          <w:b/>
          <w:bCs/>
          <w:lang w:val="en-US"/>
        </w:rPr>
        <w:t xml:space="preserve">better prioritising the topics </w:t>
      </w:r>
      <w:r w:rsidRPr="00465EB3">
        <w:rPr>
          <w:rFonts w:cstheme="minorHAnsi"/>
          <w:lang w:val="en-US"/>
        </w:rPr>
        <w:t>between mandatory and additional PAI (e.g., two PAIs on parity and none on health &amp; safety in table 1, emissions to water rather than areas of water stress); the structure of PAIs’ tables between mandatory and opt-in indicators may also be challenged;</w:t>
      </w:r>
    </w:p>
    <w:p w14:paraId="4DFB5DFB" w14:textId="77777777" w:rsidR="00F46A29" w:rsidRDefault="00C96E63" w:rsidP="00F46A29">
      <w:pPr>
        <w:numPr>
          <w:ilvl w:val="0"/>
          <w:numId w:val="45"/>
        </w:numPr>
        <w:tabs>
          <w:tab w:val="clear" w:pos="360"/>
          <w:tab w:val="num" w:pos="567"/>
        </w:tabs>
        <w:spacing w:after="0"/>
        <w:jc w:val="both"/>
        <w:rPr>
          <w:rFonts w:cstheme="minorHAnsi"/>
          <w:lang w:val="en-US"/>
        </w:rPr>
      </w:pPr>
      <w:r w:rsidRPr="00F46A29">
        <w:rPr>
          <w:rFonts w:cstheme="minorHAnsi"/>
          <w:lang w:val="en-US"/>
        </w:rPr>
        <w:t>PAI indicators are sector-agnostic; consequently, indicators that may significantly differ according to economic sectors should be subject to materiality otherwise their aggregation may result in figures that will be hard to interpret/understand</w:t>
      </w:r>
      <w:r w:rsidR="000C0CD6" w:rsidRPr="00F46A29">
        <w:rPr>
          <w:rFonts w:cstheme="minorHAnsi"/>
          <w:lang w:val="en-US"/>
        </w:rPr>
        <w:t xml:space="preserve">. </w:t>
      </w:r>
      <w:r w:rsidR="00141BA6" w:rsidRPr="00F46A29">
        <w:rPr>
          <w:rFonts w:cstheme="minorHAnsi"/>
        </w:rPr>
        <w:t>For example, the PAI 9 "Ratio of hazardous waste and radioactive waste" which asks for the tons of hazardous waste and radioactive waste produced by investee companies, per million euro invested, weighted average</w:t>
      </w:r>
      <w:r w:rsidR="00D04193" w:rsidRPr="00F46A29">
        <w:rPr>
          <w:rFonts w:cstheme="minorHAnsi"/>
        </w:rPr>
        <w:t xml:space="preserve"> </w:t>
      </w:r>
    </w:p>
    <w:p w14:paraId="4A55641A" w14:textId="59AFF29D" w:rsidR="009C41BB" w:rsidRPr="00F46A29" w:rsidRDefault="00C96E63" w:rsidP="00F46A29">
      <w:pPr>
        <w:numPr>
          <w:ilvl w:val="0"/>
          <w:numId w:val="45"/>
        </w:numPr>
        <w:tabs>
          <w:tab w:val="clear" w:pos="360"/>
          <w:tab w:val="num" w:pos="567"/>
        </w:tabs>
        <w:spacing w:after="0"/>
        <w:jc w:val="both"/>
        <w:rPr>
          <w:rFonts w:cstheme="minorHAnsi"/>
          <w:lang w:val="en-US"/>
        </w:rPr>
      </w:pPr>
      <w:r w:rsidRPr="00F46A29">
        <w:rPr>
          <w:rFonts w:cstheme="minorHAnsi"/>
          <w:b/>
          <w:bCs/>
          <w:lang w:val="en-US"/>
        </w:rPr>
        <w:t>improving relevance of PAIs to help financial actors making investment decisions</w:t>
      </w:r>
      <w:r w:rsidRPr="00F46A29">
        <w:rPr>
          <w:rFonts w:cstheme="minorHAnsi"/>
          <w:lang w:val="en-US"/>
        </w:rPr>
        <w:t>, notably by weighting the value of the investments to the value of the enterprises when appropriate (e.g., financial amounts as PAI 14 of table 1 on accumulated earnings in non-cooperative tax jurisdictions).</w:t>
      </w:r>
    </w:p>
    <w:p w14:paraId="077BEBBB" w14:textId="77777777" w:rsidR="00BD2189" w:rsidRPr="00465EB3" w:rsidRDefault="00BD2189" w:rsidP="00BD2189">
      <w:pPr>
        <w:spacing w:after="0"/>
        <w:jc w:val="both"/>
        <w:rPr>
          <w:rFonts w:cstheme="minorHAnsi"/>
          <w:b/>
          <w:bCs/>
        </w:rPr>
      </w:pPr>
    </w:p>
    <w:p w14:paraId="52368D6F" w14:textId="77777777" w:rsidR="000043CB" w:rsidRPr="00465EB3" w:rsidRDefault="000043CB" w:rsidP="000043CB">
      <w:pPr>
        <w:jc w:val="both"/>
        <w:rPr>
          <w:rFonts w:cstheme="minorHAnsi"/>
          <w:b/>
          <w:bCs/>
        </w:rPr>
      </w:pPr>
      <w:r w:rsidRPr="00465EB3">
        <w:rPr>
          <w:rFonts w:cstheme="minorHAnsi"/>
          <w:b/>
          <w:bCs/>
        </w:rPr>
        <w:t>PAI 17 – Interference with the formation of trade unions or election worker representatives</w:t>
      </w:r>
    </w:p>
    <w:p w14:paraId="11DCB16C" w14:textId="77777777" w:rsidR="000043CB" w:rsidRPr="00465EB3" w:rsidRDefault="000043CB" w:rsidP="000043CB">
      <w:pPr>
        <w:pStyle w:val="paragraph"/>
        <w:spacing w:before="0" w:beforeAutospacing="0" w:after="0" w:afterAutospacing="0"/>
        <w:jc w:val="both"/>
        <w:textAlignment w:val="baseline"/>
        <w:rPr>
          <w:rFonts w:asciiTheme="minorHAnsi" w:hAnsiTheme="minorHAnsi" w:cstheme="minorHAnsi"/>
          <w:color w:val="000000"/>
          <w:sz w:val="22"/>
          <w:szCs w:val="22"/>
          <w:lang w:val="en-US"/>
        </w:rPr>
      </w:pPr>
      <w:r w:rsidRPr="00465EB3">
        <w:rPr>
          <w:rStyle w:val="normaltextrun"/>
          <w:rFonts w:asciiTheme="minorHAnsi" w:hAnsiTheme="minorHAnsi" w:cstheme="minorHAnsi"/>
          <w:color w:val="000000"/>
          <w:sz w:val="22"/>
          <w:szCs w:val="22"/>
          <w:lang w:val="en-US"/>
        </w:rPr>
        <w:t xml:space="preserve">At the core of the reasoning to choose any PAI, the relevance of the considered KPI for the issuers’ sustainability reporting should prevail. For instance, the PAI regarding interference in the formation of trade unions raises questions on the way to report on that point for the issuers. </w:t>
      </w:r>
    </w:p>
    <w:p w14:paraId="5A8F2465" w14:textId="77777777" w:rsidR="000043CB" w:rsidRPr="00465EB3" w:rsidRDefault="000043CB" w:rsidP="000043CB">
      <w:pPr>
        <w:pStyle w:val="Paragraphedeliste"/>
        <w:numPr>
          <w:ilvl w:val="0"/>
          <w:numId w:val="48"/>
        </w:numPr>
        <w:spacing w:before="240"/>
        <w:jc w:val="both"/>
        <w:rPr>
          <w:rFonts w:cstheme="minorHAnsi"/>
        </w:rPr>
      </w:pPr>
      <w:r w:rsidRPr="00465EB3">
        <w:rPr>
          <w:rFonts w:cstheme="minorHAnsi"/>
        </w:rPr>
        <w:t>The proposed indicator is not required in the ESRS, which raises the issue of  data availability from underlying undertakings. It is only mentioned as an example of policies related to own workforce in ESRS S1 of the draft Delegated Act on ESRS. This new PAI should not be retained.</w:t>
      </w:r>
    </w:p>
    <w:p w14:paraId="40741E51" w14:textId="77777777" w:rsidR="000043CB" w:rsidRPr="00465EB3" w:rsidRDefault="000043CB" w:rsidP="000043CB">
      <w:pPr>
        <w:pStyle w:val="Paragraphedeliste"/>
        <w:numPr>
          <w:ilvl w:val="0"/>
          <w:numId w:val="48"/>
        </w:numPr>
        <w:spacing w:before="240"/>
        <w:jc w:val="both"/>
        <w:rPr>
          <w:rFonts w:cstheme="minorHAnsi"/>
        </w:rPr>
      </w:pPr>
      <w:r w:rsidRPr="00465EB3">
        <w:rPr>
          <w:rFonts w:cstheme="minorHAnsi"/>
        </w:rPr>
        <w:t>It is suggested replacing this indicator with one focusing on collective bargaining or workers' representation, as derived from ESRS S1-8, such as the share of employees covered by collective bargaining agreements or the share of employees covered by workers’ representatives.</w:t>
      </w:r>
    </w:p>
    <w:p w14:paraId="41BBEB48" w14:textId="77777777" w:rsidR="000043CB" w:rsidRPr="00465EB3" w:rsidRDefault="000043CB" w:rsidP="000043CB">
      <w:pPr>
        <w:pStyle w:val="Paragraphedeliste"/>
        <w:numPr>
          <w:ilvl w:val="0"/>
          <w:numId w:val="48"/>
        </w:numPr>
        <w:spacing w:before="240"/>
        <w:jc w:val="both"/>
        <w:rPr>
          <w:rFonts w:cstheme="minorHAnsi"/>
        </w:rPr>
      </w:pPr>
      <w:r w:rsidRPr="00465EB3">
        <w:rPr>
          <w:rFonts w:cstheme="minorHAnsi"/>
        </w:rPr>
        <w:t>If it is decided to retain the PAI, it is recommended that the definition and the value of a commitment on non-interference in the formation of trade unions or election of worker representatives be clarified. We have reservations regarding the effectiveness of such a policy commitment, as it may not necessarily guarantee total non-interference. Given the challenges of monitoring the actual implementation of this commitment by companies, we propose the inclusion of language that acknowledges the potential limitations of a formal commitment to non-interference as follows: "a formal commitment to non-interference in the formation of trade unions or election of worker representatives may not always equate to complete non-interference."</w:t>
      </w:r>
    </w:p>
    <w:p w14:paraId="29D68378" w14:textId="77777777" w:rsidR="00BD2189" w:rsidRPr="00233117" w:rsidRDefault="00BD2189" w:rsidP="00233117">
      <w:pPr>
        <w:spacing w:after="0"/>
        <w:jc w:val="both"/>
        <w:rPr>
          <w:rFonts w:ascii="Times New Roman" w:hAnsi="Times New Roman" w:cs="Times New Roman"/>
        </w:rPr>
      </w:pPr>
    </w:p>
    <w:permEnd w:id="5929778"/>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384BD2">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384BD2">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384BD2">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384BD2">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Pr="00F46A29" w:rsidRDefault="009C41BB" w:rsidP="00384BD2">
      <w:pPr>
        <w:pStyle w:val="Questionstyle"/>
        <w:numPr>
          <w:ilvl w:val="0"/>
          <w:numId w:val="42"/>
        </w:numPr>
      </w:pPr>
      <w:bookmarkStart w:id="5" w:name="_Hlk131609834"/>
      <w:r w:rsidRPr="00F46A29">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3E963941" w14:textId="56A16006" w:rsidR="00CF4818" w:rsidRPr="00465EB3" w:rsidRDefault="00CF4818" w:rsidP="00CF4818">
      <w:pPr>
        <w:jc w:val="both"/>
        <w:rPr>
          <w:rFonts w:cstheme="minorHAnsi"/>
          <w:lang w:val="en-US"/>
        </w:rPr>
      </w:pPr>
      <w:permStart w:id="887372501" w:edGrp="everyone"/>
      <w:r w:rsidRPr="00465EB3">
        <w:rPr>
          <w:rFonts w:cstheme="minorHAnsi"/>
          <w:lang w:val="en-US"/>
        </w:rPr>
        <w:t xml:space="preserve"> The particularity of investing in a real estate asset is that, unlike investing in a company, no workforce is attached to this asset. Thus IFD considers that implementing a social PAI indicator for real estate assets in the same way as it is done for companies is not relevant.</w:t>
      </w:r>
    </w:p>
    <w:p w14:paraId="241F49E8" w14:textId="77777777" w:rsidR="00CF4818" w:rsidRPr="00465EB3" w:rsidRDefault="00CF4818" w:rsidP="00CF4818">
      <w:pPr>
        <w:jc w:val="both"/>
        <w:rPr>
          <w:rFonts w:cstheme="minorHAnsi"/>
          <w:lang w:val="en-US"/>
        </w:rPr>
      </w:pPr>
      <w:r w:rsidRPr="00465EB3">
        <w:rPr>
          <w:rFonts w:cstheme="minorHAnsi"/>
          <w:lang w:val="en-US"/>
        </w:rPr>
        <w:t xml:space="preserve">Moreover, the 2 options proposed by the ESAs do not seem for us to be consistent with the intent of the SFDR regulation: </w:t>
      </w:r>
    </w:p>
    <w:p w14:paraId="5F631435" w14:textId="77777777" w:rsidR="00CF4818" w:rsidRPr="00384BD2" w:rsidRDefault="00CF4818" w:rsidP="00CF4818">
      <w:pPr>
        <w:jc w:val="both"/>
        <w:rPr>
          <w:rFonts w:cstheme="minorHAnsi"/>
          <w:lang w:val="en-US"/>
        </w:rPr>
      </w:pPr>
      <w:r w:rsidRPr="00465EB3">
        <w:rPr>
          <w:rFonts w:cstheme="minorHAnsi"/>
          <w:lang w:val="en-US"/>
        </w:rPr>
        <w:t xml:space="preserve">- Considering a social PAI at the level of the management company would mean targeting the principal adverse impacts of the management company instead of those of the real estate assets in which the financial proceeds are invested and would result in a duplication of existing regulations for the </w:t>
      </w:r>
      <w:r w:rsidRPr="00384BD2">
        <w:rPr>
          <w:rFonts w:cstheme="minorHAnsi"/>
          <w:lang w:val="en-US"/>
        </w:rPr>
        <w:t>management company.</w:t>
      </w:r>
    </w:p>
    <w:p w14:paraId="770B27AB" w14:textId="77777777" w:rsidR="00CF4818" w:rsidRPr="00384BD2" w:rsidRDefault="00CF4818" w:rsidP="00CF4818">
      <w:pPr>
        <w:jc w:val="both"/>
        <w:rPr>
          <w:rFonts w:cstheme="minorHAnsi"/>
          <w:lang w:val="en-US"/>
        </w:rPr>
      </w:pPr>
      <w:r w:rsidRPr="00384BD2">
        <w:rPr>
          <w:rFonts w:cstheme="minorHAnsi"/>
          <w:lang w:val="en-US"/>
        </w:rPr>
        <w:t>- Considering a social PAI at the level of property managers and other service providers would require non-listed real estate investment funds to take into account the principal adverse impacts linked to the value chain of the investment, which is only optional for other asset classes, depending on the availability of information. In addition, these issues are already</w:t>
      </w:r>
    </w:p>
    <w:p w14:paraId="01FDB2FA" w14:textId="77777777" w:rsidR="00CF4818" w:rsidRPr="00384BD2" w:rsidRDefault="00CF4818" w:rsidP="00CF4818">
      <w:pPr>
        <w:jc w:val="both"/>
        <w:rPr>
          <w:rFonts w:cstheme="minorHAnsi"/>
          <w:lang w:val="en-US"/>
        </w:rPr>
      </w:pPr>
      <w:r w:rsidRPr="00384BD2">
        <w:rPr>
          <w:rFonts w:cstheme="minorHAnsi"/>
          <w:lang w:val="en-US"/>
        </w:rPr>
        <w:t>Considered by non-listed real estate investments funds by using tools such as service provider charters, clauses in property manager contracts, etc., to justify good governance practices at asset level and comply with the DNSH principle of SFDR. Thus, making the reporting of PAI indicators related to social issues compulsory for non-listed real estate funds would only add an additional layer of reporting on a topic which is already addressed elsewhere by the SFDR regulation.</w:t>
      </w:r>
    </w:p>
    <w:p w14:paraId="13CBEF29" w14:textId="56916DD3" w:rsidR="009C41BB" w:rsidRPr="00384BD2" w:rsidRDefault="00CF4818" w:rsidP="00CF4818">
      <w:pPr>
        <w:jc w:val="both"/>
        <w:rPr>
          <w:rFonts w:cstheme="minorHAnsi"/>
          <w:lang w:val="en-US"/>
        </w:rPr>
      </w:pPr>
      <w:r w:rsidRPr="00384BD2">
        <w:rPr>
          <w:rFonts w:cstheme="minorHAnsi"/>
          <w:lang w:val="en-US"/>
        </w:rPr>
        <w:t>For these reasons, IFD considers that requiring real estate asset managers to take social PAI into account is not necessary.</w:t>
      </w:r>
    </w:p>
    <w:permEnd w:id="887372501"/>
    <w:p w14:paraId="11A2BA0F" w14:textId="77777777" w:rsidR="009C41BB" w:rsidRPr="00384BD2" w:rsidRDefault="009C41BB" w:rsidP="009C41BB">
      <w:r w:rsidRPr="00384BD2">
        <w:t>&lt;ESMA_QUESTION_SFDR_6&gt;</w:t>
      </w:r>
    </w:p>
    <w:p w14:paraId="2AC893D6" w14:textId="77777777" w:rsidR="009C41BB" w:rsidRPr="00384BD2" w:rsidRDefault="009C41BB" w:rsidP="009C41BB"/>
    <w:p w14:paraId="6BDC5008" w14:textId="77777777" w:rsidR="009C41BB" w:rsidRPr="00384BD2" w:rsidRDefault="009C41BB" w:rsidP="00384BD2">
      <w:pPr>
        <w:pStyle w:val="Questionstyle"/>
        <w:numPr>
          <w:ilvl w:val="0"/>
          <w:numId w:val="42"/>
        </w:numPr>
      </w:pPr>
      <w:bookmarkStart w:id="6" w:name="_Hlk131609836"/>
      <w:r w:rsidRPr="00384BD2">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Pr="00384BD2" w:rsidRDefault="009C41BB" w:rsidP="009C41BB">
      <w:r w:rsidRPr="00384BD2">
        <w:t>&lt;ESMA_QUESTION_SFDR_7&gt;</w:t>
      </w:r>
    </w:p>
    <w:p w14:paraId="02E2F629" w14:textId="293826A2" w:rsidR="00D97617" w:rsidRPr="00384BD2" w:rsidRDefault="00D97617" w:rsidP="00D97617">
      <w:pPr>
        <w:jc w:val="both"/>
        <w:rPr>
          <w:lang w:val="en-US"/>
        </w:rPr>
      </w:pPr>
      <w:permStart w:id="1335120249" w:edGrp="everyone"/>
      <w:r w:rsidRPr="00384BD2">
        <w:rPr>
          <w:lang w:val="en-US"/>
        </w:rPr>
        <w:t xml:space="preserve"> IFD considers this</w:t>
      </w:r>
      <w:r w:rsidRPr="00384BD2">
        <w:rPr>
          <w:i/>
          <w:iCs/>
          <w:lang w:val="en-US"/>
        </w:rPr>
        <w:t xml:space="preserve"> </w:t>
      </w:r>
      <w:r w:rsidRPr="00384BD2">
        <w:rPr>
          <w:lang w:val="en-US"/>
        </w:rPr>
        <w:t>proposal as relevant as it will help better take into consideration the reality of the market by considering that an asset is inefficient only from an EPC “D” and not from an EPC “C”, as initially planned, but also as it will reinforce consistency between regulations and better take into account the level of availability and quality of EPCs in certain countries by proposing the use of a threshold based on the actual energy performance of buildings (top 30%).</w:t>
      </w:r>
    </w:p>
    <w:permEnd w:id="1335120249"/>
    <w:p w14:paraId="2EAB99B1" w14:textId="77777777" w:rsidR="009C41BB" w:rsidRPr="00384BD2" w:rsidRDefault="009C41BB" w:rsidP="009C41BB">
      <w:r w:rsidRPr="00384BD2">
        <w:t>&lt;ESMA_QUESTION_SFDR_7&gt;</w:t>
      </w:r>
    </w:p>
    <w:p w14:paraId="0833F2AC" w14:textId="77777777" w:rsidR="009C41BB" w:rsidRPr="00384BD2" w:rsidRDefault="009C41BB" w:rsidP="009C41BB"/>
    <w:p w14:paraId="4BF15C04" w14:textId="77777777" w:rsidR="009C41BB" w:rsidRPr="00384BD2" w:rsidRDefault="009C41BB" w:rsidP="00384BD2">
      <w:pPr>
        <w:pStyle w:val="Questionstyle"/>
        <w:numPr>
          <w:ilvl w:val="0"/>
          <w:numId w:val="42"/>
        </w:numPr>
      </w:pPr>
      <w:bookmarkStart w:id="7" w:name="_Hlk131609837"/>
      <w:r w:rsidRPr="00384BD2">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2AC3BB14" w14:textId="77777777" w:rsidR="00D80723" w:rsidRPr="00A04676" w:rsidRDefault="00D80723" w:rsidP="00840982">
      <w:pPr>
        <w:jc w:val="both"/>
        <w:rPr>
          <w:lang w:val="en-US"/>
        </w:rPr>
      </w:pPr>
      <w:permStart w:id="1288714632" w:edGrp="everyone"/>
      <w:r w:rsidRPr="00A04676">
        <w:rPr>
          <w:lang w:val="en-US"/>
        </w:rPr>
        <w:t>The basis used to calculate the “current value of all investments” in the PAI indicators applicable to investments in investee companies should be consistent with the definition of the “investee company’s enterprise value” as defined in point (4) of Annex I of the Delegated Regulation, whereby ‘enterprise value’ means the sum, at fiscal year-end, of the market capitalisation of ordinary shares, the market capitalisation of preferred shares, and the book value of total debt and non-controlling interests, without the deduction of cash or cash equivalents</w:t>
      </w:r>
    </w:p>
    <w:p w14:paraId="31ECC782" w14:textId="513DAAC2" w:rsidR="00D80723" w:rsidRPr="00A04676" w:rsidRDefault="00D80723" w:rsidP="00840982">
      <w:pPr>
        <w:jc w:val="both"/>
        <w:rPr>
          <w:lang w:val="en-US"/>
        </w:rPr>
      </w:pPr>
      <w:r>
        <w:rPr>
          <w:lang w:val="en-US"/>
        </w:rPr>
        <w:t>In fact, t</w:t>
      </w:r>
      <w:r w:rsidRPr="00A04676">
        <w:rPr>
          <w:lang w:val="en-US"/>
        </w:rPr>
        <w:t>he interaction between both definitions could be challenging, as the current value of investment is directly linked to changes in rates, making it difficult to measure progress over time and to avoid misinterpretation of the evolution to be measured.</w:t>
      </w:r>
      <w:r>
        <w:rPr>
          <w:lang w:val="en-US"/>
        </w:rPr>
        <w:t xml:space="preserve"> But, w</w:t>
      </w:r>
      <w:r w:rsidRPr="00A04676">
        <w:rPr>
          <w:lang w:val="en-US"/>
        </w:rPr>
        <w:t>hen requiring the share of investments related to a monetary amount (e.g., PAI 14 of table 1 on accumulated earnings in non-cooperative tax jurisdictions) of investee companies, it is recommended to systematically weigh the current value of investment in investee company against the enterprise value of investee company. This would allow that the indicator be based on the holding ratio (current value of investment over the enterprise value), since the sustainability performance of investee companies is tied to the investee's own funds, and is not a function of total investments in the portfolio (</w:t>
      </w:r>
      <w:r w:rsidRPr="00A04676">
        <w:rPr>
          <w:i/>
          <w:iCs/>
          <w:lang w:val="en-US"/>
        </w:rPr>
        <w:t>see response to Q1 and Q9 on PAI 14 for an example</w:t>
      </w:r>
      <w:r>
        <w:rPr>
          <w:i/>
          <w:iCs/>
          <w:lang w:val="en-US"/>
        </w:rPr>
        <w:t xml:space="preserve">). </w:t>
      </w:r>
    </w:p>
    <w:p w14:paraId="63AE8683" w14:textId="77777777" w:rsidR="00D80723" w:rsidRPr="00A04676" w:rsidRDefault="00D80723" w:rsidP="00701992">
      <w:pPr>
        <w:jc w:val="both"/>
        <w:rPr>
          <w:lang w:val="en-US"/>
        </w:rPr>
      </w:pPr>
      <w:r w:rsidRPr="00A04676">
        <w:rPr>
          <w:lang w:val="en-US"/>
        </w:rPr>
        <w:t xml:space="preserve">In order to ensure transparency and foster comprehensiveness of PAI indicators, </w:t>
      </w:r>
      <w:r>
        <w:rPr>
          <w:lang w:val="en-US"/>
        </w:rPr>
        <w:t>IFD</w:t>
      </w:r>
      <w:r w:rsidRPr="00A04676">
        <w:rPr>
          <w:lang w:val="en-US"/>
        </w:rPr>
        <w:t xml:space="preserve"> suggests that this mathematical bias be clearly explained in the “Explication” column. </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384BD2">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Pr="00384BD2" w:rsidRDefault="009C41BB" w:rsidP="00384BD2">
      <w:pPr>
        <w:pStyle w:val="Questionstyle"/>
        <w:numPr>
          <w:ilvl w:val="0"/>
          <w:numId w:val="42"/>
        </w:numPr>
      </w:pPr>
      <w:bookmarkStart w:id="9" w:name="_Hlk131609840"/>
      <w:r w:rsidRPr="00384BD2">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2E5D7F72" w14:textId="77777777" w:rsidR="00FD45EA" w:rsidRDefault="00FD45EA" w:rsidP="00FD45EA">
      <w:pPr>
        <w:jc w:val="both"/>
        <w:rPr>
          <w:b/>
          <w:bCs/>
        </w:rPr>
      </w:pPr>
      <w:permStart w:id="1633380214" w:edGrp="everyone"/>
      <w:r>
        <w:t xml:space="preserve"> </w:t>
      </w:r>
      <w:r>
        <w:rPr>
          <w:b/>
          <w:bCs/>
        </w:rPr>
        <w:t>PAI 3 of table 1 – GHG intensity of investee companies:</w:t>
      </w:r>
    </w:p>
    <w:p w14:paraId="53EF1074" w14:textId="77777777" w:rsidR="00FD45EA" w:rsidRDefault="00FD45EA" w:rsidP="00FD45EA">
      <w:pPr>
        <w:jc w:val="both"/>
      </w:pPr>
      <w:r>
        <w:t xml:space="preserve">It is recommended that GHG intensity of investee companies be applied both to (i) the Scope 1 and 2 GHG emissions and (ii) the Scope 1, 2 and 3 emissions. The description should be reframed as follows: </w:t>
      </w:r>
    </w:p>
    <w:p w14:paraId="15571C64" w14:textId="3970A9A4" w:rsidR="00FD45EA" w:rsidRPr="006E4CBC" w:rsidRDefault="00FD45EA" w:rsidP="00FD45EA">
      <w:pPr>
        <w:jc w:val="both"/>
      </w:pPr>
      <w:r w:rsidRPr="006E4CBC">
        <w:t>a) total Scope 1 &amp; 2 GHG emissions expressed as a ratio of investee company’s revenue</w:t>
      </w:r>
      <w:r w:rsidR="00384BD2">
        <w:t xml:space="preserve"> ;</w:t>
      </w:r>
    </w:p>
    <w:p w14:paraId="49E8F188" w14:textId="7234E029" w:rsidR="00FD45EA" w:rsidRDefault="00FD45EA" w:rsidP="00FD45EA">
      <w:pPr>
        <w:jc w:val="both"/>
      </w:pPr>
      <w:r w:rsidRPr="006E4CBC">
        <w:t>b) total Scope 1 &amp; 2 &amp; 3 GHG emissions expressed as a ratio of investee company’s revenue</w:t>
      </w:r>
      <w:r w:rsidR="00384BD2">
        <w:t>.</w:t>
      </w:r>
    </w:p>
    <w:p w14:paraId="1DC6BFFD" w14:textId="07D03702" w:rsidR="00C3355C" w:rsidRDefault="00FD45EA" w:rsidP="00FD45EA">
      <w:pPr>
        <w:jc w:val="both"/>
      </w:pPr>
      <w:r>
        <w:t>Scope 1 and 2 GHG emissions are reliable and within the control of investee companies, whereas Scope 3 GHG emissions are mostly estimated at this stage and can only be partially influenced by investees. It would be therefore relevant to have also the distinct information on the carbon intensity ratio per revenue on Scope 1 and 2 GHG emissions in addition to the intensity ratio on total emissions (scope 1 &amp; 2 &amp; 3).</w:t>
      </w:r>
      <w:permEnd w:id="1633380214"/>
    </w:p>
    <w:p w14:paraId="74A72C72" w14:textId="748497F6" w:rsidR="009C41BB" w:rsidRDefault="009C41BB" w:rsidP="009C41BB">
      <w:r>
        <w:t>&lt;ESMA_QUESTION_SFDR_10&gt;</w:t>
      </w:r>
    </w:p>
    <w:p w14:paraId="4C60FA50" w14:textId="77777777" w:rsidR="009C41BB" w:rsidRDefault="009C41BB" w:rsidP="009C41BB"/>
    <w:p w14:paraId="3F6FB44A" w14:textId="77777777" w:rsidR="009C41BB" w:rsidRDefault="009C41BB" w:rsidP="00384BD2">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384BD2">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384BD2">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594B3FE4" w14:textId="486990E0" w:rsidR="00B819E9" w:rsidRPr="00384BD2" w:rsidRDefault="009C41BB" w:rsidP="00384BD2">
      <w:pPr>
        <w:pStyle w:val="Questionstyle"/>
        <w:numPr>
          <w:ilvl w:val="0"/>
          <w:numId w:val="42"/>
        </w:numPr>
      </w:pPr>
      <w:r w:rsidRPr="00384BD2">
        <w:t>: Do you agree with the proposed treatment of derivatives in the PAI indicators or would you suggest any other method?</w:t>
      </w:r>
    </w:p>
    <w:p w14:paraId="5C37B13F" w14:textId="77777777" w:rsidR="00B819E9" w:rsidRPr="00384BD2" w:rsidRDefault="00B819E9" w:rsidP="00B819E9">
      <w:pPr>
        <w:spacing w:after="0" w:line="240" w:lineRule="auto"/>
        <w:jc w:val="both"/>
        <w:rPr>
          <w:rFonts w:cstheme="minorHAnsi"/>
        </w:rPr>
      </w:pPr>
      <w:r w:rsidRPr="00384BD2">
        <w:rPr>
          <w:rFonts w:cstheme="minorHAnsi"/>
        </w:rPr>
        <w:t>&lt;ESMA_QUESTION_SFDR_14&gt;</w:t>
      </w:r>
    </w:p>
    <w:p w14:paraId="00E3BA2B" w14:textId="77777777" w:rsidR="00A279B2" w:rsidRDefault="00A279B2" w:rsidP="00B819E9">
      <w:pPr>
        <w:spacing w:after="0" w:line="240" w:lineRule="auto"/>
        <w:jc w:val="both"/>
        <w:rPr>
          <w:rFonts w:ascii="Times New Roman" w:hAnsi="Times New Roman" w:cs="Times New Roman"/>
        </w:rPr>
      </w:pPr>
    </w:p>
    <w:p w14:paraId="20E8456D" w14:textId="77777777" w:rsidR="00A279B2" w:rsidRPr="00465EB3" w:rsidRDefault="00A279B2" w:rsidP="00A279B2">
      <w:pPr>
        <w:spacing w:after="0" w:line="240" w:lineRule="auto"/>
        <w:jc w:val="both"/>
        <w:rPr>
          <w:rFonts w:cstheme="minorHAnsi"/>
        </w:rPr>
      </w:pPr>
      <w:permStart w:id="401679572" w:edGrp="everyone"/>
      <w:r w:rsidRPr="00465EB3">
        <w:rPr>
          <w:rFonts w:cstheme="minorHAnsi"/>
        </w:rPr>
        <w:t>IFD agrees with ESMA's principle that exposures are meaningful and that, in principle, PAI calculations should include exposures gained through derivatives when they are significant or material to the ESG strategy.</w:t>
      </w:r>
    </w:p>
    <w:p w14:paraId="09BC258B" w14:textId="77777777" w:rsidR="00A279B2" w:rsidRPr="00465EB3" w:rsidRDefault="00A279B2" w:rsidP="00A279B2">
      <w:pPr>
        <w:spacing w:after="0" w:line="240" w:lineRule="auto"/>
        <w:jc w:val="both"/>
        <w:rPr>
          <w:rFonts w:cstheme="minorHAnsi"/>
        </w:rPr>
      </w:pPr>
      <w:r w:rsidRPr="00465EB3">
        <w:rPr>
          <w:rFonts w:cstheme="minorHAnsi"/>
        </w:rPr>
        <w:br/>
        <w:t xml:space="preserve">However, this method does not suit us as this proposal is </w:t>
      </w:r>
      <w:r w:rsidRPr="00465EB3">
        <w:rPr>
          <w:rFonts w:cstheme="minorHAnsi"/>
          <w:b/>
          <w:bCs/>
        </w:rPr>
        <w:t>incomplete and imperfect</w:t>
      </w:r>
      <w:r w:rsidRPr="00465EB3">
        <w:rPr>
          <w:rFonts w:cstheme="minorHAnsi"/>
        </w:rPr>
        <w:t xml:space="preserve">. We observe that the </w:t>
      </w:r>
      <w:r w:rsidRPr="00465EB3">
        <w:rPr>
          <w:rFonts w:cstheme="minorHAnsi"/>
          <w:b/>
          <w:bCs/>
        </w:rPr>
        <w:t>current proposal is not precise and contains inconsistencies</w:t>
      </w:r>
      <w:r w:rsidRPr="00465EB3">
        <w:rPr>
          <w:rFonts w:cstheme="minorHAnsi"/>
        </w:rPr>
        <w:t xml:space="preserve">, and we believe </w:t>
      </w:r>
      <w:r w:rsidRPr="00465EB3">
        <w:rPr>
          <w:rFonts w:cstheme="minorHAnsi"/>
          <w:b/>
          <w:bCs/>
        </w:rPr>
        <w:t>that precision should be the priority</w:t>
      </w:r>
      <w:r w:rsidRPr="00465EB3">
        <w:rPr>
          <w:rFonts w:cstheme="minorHAnsi"/>
        </w:rPr>
        <w:t xml:space="preserve"> in the disclosure process, as it is the condition for producing accurate and meaningful calculations and better comparability, when necessary.</w:t>
      </w:r>
    </w:p>
    <w:p w14:paraId="11F8E8CA" w14:textId="77777777" w:rsidR="00A279B2" w:rsidRPr="00465EB3" w:rsidRDefault="00A279B2" w:rsidP="00A279B2">
      <w:pPr>
        <w:spacing w:after="0" w:line="240" w:lineRule="auto"/>
        <w:jc w:val="both"/>
        <w:rPr>
          <w:rFonts w:cstheme="minorHAnsi"/>
        </w:rPr>
      </w:pPr>
    </w:p>
    <w:p w14:paraId="15075611" w14:textId="77777777" w:rsidR="00A279B2" w:rsidRPr="00465EB3" w:rsidRDefault="00A279B2" w:rsidP="00A279B2">
      <w:pPr>
        <w:spacing w:after="0" w:line="240" w:lineRule="auto"/>
        <w:jc w:val="both"/>
        <w:rPr>
          <w:rFonts w:cstheme="minorHAnsi"/>
          <w:lang w:val="en-US"/>
        </w:rPr>
      </w:pPr>
      <w:r w:rsidRPr="00465EB3">
        <w:rPr>
          <w:rFonts w:cstheme="minorHAnsi"/>
        </w:rPr>
        <w:t>We support the notion that it is essential to have a coherent and aligned approach with the type of calculations used for financial ratios. The three measures - SI (Sustainability Indicator), PAI (Principal Adverse Impact), and taxonomy alignment - should have a consistent, comprehensive, and complete calculation methodology.</w:t>
      </w:r>
    </w:p>
    <w:p w14:paraId="557D84FE" w14:textId="77777777" w:rsidR="00A279B2" w:rsidRPr="00465EB3" w:rsidRDefault="00A279B2" w:rsidP="00A279B2">
      <w:pPr>
        <w:spacing w:after="0" w:line="240" w:lineRule="auto"/>
        <w:jc w:val="both"/>
        <w:rPr>
          <w:rFonts w:cstheme="minorHAnsi"/>
        </w:rPr>
      </w:pPr>
    </w:p>
    <w:p w14:paraId="4B63F4AA" w14:textId="6EC39C6D" w:rsidR="00A279B2" w:rsidRPr="00465EB3" w:rsidRDefault="00A279B2" w:rsidP="00A279B2">
      <w:pPr>
        <w:rPr>
          <w:rFonts w:cstheme="minorHAnsi"/>
          <w:b/>
          <w:bCs/>
        </w:rPr>
      </w:pPr>
      <w:r w:rsidRPr="00465EB3">
        <w:rPr>
          <w:rFonts w:cstheme="minorHAnsi"/>
          <w:b/>
          <w:bCs/>
        </w:rPr>
        <w:t xml:space="preserve">In any case, before introducing derivatives in the PAI reporting, a thorough analysis of the scope of the problem, impact analyses and significance </w:t>
      </w:r>
      <w:r w:rsidRPr="00465EB3">
        <w:rPr>
          <w:rFonts w:cstheme="minorHAnsi"/>
          <w:bCs/>
        </w:rPr>
        <w:t>for sustainability and greenwashing</w:t>
      </w:r>
      <w:r w:rsidRPr="00465EB3">
        <w:rPr>
          <w:rFonts w:cstheme="minorHAnsi"/>
          <w:b/>
          <w:bCs/>
        </w:rPr>
        <w:t xml:space="preserve"> is required</w:t>
      </w:r>
      <w:r w:rsidR="006B17D5">
        <w:rPr>
          <w:rFonts w:cstheme="minorHAnsi"/>
          <w:b/>
          <w:bCs/>
        </w:rPr>
        <w:t>.</w:t>
      </w:r>
    </w:p>
    <w:p w14:paraId="2ABBA7FF" w14:textId="60BF2B2D" w:rsidR="00A279B2" w:rsidRDefault="00A279B2" w:rsidP="00A279B2"/>
    <w:permEnd w:id="401679572"/>
    <w:p w14:paraId="60407BA9" w14:textId="7822CA9E" w:rsidR="00A279B2" w:rsidRPr="00384BD2" w:rsidRDefault="009A7B95" w:rsidP="00B819E9">
      <w:pPr>
        <w:spacing w:after="0" w:line="240" w:lineRule="auto"/>
        <w:jc w:val="both"/>
        <w:rPr>
          <w:rFonts w:cstheme="minorHAnsi"/>
        </w:rPr>
      </w:pPr>
      <w:r w:rsidRPr="00384BD2">
        <w:rPr>
          <w:rFonts w:cstheme="minorHAnsi"/>
        </w:rPr>
        <w:t>&lt;ESMA_QUESTION_SFDR_14&gt;</w:t>
      </w:r>
    </w:p>
    <w:p w14:paraId="53EEC1D2" w14:textId="77777777" w:rsidR="00696FC7" w:rsidRPr="00696FC7" w:rsidRDefault="00696FC7" w:rsidP="009C41BB">
      <w:pPr>
        <w:rPr>
          <w:lang w:val="en-US"/>
        </w:rPr>
      </w:pPr>
    </w:p>
    <w:p w14:paraId="2C7E2AD7" w14:textId="77777777" w:rsidR="009C41BB" w:rsidRPr="00384BD2" w:rsidRDefault="009C41BB" w:rsidP="00384BD2">
      <w:pPr>
        <w:pStyle w:val="Questionstyle"/>
        <w:numPr>
          <w:ilvl w:val="0"/>
          <w:numId w:val="42"/>
        </w:numPr>
      </w:pPr>
      <w:r w:rsidRPr="00384BD2">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795CDF56" w14:textId="77777777" w:rsidR="009A7B95" w:rsidRPr="003B0E4D" w:rsidRDefault="009A7B95" w:rsidP="009A7B95">
      <w:pPr>
        <w:spacing w:after="0" w:line="240" w:lineRule="auto"/>
        <w:jc w:val="both"/>
        <w:rPr>
          <w:rFonts w:ascii="Times New Roman" w:hAnsi="Times New Roman" w:cs="Times New Roman"/>
        </w:rPr>
      </w:pPr>
      <w:permStart w:id="1256652861" w:edGrp="everyone"/>
      <w:r w:rsidRPr="003B0E4D">
        <w:rPr>
          <w:rFonts w:ascii="Times New Roman" w:hAnsi="Times New Roman" w:cs="Times New Roman"/>
          <w:lang w:val="en-US"/>
        </w:rPr>
        <w:t>We would like to stress the need for more thorough analyses of the scope of the problem, impact analyses and significance for sustainability and greenwashing, before introducing new regulations in the area</w:t>
      </w:r>
      <w:r>
        <w:rPr>
          <w:rFonts w:ascii="Times New Roman" w:hAnsi="Times New Roman" w:cs="Times New Roman"/>
          <w:lang w:val="en-US"/>
        </w:rPr>
        <w:t xml:space="preserve">. </w:t>
      </w:r>
    </w:p>
    <w:permEnd w:id="1256652861"/>
    <w:p w14:paraId="2931ECD8" w14:textId="2B5D1B52" w:rsidR="009C41BB" w:rsidRDefault="009C41BB" w:rsidP="009C41BB">
      <w:r>
        <w:t>&lt;ESMA_QUESTION_SFDR_15&gt;</w:t>
      </w:r>
    </w:p>
    <w:p w14:paraId="7B57E625" w14:textId="77777777" w:rsidR="009C41BB" w:rsidRDefault="009C41BB" w:rsidP="009C41BB"/>
    <w:p w14:paraId="762504D0" w14:textId="77777777" w:rsidR="009C41BB" w:rsidRPr="00384BD2" w:rsidRDefault="009C41BB" w:rsidP="00384BD2">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Pr="00384BD2" w:rsidRDefault="009C41BB" w:rsidP="00384BD2">
      <w:pPr>
        <w:pStyle w:val="Questionstyle"/>
        <w:numPr>
          <w:ilvl w:val="0"/>
          <w:numId w:val="42"/>
        </w:numPr>
      </w:pPr>
      <w:r w:rsidRPr="00384BD2">
        <w:t>: Do you agree with the ESAs’ assessment of the DNSH framework under SFDR?</w:t>
      </w:r>
    </w:p>
    <w:p w14:paraId="4F8008B2" w14:textId="77777777" w:rsidR="009C41BB" w:rsidRDefault="009C41BB" w:rsidP="009C41BB">
      <w:r>
        <w:t>&lt;ESMA_QUESTION_SFDR_17&gt;</w:t>
      </w:r>
    </w:p>
    <w:p w14:paraId="749B5EEF" w14:textId="5DE34C8B" w:rsidR="00137BFC" w:rsidRPr="00137BFC" w:rsidRDefault="00137BFC" w:rsidP="00A52A57">
      <w:pPr>
        <w:autoSpaceDE w:val="0"/>
        <w:autoSpaceDN w:val="0"/>
        <w:adjustRightInd w:val="0"/>
        <w:spacing w:after="0" w:line="240" w:lineRule="auto"/>
        <w:jc w:val="both"/>
      </w:pPr>
      <w:permStart w:id="791154279" w:edGrp="everyone"/>
      <w:r w:rsidRPr="00137BFC">
        <w:t xml:space="preserve">To facilitate the understanding of the FMPs responsible for applying the texts, as well as individual investors who will have to use the information disclosed, </w:t>
      </w:r>
      <w:r w:rsidR="00A90CD5">
        <w:t>IFD</w:t>
      </w:r>
      <w:r w:rsidRPr="00137BFC">
        <w:t xml:space="preserve"> believes greater efforts should be made in the RTS to explain and clarify the principle, the specificities and the interest of the DNSH principle of SFDR, in particular with regard to other concepts such as the PAI and the DNSH of the Taxonomy. </w:t>
      </w:r>
    </w:p>
    <w:p w14:paraId="1D34AC2D" w14:textId="77777777" w:rsidR="00A52A57" w:rsidRDefault="00137BFC" w:rsidP="00A52A57">
      <w:pPr>
        <w:jc w:val="both"/>
      </w:pPr>
      <w:r w:rsidRPr="00137BFC">
        <w:t xml:space="preserve">Furthermore, </w:t>
      </w:r>
      <w:r w:rsidR="00A90CD5">
        <w:t>IFD</w:t>
      </w:r>
      <w:r w:rsidRPr="00137BFC">
        <w:t xml:space="preserve"> considers that the lack of detailed guidelines on how FMPs should consider the principal adverse impacts and the PAI indicators does not allow FMPs to apply the DNSH principle of SFDR consistently.</w:t>
      </w:r>
    </w:p>
    <w:permEnd w:id="791154279"/>
    <w:p w14:paraId="3FA2FE7A" w14:textId="30A3F682" w:rsidR="009C41BB" w:rsidRDefault="009C41BB" w:rsidP="00A52A57">
      <w:pPr>
        <w:jc w:val="both"/>
      </w:pPr>
      <w:r>
        <w:t>&lt;ESMA_QUESTION_SFDR_17&gt;</w:t>
      </w:r>
    </w:p>
    <w:p w14:paraId="6B0958DF" w14:textId="77777777" w:rsidR="009C41BB" w:rsidRDefault="009C41BB" w:rsidP="009C41BB"/>
    <w:p w14:paraId="60A358F2" w14:textId="77777777" w:rsidR="009C41BB" w:rsidRDefault="009C41BB" w:rsidP="00384BD2">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77777777" w:rsidR="009C41BB" w:rsidRDefault="009C41BB" w:rsidP="009C41BB">
      <w:permStart w:id="984368250" w:edGrp="everyone"/>
      <w:r>
        <w:t>TYPE YOUR TEXT HERE</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384BD2">
      <w:pPr>
        <w:pStyle w:val="Questionstyle"/>
        <w:numPr>
          <w:ilvl w:val="0"/>
          <w:numId w:val="42"/>
        </w:numPr>
      </w:pPr>
      <w:r>
        <w:t>: Do you support the introduction of an optional “safe harbour”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384BD2">
      <w:pPr>
        <w:pStyle w:val="Questionstyle"/>
        <w:numPr>
          <w:ilvl w:val="0"/>
          <w:numId w:val="4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384BD2">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Pr="00384BD2" w:rsidRDefault="009C41BB" w:rsidP="00384BD2">
      <w:pPr>
        <w:pStyle w:val="Questionstyle"/>
        <w:numPr>
          <w:ilvl w:val="0"/>
          <w:numId w:val="42"/>
        </w:numPr>
      </w:pPr>
      <w:r w:rsidRPr="00384BD2">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17D67EF7" w14:textId="431755A5" w:rsidR="0044462C" w:rsidRDefault="003374D5" w:rsidP="0044462C">
      <w:pPr>
        <w:jc w:val="both"/>
      </w:pPr>
      <w:permStart w:id="229573104" w:edGrp="everyone"/>
      <w:r>
        <w:t>IFD</w:t>
      </w:r>
      <w:r w:rsidR="0044462C">
        <w:t xml:space="preserve"> believes that the proposed disclosures do not strike the right balance between the need for clear, reliable, decision-useful information for investors and the need to keep requirements feasible and proportional for FMPs. This analysis is based on the following reasoning:</w:t>
      </w:r>
    </w:p>
    <w:p w14:paraId="1AD17857" w14:textId="77777777" w:rsidR="0044462C" w:rsidRDefault="0044462C" w:rsidP="0044462C">
      <w:pPr>
        <w:pStyle w:val="Paragraphedeliste"/>
        <w:numPr>
          <w:ilvl w:val="0"/>
          <w:numId w:val="44"/>
        </w:numPr>
        <w:jc w:val="both"/>
      </w:pPr>
      <w:r>
        <w:t>ESRS standards for FMPs are yet to be developed. In particular, financed/facilitated/assured GHG emissions have not been defined yet. ESRS E1 only recommends that FMPs should consider Partnership for Carbon Accounting Financials (PCAF), specifically part A “Financed Emissions” and part C “Insurance-Associated Emissions”, when preparing their Scope 3 calculation. Working groups on financial standards are currently being established and will develop these definitions in the coming months</w:t>
      </w:r>
      <w:r>
        <w:rPr>
          <w:b/>
          <w:bCs/>
        </w:rPr>
        <w:t xml:space="preserve">. SFDR should rely on and be consistent with existing ESRS definitions and requirements and should phase-in and adapt its own requirements for FMPS in accordance with currently applicable rules and methodologies. </w:t>
      </w:r>
    </w:p>
    <w:p w14:paraId="71025454" w14:textId="02A1FDD3" w:rsidR="0044462C" w:rsidRDefault="003374D5" w:rsidP="0044462C">
      <w:pPr>
        <w:pStyle w:val="Paragraphedeliste"/>
        <w:numPr>
          <w:ilvl w:val="0"/>
          <w:numId w:val="44"/>
        </w:numPr>
        <w:jc w:val="both"/>
      </w:pPr>
      <w:r>
        <w:t>IFD</w:t>
      </w:r>
      <w:r w:rsidR="0044462C">
        <w:t xml:space="preserve"> agrees that the GHG emission reduction targets should be assessed separately at the FMP level and at the products level. For both levels, reliable and comparable Scope 1, 2 and 3 calculation is a prerequisite. As the definition of financed/facilitated/assured emissions is still pending and given the importance of these emissions for FMPs, investees’ GHG emissions will be more reliable than FMPs’ emissions.  At FMP level, </w:t>
      </w:r>
      <w:r w:rsidR="0044462C">
        <w:rPr>
          <w:b/>
          <w:bCs/>
        </w:rPr>
        <w:t>the decarbonisation levers are primarily the sectoral divestment/reallocation strategy and the investment/financing strategy</w:t>
      </w:r>
      <w:r w:rsidR="0044462C">
        <w:t xml:space="preserve"> </w:t>
      </w:r>
      <w:r w:rsidR="0044462C">
        <w:rPr>
          <w:b/>
          <w:bCs/>
        </w:rPr>
        <w:t>by</w:t>
      </w:r>
      <w:r w:rsidR="0044462C">
        <w:t xml:space="preserve"> </w:t>
      </w:r>
      <w:r w:rsidR="0044462C">
        <w:rPr>
          <w:b/>
          <w:bCs/>
        </w:rPr>
        <w:t>country</w:t>
      </w:r>
      <w:r w:rsidR="0044462C">
        <w:t xml:space="preserve"> (national energy mix is a key indirect decarbonisation lever)</w:t>
      </w:r>
      <w:r w:rsidR="0044462C">
        <w:rPr>
          <w:b/>
          <w:bCs/>
        </w:rPr>
        <w:t>, and  finally the delivery of absolute reductions by investees</w:t>
      </w:r>
      <w:r w:rsidR="0044462C">
        <w:t xml:space="preserve"> (which also includes the decarbonisation lever of location strategy by country).  At product level, the same decarbonisation levers apply, but more granular criterion such as benchmarks, sector exclusions, and the level of ambition of GHG emission reduction targets, among others, should be offered to FMPs to differentiate their products.</w:t>
      </w:r>
    </w:p>
    <w:p w14:paraId="016A1999" w14:textId="0B26A499" w:rsidR="0044462C" w:rsidRDefault="0044462C" w:rsidP="0044462C">
      <w:pPr>
        <w:pStyle w:val="Paragraphedeliste"/>
        <w:numPr>
          <w:ilvl w:val="0"/>
          <w:numId w:val="44"/>
        </w:numPr>
        <w:jc w:val="both"/>
        <w:rPr>
          <w:b/>
          <w:bCs/>
        </w:rPr>
      </w:pPr>
      <w:r>
        <w:t xml:space="preserve">Regarding the assessment of GHG emission reductions targets, </w:t>
      </w:r>
      <w:r w:rsidR="003374D5">
        <w:t>IFD</w:t>
      </w:r>
      <w:r>
        <w:t xml:space="preserve"> would like to strongly emphasise that Scope 1 and 2 GHG emissions should be differentiated from Scope 3 GHG emissions. Scope 1 &amp; 2 are reliable and within the control of investee companies, whereas Scope 3 GHG emissions are</w:t>
      </w:r>
      <w:r w:rsidR="00602235">
        <w:t xml:space="preserve"> mostly</w:t>
      </w:r>
      <w:r>
        <w:t xml:space="preserve"> estimated and can only be partially influenced by investees. Note that financed/facilitated are a specific Scope 3 category that is core to FMPs carbon footprint but of a slightly different nature (which is the reason why PCAF is recommended under ESRS E1) and has not been precisely defined yet by EFRAG. ESRS E1 requires undertakings to disclose their GHG emission reduction targets for Scope 1, 2, and 3 GHG emissions, either separately or combined and in absolute value and, where relevant, in intensity value. </w:t>
      </w:r>
      <w:r>
        <w:rPr>
          <w:b/>
          <w:bCs/>
        </w:rPr>
        <w:t xml:space="preserve">Good practice would be to disclose separately </w:t>
      </w:r>
      <w:r w:rsidR="009A0030">
        <w:rPr>
          <w:b/>
          <w:bCs/>
        </w:rPr>
        <w:t xml:space="preserve">total </w:t>
      </w:r>
      <w:r>
        <w:rPr>
          <w:b/>
          <w:bCs/>
        </w:rPr>
        <w:t>Scope 1 &amp; 2 target</w:t>
      </w:r>
      <w:r w:rsidR="00F349D2">
        <w:rPr>
          <w:b/>
          <w:bCs/>
        </w:rPr>
        <w:t xml:space="preserve"> and </w:t>
      </w:r>
      <w:r w:rsidR="007A6F11">
        <w:rPr>
          <w:b/>
          <w:bCs/>
        </w:rPr>
        <w:t xml:space="preserve">total </w:t>
      </w:r>
      <w:r w:rsidR="00F349D2">
        <w:rPr>
          <w:b/>
          <w:bCs/>
        </w:rPr>
        <w:t xml:space="preserve">Scope </w:t>
      </w:r>
      <w:r w:rsidR="0087374F">
        <w:rPr>
          <w:b/>
          <w:bCs/>
        </w:rPr>
        <w:t>1</w:t>
      </w:r>
      <w:r w:rsidR="00D40CD1">
        <w:rPr>
          <w:b/>
          <w:bCs/>
        </w:rPr>
        <w:t xml:space="preserve"> &amp; 2 &amp; </w:t>
      </w:r>
      <w:r w:rsidR="007A6F11">
        <w:rPr>
          <w:b/>
          <w:bCs/>
        </w:rPr>
        <w:t>3 target</w:t>
      </w:r>
      <w:r>
        <w:rPr>
          <w:b/>
          <w:bCs/>
        </w:rPr>
        <w:t xml:space="preserve"> in absolute value</w:t>
      </w:r>
      <w:r w:rsidR="00D40CD1">
        <w:rPr>
          <w:b/>
          <w:bCs/>
        </w:rPr>
        <w:t xml:space="preserve"> and intensity ratio</w:t>
      </w:r>
      <w:r>
        <w:t>.</w:t>
      </w:r>
    </w:p>
    <w:p w14:paraId="5E64B874" w14:textId="77777777" w:rsidR="0044462C" w:rsidRDefault="0044462C" w:rsidP="0044462C">
      <w:pPr>
        <w:pStyle w:val="Paragraphedeliste"/>
        <w:numPr>
          <w:ilvl w:val="0"/>
          <w:numId w:val="44"/>
        </w:numPr>
        <w:jc w:val="both"/>
        <w:rPr>
          <w:b/>
          <w:bCs/>
        </w:rPr>
      </w:pPr>
      <w:r>
        <w:rPr>
          <w:b/>
          <w:bCs/>
        </w:rPr>
        <w:t>It is still possible and easy to amend both SFDR RTS and ESRS in July 2023 to amend the PAI and the related disclosure requirements.</w:t>
      </w:r>
    </w:p>
    <w:p w14:paraId="59052AFC" w14:textId="24DD6884" w:rsidR="0044462C" w:rsidRDefault="0044462C" w:rsidP="0044462C">
      <w:pPr>
        <w:pStyle w:val="Paragraphedeliste"/>
        <w:numPr>
          <w:ilvl w:val="0"/>
          <w:numId w:val="44"/>
        </w:numPr>
        <w:jc w:val="both"/>
        <w:rPr>
          <w:b/>
          <w:bCs/>
        </w:rPr>
      </w:pPr>
      <w:r>
        <w:t>When it comes to Net Zero commitments at FMPs level and</w:t>
      </w:r>
      <w:r>
        <w:rPr>
          <w:b/>
          <w:bCs/>
        </w:rPr>
        <w:t xml:space="preserve"> transition of their investment portfolios to net-zero</w:t>
      </w:r>
      <w:r>
        <w:t xml:space="preserve">, </w:t>
      </w:r>
      <w:r w:rsidR="00F64613">
        <w:t>IFD</w:t>
      </w:r>
      <w:r>
        <w:t xml:space="preserve"> reminds that ESRS have stated that “the undertaking shall not include GHG removals, carbon credits or avoided emissions as a means of achieving the GHG emission reduction targets”. This should apply as well to FMPs and their investment portfolios. The use of removals and carbon credits in portfolios is another dimension of the products’ assessment that should not be mixed with the GHG emission reductions targets assessment. Net Zero has been defined by ESRS as the “residual GHG emissions (after approximately 90-95% of GHG emission reduction with the possibility for justified sectoral variations in line with a recognised sectoral decarbonisation pathway) that are intended to be neutralised by, for example, GHG removals in its own operations and value chain”. Under these definitions, the net zero commitment will become much more difficult to achieve both at FMPs and products’ levels in line with reality. At both product and FMPs level, </w:t>
      </w:r>
      <w:r>
        <w:rPr>
          <w:b/>
          <w:bCs/>
        </w:rPr>
        <w:t>financed emission targets should necessarily be defined in gross terms</w:t>
      </w:r>
      <w:r>
        <w:t xml:space="preserve"> and the potential targets on removals and carbon credit, if any, should be expressed as an amount of tCO2e cancelled over the target period by the investees and/or by the FMP to offset the residual portfolio emissions. In this context, the “progress on off-sets” template (e.g. in Annex IV for art 8) should probably be removed. </w:t>
      </w:r>
    </w:p>
    <w:p w14:paraId="364ED99E" w14:textId="0B7BDD98" w:rsidR="0044462C" w:rsidRDefault="0044462C" w:rsidP="0044462C">
      <w:pPr>
        <w:pStyle w:val="Paragraphedeliste"/>
        <w:numPr>
          <w:ilvl w:val="0"/>
          <w:numId w:val="44"/>
        </w:numPr>
        <w:jc w:val="both"/>
      </w:pPr>
      <w:r>
        <w:t xml:space="preserve">To conclude, </w:t>
      </w:r>
      <w:r>
        <w:rPr>
          <w:b/>
          <w:bCs/>
        </w:rPr>
        <w:t xml:space="preserve">the commitments should be focused on expressing either the carbon intensity per M€ invested target or the consolidated reduction targets of investees in % over a given period (2025-2030-2040, etc.) </w:t>
      </w:r>
      <w:r>
        <w:t>at both FMPs and products’ levels. I</w:t>
      </w:r>
      <w:r>
        <w:rPr>
          <w:b/>
          <w:bCs/>
        </w:rPr>
        <w:t xml:space="preserve">n any case, these targets should be calculated on the gross </w:t>
      </w:r>
      <w:r w:rsidR="00B35C3B">
        <w:rPr>
          <w:b/>
          <w:bCs/>
        </w:rPr>
        <w:t xml:space="preserve">total </w:t>
      </w:r>
      <w:r w:rsidR="00730BBC">
        <w:rPr>
          <w:b/>
          <w:bCs/>
        </w:rPr>
        <w:t xml:space="preserve">Scope 1 &amp; 2 and total Scope 1 &amp; 2 &amp; 3 </w:t>
      </w:r>
      <w:r w:rsidR="001D1661">
        <w:rPr>
          <w:b/>
          <w:bCs/>
        </w:rPr>
        <w:t xml:space="preserve">emissions </w:t>
      </w:r>
      <w:r w:rsidR="00B35C3B">
        <w:rPr>
          <w:b/>
          <w:bCs/>
        </w:rPr>
        <w:t>expressed in</w:t>
      </w:r>
      <w:r w:rsidR="00730BBC">
        <w:rPr>
          <w:b/>
          <w:bCs/>
        </w:rPr>
        <w:t xml:space="preserve"> absolute value and intensity ratio</w:t>
      </w:r>
      <w:r>
        <w:rPr>
          <w:b/>
          <w:bCs/>
        </w:rPr>
        <w:t>,</w:t>
      </w:r>
      <w:r>
        <w:t xml:space="preserve"> </w:t>
      </w:r>
      <w:r>
        <w:rPr>
          <w:b/>
          <w:bCs/>
        </w:rPr>
        <w:t>and accompanied by targets related to sectoral allocation of the investments/financing/insured activities</w:t>
      </w:r>
      <w:r>
        <w:t>.</w:t>
      </w:r>
    </w:p>
    <w:permEnd w:id="229573104"/>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384BD2">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384BD2">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384BD2">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384BD2">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384BD2">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384BD2">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Pr="008B1257" w:rsidRDefault="009C41BB" w:rsidP="00384BD2">
      <w:pPr>
        <w:pStyle w:val="Questionstyle"/>
        <w:numPr>
          <w:ilvl w:val="0"/>
          <w:numId w:val="42"/>
        </w:numPr>
      </w:pPr>
      <w:r w:rsidRPr="008B1257">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2843E66" w14:textId="2548B1E0" w:rsidR="00CE5B68" w:rsidRPr="00424760" w:rsidRDefault="00384BD2" w:rsidP="00424760">
      <w:permStart w:id="811147857" w:edGrp="everyone"/>
      <w:r>
        <w:t>TYPE YOUR TEXT HERE</w:t>
      </w:r>
    </w:p>
    <w:permEnd w:id="811147857"/>
    <w:p w14:paraId="7C1B77E1" w14:textId="77777777" w:rsidR="009C41BB" w:rsidRPr="00407F89" w:rsidRDefault="009C41BB" w:rsidP="009C41BB">
      <w:pPr>
        <w:rPr>
          <w:lang w:val="it-IT"/>
        </w:rPr>
      </w:pPr>
      <w:r w:rsidRPr="00407F89">
        <w:rPr>
          <w:lang w:val="it-IT"/>
        </w:rPr>
        <w:t>&lt;ESMA_QUESTION_SFDR_29&gt;</w:t>
      </w:r>
    </w:p>
    <w:p w14:paraId="44D2F33E" w14:textId="77777777" w:rsidR="009C41BB" w:rsidRPr="00407F89" w:rsidRDefault="009C41BB" w:rsidP="009C41BB">
      <w:pPr>
        <w:rPr>
          <w:lang w:val="it-IT"/>
        </w:rPr>
      </w:pPr>
    </w:p>
    <w:p w14:paraId="6BCA58C7" w14:textId="77777777" w:rsidR="009C41BB" w:rsidRDefault="009C41BB" w:rsidP="00384BD2">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384BD2">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384BD2">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384BD2">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384BD2">
      <w:pPr>
        <w:pStyle w:val="Questionstyle"/>
        <w:numPr>
          <w:ilvl w:val="0"/>
          <w:numId w:val="42"/>
        </w:numPr>
      </w:pPr>
      <w:r>
        <w:t>: Do you agree with this approach of ensuring consistency in the use of colours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384BD2">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384BD2">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384BD2">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384BD2">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384BD2">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384BD2">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384BD2">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384BD2">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384BD2">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default" r:id="rId15"/>
      <w:footerReference w:type="default" r:id="rId16"/>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C454" w14:textId="77777777" w:rsidR="005E76D9" w:rsidRDefault="005E76D9" w:rsidP="00707738">
      <w:pPr>
        <w:spacing w:after="0" w:line="240" w:lineRule="auto"/>
      </w:pPr>
      <w:r>
        <w:separator/>
      </w:r>
    </w:p>
  </w:endnote>
  <w:endnote w:type="continuationSeparator" w:id="0">
    <w:p w14:paraId="346F3CA2" w14:textId="77777777" w:rsidR="005E76D9" w:rsidRDefault="005E76D9" w:rsidP="00707738">
      <w:pPr>
        <w:spacing w:after="0" w:line="240" w:lineRule="auto"/>
      </w:pPr>
      <w:r>
        <w:continuationSeparator/>
      </w:r>
    </w:p>
  </w:endnote>
  <w:endnote w:type="continuationNotice" w:id="1">
    <w:p w14:paraId="05545E86" w14:textId="77777777" w:rsidR="005E76D9" w:rsidRDefault="005E7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Pieddepag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30AE" w14:textId="77777777" w:rsidR="005E76D9" w:rsidRDefault="005E76D9" w:rsidP="00707738">
      <w:pPr>
        <w:spacing w:after="0" w:line="240" w:lineRule="auto"/>
      </w:pPr>
      <w:r>
        <w:separator/>
      </w:r>
    </w:p>
  </w:footnote>
  <w:footnote w:type="continuationSeparator" w:id="0">
    <w:p w14:paraId="5362300E" w14:textId="77777777" w:rsidR="005E76D9" w:rsidRDefault="005E76D9" w:rsidP="00707738">
      <w:pPr>
        <w:spacing w:after="0" w:line="240" w:lineRule="auto"/>
      </w:pPr>
      <w:r>
        <w:continuationSeparator/>
      </w:r>
    </w:p>
  </w:footnote>
  <w:footnote w:type="continuationNotice" w:id="1">
    <w:p w14:paraId="6BCA49F9" w14:textId="77777777" w:rsidR="005E76D9" w:rsidRDefault="005E76D9">
      <w:pPr>
        <w:spacing w:after="0" w:line="240" w:lineRule="auto"/>
      </w:pPr>
    </w:p>
  </w:footnote>
  <w:footnote w:id="2">
    <w:p w14:paraId="5BF82E71" w14:textId="77777777" w:rsidR="009C41BB" w:rsidRDefault="009C41BB" w:rsidP="008B1257">
      <w:pPr>
        <w:pStyle w:val="Notedebasdepage"/>
        <w:jc w:val="both"/>
      </w:pPr>
      <w:r>
        <w:rPr>
          <w:rStyle w:val="Appelnotedebasdep"/>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0CDA" w14:textId="045CA972" w:rsidR="00E960B6" w:rsidRDefault="00E960B6">
    <w:pPr>
      <w:pStyle w:val="En-tte"/>
    </w:pPr>
    <w:r>
      <w:rPr>
        <w:noProof/>
      </w:rPr>
      <mc:AlternateContent>
        <mc:Choice Requires="wpg">
          <w:drawing>
            <wp:anchor distT="0" distB="0" distL="114300" distR="114300" simplePos="0" relativeHeight="251658240" behindDoc="0" locked="0" layoutInCell="1" allowOverlap="1" wp14:anchorId="447D0A3B" wp14:editId="3A6A86A7">
              <wp:simplePos x="0" y="0"/>
              <wp:positionH relativeFrom="margin">
                <wp:posOffset>273050</wp:posOffset>
              </wp:positionH>
              <wp:positionV relativeFrom="paragraph">
                <wp:posOffset>-221615</wp:posOffset>
              </wp:positionV>
              <wp:extent cx="5395546" cy="657225"/>
              <wp:effectExtent l="0" t="0" r="0" b="9525"/>
              <wp:wrapNone/>
              <wp:docPr id="2" name="Groupe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67D1E531" id="Groupe 2" o:spid="_x0000_s1026" style="position:absolute;margin-left:21.5pt;margin-top:-17.45pt;width:424.85pt;height:51.75pt;z-index:251658240;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nch0k4QAAAAkBAAAPAAAAZHJzL2Rvd25yZXYu&#10;eG1sTI9Ba4NAFITvhf6H5RV6S1Zjao31GUJoewqBJoXS20ZfVOK+FXej5t93e2qPwwwz32TrSbdi&#10;oN42hhHCeQCCuDBlwxXC5/FtloCwTnGpWsOEcCML6/z+LlNpaUb+oOHgKuFL2KYKoXauS6W0RU1a&#10;2bnpiL13Nr1Wzsu+kmWvRl+uW7kIglhq1bBfqFVH25qKy+GqEd5HNW6i8HXYXc7b2/fxaf+1Cwnx&#10;8WHavIBwNLm/MPzie3TIPdPJXLm0okVYRv6KQ5hFyxUIH0hWi2cQJ4Q4iUHmmfz/IP8B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p w14:paraId="31F88897" w14:textId="780F4C9A" w:rsidR="00E960B6" w:rsidRDefault="00E960B6">
    <w:pPr>
      <w:pStyle w:val="En-tte"/>
    </w:pPr>
  </w:p>
  <w:p w14:paraId="39176521" w14:textId="77777777" w:rsidR="00E960B6" w:rsidRDefault="00E960B6">
    <w:pPr>
      <w:pStyle w:val="En-tte"/>
    </w:pPr>
  </w:p>
  <w:p w14:paraId="70527F85" w14:textId="0C09CE2E" w:rsidR="00161F7C" w:rsidRPr="00E960B6" w:rsidRDefault="00161F7C" w:rsidP="00E960B6">
    <w:pPr>
      <w:pStyle w:val="En-tte"/>
      <w:jc w:val="center"/>
      <w:rPr>
        <w:b/>
        <w:bCs/>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7173C9"/>
    <w:multiLevelType w:val="hybridMultilevel"/>
    <w:tmpl w:val="3D6CA9BA"/>
    <w:lvl w:ilvl="0" w:tplc="9AA4F83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ED78B7"/>
    <w:multiLevelType w:val="hybridMultilevel"/>
    <w:tmpl w:val="93D26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216CC0"/>
    <w:multiLevelType w:val="hybridMultilevel"/>
    <w:tmpl w:val="E332A2FA"/>
    <w:lvl w:ilvl="0" w:tplc="FFFFFFFF">
      <w:start w:val="1"/>
      <w:numFmt w:val="decimal"/>
      <w:lvlText w:val="Q%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5"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52232B"/>
    <w:multiLevelType w:val="hybridMultilevel"/>
    <w:tmpl w:val="90E075FA"/>
    <w:lvl w:ilvl="0" w:tplc="662032F4">
      <w:start w:val="1"/>
      <w:numFmt w:val="decimal"/>
      <w:pStyle w:val="Questionstyle"/>
      <w:lvlText w:val="Q%1"/>
      <w:lvlJc w:val="left"/>
      <w:pPr>
        <w:ind w:left="92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4EA7F2A"/>
    <w:multiLevelType w:val="hybridMultilevel"/>
    <w:tmpl w:val="88DE26A0"/>
    <w:lvl w:ilvl="0" w:tplc="9AA4F83A">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9266B3A"/>
    <w:multiLevelType w:val="hybridMultilevel"/>
    <w:tmpl w:val="0016855A"/>
    <w:lvl w:ilvl="0" w:tplc="9AA4F83A">
      <w:start w:val="1"/>
      <w:numFmt w:val="bullet"/>
      <w:lvlText w:val="•"/>
      <w:lvlJc w:val="left"/>
      <w:pPr>
        <w:tabs>
          <w:tab w:val="num" w:pos="360"/>
        </w:tabs>
        <w:ind w:left="360" w:hanging="360"/>
      </w:pPr>
      <w:rPr>
        <w:rFonts w:ascii="Arial" w:hAnsi="Arial" w:hint="default"/>
      </w:rPr>
    </w:lvl>
    <w:lvl w:ilvl="1" w:tplc="8A4E70B4">
      <w:numFmt w:val="bullet"/>
      <w:lvlText w:val="•"/>
      <w:lvlJc w:val="left"/>
      <w:pPr>
        <w:tabs>
          <w:tab w:val="num" w:pos="1080"/>
        </w:tabs>
        <w:ind w:left="1080" w:hanging="360"/>
      </w:pPr>
      <w:rPr>
        <w:rFonts w:ascii="Arial" w:hAnsi="Arial" w:hint="default"/>
      </w:rPr>
    </w:lvl>
    <w:lvl w:ilvl="2" w:tplc="0728ECAA">
      <w:numFmt w:val="bullet"/>
      <w:lvlText w:val="o"/>
      <w:lvlJc w:val="left"/>
      <w:pPr>
        <w:tabs>
          <w:tab w:val="num" w:pos="1800"/>
        </w:tabs>
        <w:ind w:left="1800" w:hanging="360"/>
      </w:pPr>
      <w:rPr>
        <w:rFonts w:ascii="Courier New" w:hAnsi="Courier New" w:hint="default"/>
      </w:rPr>
    </w:lvl>
    <w:lvl w:ilvl="3" w:tplc="D3284732" w:tentative="1">
      <w:start w:val="1"/>
      <w:numFmt w:val="bullet"/>
      <w:lvlText w:val="•"/>
      <w:lvlJc w:val="left"/>
      <w:pPr>
        <w:tabs>
          <w:tab w:val="num" w:pos="2520"/>
        </w:tabs>
        <w:ind w:left="2520" w:hanging="360"/>
      </w:pPr>
      <w:rPr>
        <w:rFonts w:ascii="Arial" w:hAnsi="Arial" w:hint="default"/>
      </w:rPr>
    </w:lvl>
    <w:lvl w:ilvl="4" w:tplc="A268E4B0" w:tentative="1">
      <w:start w:val="1"/>
      <w:numFmt w:val="bullet"/>
      <w:lvlText w:val="•"/>
      <w:lvlJc w:val="left"/>
      <w:pPr>
        <w:tabs>
          <w:tab w:val="num" w:pos="3240"/>
        </w:tabs>
        <w:ind w:left="3240" w:hanging="360"/>
      </w:pPr>
      <w:rPr>
        <w:rFonts w:ascii="Arial" w:hAnsi="Arial" w:hint="default"/>
      </w:rPr>
    </w:lvl>
    <w:lvl w:ilvl="5" w:tplc="F3F81904" w:tentative="1">
      <w:start w:val="1"/>
      <w:numFmt w:val="bullet"/>
      <w:lvlText w:val="•"/>
      <w:lvlJc w:val="left"/>
      <w:pPr>
        <w:tabs>
          <w:tab w:val="num" w:pos="3960"/>
        </w:tabs>
        <w:ind w:left="3960" w:hanging="360"/>
      </w:pPr>
      <w:rPr>
        <w:rFonts w:ascii="Arial" w:hAnsi="Arial" w:hint="default"/>
      </w:rPr>
    </w:lvl>
    <w:lvl w:ilvl="6" w:tplc="096264EC" w:tentative="1">
      <w:start w:val="1"/>
      <w:numFmt w:val="bullet"/>
      <w:lvlText w:val="•"/>
      <w:lvlJc w:val="left"/>
      <w:pPr>
        <w:tabs>
          <w:tab w:val="num" w:pos="4680"/>
        </w:tabs>
        <w:ind w:left="4680" w:hanging="360"/>
      </w:pPr>
      <w:rPr>
        <w:rFonts w:ascii="Arial" w:hAnsi="Arial" w:hint="default"/>
      </w:rPr>
    </w:lvl>
    <w:lvl w:ilvl="7" w:tplc="0B38D8B6" w:tentative="1">
      <w:start w:val="1"/>
      <w:numFmt w:val="bullet"/>
      <w:lvlText w:val="•"/>
      <w:lvlJc w:val="left"/>
      <w:pPr>
        <w:tabs>
          <w:tab w:val="num" w:pos="5400"/>
        </w:tabs>
        <w:ind w:left="5400" w:hanging="360"/>
      </w:pPr>
      <w:rPr>
        <w:rFonts w:ascii="Arial" w:hAnsi="Arial" w:hint="default"/>
      </w:rPr>
    </w:lvl>
    <w:lvl w:ilvl="8" w:tplc="6024C40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213988"/>
    <w:multiLevelType w:val="hybridMultilevel"/>
    <w:tmpl w:val="2B42D70E"/>
    <w:lvl w:ilvl="0" w:tplc="6C465C8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5D77B00"/>
    <w:multiLevelType w:val="hybridMultilevel"/>
    <w:tmpl w:val="94D8AF02"/>
    <w:lvl w:ilvl="0" w:tplc="9AA4F83A">
      <w:start w:val="1"/>
      <w:numFmt w:val="bullet"/>
      <w:lvlText w:val="•"/>
      <w:lvlJc w:val="left"/>
      <w:pPr>
        <w:ind w:left="360" w:hanging="360"/>
      </w:pPr>
      <w:rPr>
        <w:rFonts w:ascii="Arial" w:hAnsi="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5"/>
  </w:num>
  <w:num w:numId="2" w16cid:durableId="1173495345">
    <w:abstractNumId w:val="1"/>
  </w:num>
  <w:num w:numId="3" w16cid:durableId="166870467">
    <w:abstractNumId w:val="7"/>
  </w:num>
  <w:num w:numId="4" w16cid:durableId="1691951035">
    <w:abstractNumId w:val="26"/>
  </w:num>
  <w:num w:numId="5" w16cid:durableId="1011906559">
    <w:abstractNumId w:val="34"/>
  </w:num>
  <w:num w:numId="6" w16cid:durableId="1277104421">
    <w:abstractNumId w:val="36"/>
  </w:num>
  <w:num w:numId="7" w16cid:durableId="242104871">
    <w:abstractNumId w:val="23"/>
  </w:num>
  <w:num w:numId="8" w16cid:durableId="522284696">
    <w:abstractNumId w:val="13"/>
  </w:num>
  <w:num w:numId="9" w16cid:durableId="1250770362">
    <w:abstractNumId w:val="9"/>
  </w:num>
  <w:num w:numId="10" w16cid:durableId="1358701701">
    <w:abstractNumId w:val="41"/>
  </w:num>
  <w:num w:numId="11" w16cid:durableId="1625037795">
    <w:abstractNumId w:val="24"/>
  </w:num>
  <w:num w:numId="12" w16cid:durableId="61487579">
    <w:abstractNumId w:val="47"/>
  </w:num>
  <w:num w:numId="13" w16cid:durableId="856233915">
    <w:abstractNumId w:val="17"/>
  </w:num>
  <w:num w:numId="14" w16cid:durableId="1381858278">
    <w:abstractNumId w:val="39"/>
  </w:num>
  <w:num w:numId="15" w16cid:durableId="402408764">
    <w:abstractNumId w:val="3"/>
  </w:num>
  <w:num w:numId="16" w16cid:durableId="1085760005">
    <w:abstractNumId w:val="33"/>
  </w:num>
  <w:num w:numId="17" w16cid:durableId="633215943">
    <w:abstractNumId w:val="5"/>
  </w:num>
  <w:num w:numId="18" w16cid:durableId="2020691353">
    <w:abstractNumId w:val="28"/>
  </w:num>
  <w:num w:numId="19" w16cid:durableId="1500385072">
    <w:abstractNumId w:val="11"/>
  </w:num>
  <w:num w:numId="20" w16cid:durableId="1520046844">
    <w:abstractNumId w:val="44"/>
  </w:num>
  <w:num w:numId="21" w16cid:durableId="748115910">
    <w:abstractNumId w:val="4"/>
  </w:num>
  <w:num w:numId="22" w16cid:durableId="717703608">
    <w:abstractNumId w:val="40"/>
  </w:num>
  <w:num w:numId="23" w16cid:durableId="600113171">
    <w:abstractNumId w:val="15"/>
  </w:num>
  <w:num w:numId="24" w16cid:durableId="241523878">
    <w:abstractNumId w:val="42"/>
  </w:num>
  <w:num w:numId="25" w16cid:durableId="80297080">
    <w:abstractNumId w:val="10"/>
  </w:num>
  <w:num w:numId="26" w16cid:durableId="576936923">
    <w:abstractNumId w:val="43"/>
  </w:num>
  <w:num w:numId="27" w16cid:durableId="379136238">
    <w:abstractNumId w:val="21"/>
  </w:num>
  <w:num w:numId="28" w16cid:durableId="1234242114">
    <w:abstractNumId w:val="19"/>
  </w:num>
  <w:num w:numId="29" w16cid:durableId="6490979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6"/>
  </w:num>
  <w:num w:numId="31" w16cid:durableId="2036344500">
    <w:abstractNumId w:val="20"/>
  </w:num>
  <w:num w:numId="32" w16cid:durableId="891308780">
    <w:abstractNumId w:val="32"/>
  </w:num>
  <w:num w:numId="33" w16cid:durableId="2059163146">
    <w:abstractNumId w:val="2"/>
  </w:num>
  <w:num w:numId="34" w16cid:durableId="767845549">
    <w:abstractNumId w:val="12"/>
  </w:num>
  <w:num w:numId="35" w16cid:durableId="1295915667">
    <w:abstractNumId w:val="0"/>
  </w:num>
  <w:num w:numId="36" w16cid:durableId="597906997">
    <w:abstractNumId w:val="38"/>
  </w:num>
  <w:num w:numId="37" w16cid:durableId="860432523">
    <w:abstractNumId w:val="29"/>
  </w:num>
  <w:num w:numId="38" w16cid:durableId="1880386777">
    <w:abstractNumId w:val="27"/>
  </w:num>
  <w:num w:numId="39" w16cid:durableId="140314737">
    <w:abstractNumId w:val="6"/>
  </w:num>
  <w:num w:numId="40" w16cid:durableId="399055937">
    <w:abstractNumId w:val="35"/>
  </w:num>
  <w:num w:numId="41" w16cid:durableId="713895999">
    <w:abstractNumId w:val="14"/>
  </w:num>
  <w:num w:numId="42" w16cid:durableId="184565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5782867">
    <w:abstractNumId w:val="8"/>
  </w:num>
  <w:num w:numId="44" w16cid:durableId="2141485482">
    <w:abstractNumId w:val="37"/>
  </w:num>
  <w:num w:numId="45" w16cid:durableId="872574228">
    <w:abstractNumId w:val="31"/>
  </w:num>
  <w:num w:numId="46" w16cid:durableId="1177429476">
    <w:abstractNumId w:val="22"/>
  </w:num>
  <w:num w:numId="47" w16cid:durableId="1774477045">
    <w:abstractNumId w:val="30"/>
  </w:num>
  <w:num w:numId="48" w16cid:durableId="1831017043">
    <w:abstractNumId w:val="46"/>
  </w:num>
  <w:num w:numId="49" w16cid:durableId="6978496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0" w:nlCheck="1" w:checkStyle="0"/>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43CB"/>
    <w:rsid w:val="00005041"/>
    <w:rsid w:val="0000519F"/>
    <w:rsid w:val="00005BFB"/>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25133"/>
    <w:rsid w:val="0003054A"/>
    <w:rsid w:val="00032C89"/>
    <w:rsid w:val="00034BCA"/>
    <w:rsid w:val="00034CD6"/>
    <w:rsid w:val="0003591B"/>
    <w:rsid w:val="00041510"/>
    <w:rsid w:val="0004186B"/>
    <w:rsid w:val="000419D7"/>
    <w:rsid w:val="000441ED"/>
    <w:rsid w:val="00045DC1"/>
    <w:rsid w:val="00050C64"/>
    <w:rsid w:val="00051C3B"/>
    <w:rsid w:val="00051F4B"/>
    <w:rsid w:val="00052966"/>
    <w:rsid w:val="000535B6"/>
    <w:rsid w:val="00054EFC"/>
    <w:rsid w:val="000559B1"/>
    <w:rsid w:val="00055FB8"/>
    <w:rsid w:val="00056C1F"/>
    <w:rsid w:val="000577BD"/>
    <w:rsid w:val="0006019B"/>
    <w:rsid w:val="0006080A"/>
    <w:rsid w:val="000608BB"/>
    <w:rsid w:val="00061CC5"/>
    <w:rsid w:val="00062613"/>
    <w:rsid w:val="00063C37"/>
    <w:rsid w:val="000645B3"/>
    <w:rsid w:val="00072418"/>
    <w:rsid w:val="00072A71"/>
    <w:rsid w:val="00073F2F"/>
    <w:rsid w:val="00076B4F"/>
    <w:rsid w:val="0008625B"/>
    <w:rsid w:val="00091187"/>
    <w:rsid w:val="0009209F"/>
    <w:rsid w:val="00093282"/>
    <w:rsid w:val="00095CCD"/>
    <w:rsid w:val="00095E45"/>
    <w:rsid w:val="00097757"/>
    <w:rsid w:val="000A14D4"/>
    <w:rsid w:val="000A389E"/>
    <w:rsid w:val="000A5CA1"/>
    <w:rsid w:val="000A74DE"/>
    <w:rsid w:val="000B1B90"/>
    <w:rsid w:val="000B2D70"/>
    <w:rsid w:val="000B4672"/>
    <w:rsid w:val="000B5682"/>
    <w:rsid w:val="000B5823"/>
    <w:rsid w:val="000B64DA"/>
    <w:rsid w:val="000B6506"/>
    <w:rsid w:val="000C0CD6"/>
    <w:rsid w:val="000C2820"/>
    <w:rsid w:val="000C455D"/>
    <w:rsid w:val="000C76A0"/>
    <w:rsid w:val="000D081D"/>
    <w:rsid w:val="000D236F"/>
    <w:rsid w:val="000D274A"/>
    <w:rsid w:val="000D5D43"/>
    <w:rsid w:val="000D5DA1"/>
    <w:rsid w:val="000D69E6"/>
    <w:rsid w:val="000E09A3"/>
    <w:rsid w:val="000E0F53"/>
    <w:rsid w:val="000E148B"/>
    <w:rsid w:val="000E6DE5"/>
    <w:rsid w:val="000F0320"/>
    <w:rsid w:val="000F116E"/>
    <w:rsid w:val="000F2312"/>
    <w:rsid w:val="000F2E76"/>
    <w:rsid w:val="000F3513"/>
    <w:rsid w:val="000F48C0"/>
    <w:rsid w:val="000F5295"/>
    <w:rsid w:val="000F5DF6"/>
    <w:rsid w:val="000F7B16"/>
    <w:rsid w:val="001009E1"/>
    <w:rsid w:val="0010295A"/>
    <w:rsid w:val="00102F1E"/>
    <w:rsid w:val="00103CDF"/>
    <w:rsid w:val="00103CFB"/>
    <w:rsid w:val="001043B5"/>
    <w:rsid w:val="00111EE2"/>
    <w:rsid w:val="00114AE5"/>
    <w:rsid w:val="00115964"/>
    <w:rsid w:val="00117F89"/>
    <w:rsid w:val="00121F7F"/>
    <w:rsid w:val="00122C81"/>
    <w:rsid w:val="001275B5"/>
    <w:rsid w:val="001276AF"/>
    <w:rsid w:val="00130308"/>
    <w:rsid w:val="00131F74"/>
    <w:rsid w:val="0013294C"/>
    <w:rsid w:val="0013460E"/>
    <w:rsid w:val="00134EFB"/>
    <w:rsid w:val="0013601B"/>
    <w:rsid w:val="00137BFC"/>
    <w:rsid w:val="00140725"/>
    <w:rsid w:val="001414C8"/>
    <w:rsid w:val="00141BA6"/>
    <w:rsid w:val="00142894"/>
    <w:rsid w:val="00145AC7"/>
    <w:rsid w:val="0014724B"/>
    <w:rsid w:val="00151DA2"/>
    <w:rsid w:val="00152987"/>
    <w:rsid w:val="00154193"/>
    <w:rsid w:val="0015435C"/>
    <w:rsid w:val="00157759"/>
    <w:rsid w:val="00161F7C"/>
    <w:rsid w:val="00163CAA"/>
    <w:rsid w:val="00171867"/>
    <w:rsid w:val="00171CC5"/>
    <w:rsid w:val="00171F53"/>
    <w:rsid w:val="001732F3"/>
    <w:rsid w:val="0017367A"/>
    <w:rsid w:val="00176AB8"/>
    <w:rsid w:val="00180B29"/>
    <w:rsid w:val="00184522"/>
    <w:rsid w:val="001845DA"/>
    <w:rsid w:val="001846C3"/>
    <w:rsid w:val="0018499A"/>
    <w:rsid w:val="00184EE6"/>
    <w:rsid w:val="00185016"/>
    <w:rsid w:val="00185CBB"/>
    <w:rsid w:val="00185FAB"/>
    <w:rsid w:val="0019445C"/>
    <w:rsid w:val="00195D5D"/>
    <w:rsid w:val="001A3226"/>
    <w:rsid w:val="001A4975"/>
    <w:rsid w:val="001A6646"/>
    <w:rsid w:val="001A7191"/>
    <w:rsid w:val="001A7C2A"/>
    <w:rsid w:val="001B4613"/>
    <w:rsid w:val="001B6C49"/>
    <w:rsid w:val="001B6F96"/>
    <w:rsid w:val="001B78F3"/>
    <w:rsid w:val="001B7B9B"/>
    <w:rsid w:val="001C0B9E"/>
    <w:rsid w:val="001C1193"/>
    <w:rsid w:val="001C2449"/>
    <w:rsid w:val="001C39FE"/>
    <w:rsid w:val="001C3ACF"/>
    <w:rsid w:val="001C71D5"/>
    <w:rsid w:val="001C78E7"/>
    <w:rsid w:val="001D1661"/>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1F7DD0"/>
    <w:rsid w:val="00204003"/>
    <w:rsid w:val="00205962"/>
    <w:rsid w:val="00206CCF"/>
    <w:rsid w:val="00206F76"/>
    <w:rsid w:val="0021224B"/>
    <w:rsid w:val="00214016"/>
    <w:rsid w:val="0022333D"/>
    <w:rsid w:val="0022392F"/>
    <w:rsid w:val="00223C1A"/>
    <w:rsid w:val="00223EE9"/>
    <w:rsid w:val="002275C7"/>
    <w:rsid w:val="00230846"/>
    <w:rsid w:val="00230D55"/>
    <w:rsid w:val="00233117"/>
    <w:rsid w:val="002372FB"/>
    <w:rsid w:val="00237826"/>
    <w:rsid w:val="00237F7D"/>
    <w:rsid w:val="002406BE"/>
    <w:rsid w:val="002435C8"/>
    <w:rsid w:val="00243BB5"/>
    <w:rsid w:val="00244DC1"/>
    <w:rsid w:val="002460CE"/>
    <w:rsid w:val="00250338"/>
    <w:rsid w:val="0025034E"/>
    <w:rsid w:val="00251F67"/>
    <w:rsid w:val="0025289E"/>
    <w:rsid w:val="00253135"/>
    <w:rsid w:val="00254757"/>
    <w:rsid w:val="002554C6"/>
    <w:rsid w:val="00256770"/>
    <w:rsid w:val="0026023B"/>
    <w:rsid w:val="00262BC4"/>
    <w:rsid w:val="00263177"/>
    <w:rsid w:val="002654A1"/>
    <w:rsid w:val="00270481"/>
    <w:rsid w:val="002724C2"/>
    <w:rsid w:val="002742CC"/>
    <w:rsid w:val="00276971"/>
    <w:rsid w:val="00276D48"/>
    <w:rsid w:val="00281EC6"/>
    <w:rsid w:val="00284A94"/>
    <w:rsid w:val="00285AAD"/>
    <w:rsid w:val="00286684"/>
    <w:rsid w:val="002905B0"/>
    <w:rsid w:val="00291AB1"/>
    <w:rsid w:val="00294F4A"/>
    <w:rsid w:val="00296D04"/>
    <w:rsid w:val="00297997"/>
    <w:rsid w:val="002A3A96"/>
    <w:rsid w:val="002A52F1"/>
    <w:rsid w:val="002B0FC1"/>
    <w:rsid w:val="002B3F6C"/>
    <w:rsid w:val="002B7CAB"/>
    <w:rsid w:val="002C2BDB"/>
    <w:rsid w:val="002C5816"/>
    <w:rsid w:val="002C6DB7"/>
    <w:rsid w:val="002C76DF"/>
    <w:rsid w:val="002D2AF8"/>
    <w:rsid w:val="002D4E1F"/>
    <w:rsid w:val="002D6035"/>
    <w:rsid w:val="002D609E"/>
    <w:rsid w:val="002D7006"/>
    <w:rsid w:val="002D7454"/>
    <w:rsid w:val="002E01F0"/>
    <w:rsid w:val="002E18B7"/>
    <w:rsid w:val="002E3A1C"/>
    <w:rsid w:val="002E552F"/>
    <w:rsid w:val="002E6CA2"/>
    <w:rsid w:val="002F0AB5"/>
    <w:rsid w:val="002F16EA"/>
    <w:rsid w:val="002F49D1"/>
    <w:rsid w:val="002F545F"/>
    <w:rsid w:val="002F6A5D"/>
    <w:rsid w:val="002F6DAD"/>
    <w:rsid w:val="0030106B"/>
    <w:rsid w:val="00302124"/>
    <w:rsid w:val="00302396"/>
    <w:rsid w:val="00304360"/>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374D5"/>
    <w:rsid w:val="00341A52"/>
    <w:rsid w:val="003450BC"/>
    <w:rsid w:val="003458EC"/>
    <w:rsid w:val="0034665F"/>
    <w:rsid w:val="003478B7"/>
    <w:rsid w:val="003478C9"/>
    <w:rsid w:val="00351678"/>
    <w:rsid w:val="00351724"/>
    <w:rsid w:val="00352F26"/>
    <w:rsid w:val="00354021"/>
    <w:rsid w:val="0035675F"/>
    <w:rsid w:val="00356CA0"/>
    <w:rsid w:val="00362582"/>
    <w:rsid w:val="003635DC"/>
    <w:rsid w:val="003643E0"/>
    <w:rsid w:val="00364FCC"/>
    <w:rsid w:val="003653C8"/>
    <w:rsid w:val="003661A6"/>
    <w:rsid w:val="00367B0A"/>
    <w:rsid w:val="00367CD1"/>
    <w:rsid w:val="00367F99"/>
    <w:rsid w:val="003713E2"/>
    <w:rsid w:val="0037316F"/>
    <w:rsid w:val="00377F18"/>
    <w:rsid w:val="00380BED"/>
    <w:rsid w:val="00380FB2"/>
    <w:rsid w:val="00384600"/>
    <w:rsid w:val="00384678"/>
    <w:rsid w:val="003849FF"/>
    <w:rsid w:val="00384BD2"/>
    <w:rsid w:val="003906CB"/>
    <w:rsid w:val="00391785"/>
    <w:rsid w:val="00391C7B"/>
    <w:rsid w:val="003966C5"/>
    <w:rsid w:val="00397767"/>
    <w:rsid w:val="00397AF5"/>
    <w:rsid w:val="003A1C68"/>
    <w:rsid w:val="003A61D4"/>
    <w:rsid w:val="003A6AE1"/>
    <w:rsid w:val="003A758F"/>
    <w:rsid w:val="003B1401"/>
    <w:rsid w:val="003B5FC1"/>
    <w:rsid w:val="003B7881"/>
    <w:rsid w:val="003C0B83"/>
    <w:rsid w:val="003C2819"/>
    <w:rsid w:val="003C3243"/>
    <w:rsid w:val="003C34DE"/>
    <w:rsid w:val="003C42D8"/>
    <w:rsid w:val="003C58CA"/>
    <w:rsid w:val="003C7DEF"/>
    <w:rsid w:val="003D2755"/>
    <w:rsid w:val="003D3D7E"/>
    <w:rsid w:val="003E3913"/>
    <w:rsid w:val="003E3CD5"/>
    <w:rsid w:val="003E6A9E"/>
    <w:rsid w:val="003E6C62"/>
    <w:rsid w:val="003E7FD7"/>
    <w:rsid w:val="003F00E2"/>
    <w:rsid w:val="003F1326"/>
    <w:rsid w:val="003F17F4"/>
    <w:rsid w:val="003F3691"/>
    <w:rsid w:val="003F6D3C"/>
    <w:rsid w:val="003F7334"/>
    <w:rsid w:val="003F7DF6"/>
    <w:rsid w:val="00400D2F"/>
    <w:rsid w:val="00401B7C"/>
    <w:rsid w:val="00407F89"/>
    <w:rsid w:val="00412F27"/>
    <w:rsid w:val="004151B3"/>
    <w:rsid w:val="00420313"/>
    <w:rsid w:val="00421692"/>
    <w:rsid w:val="00421B58"/>
    <w:rsid w:val="00422AB6"/>
    <w:rsid w:val="00423C2C"/>
    <w:rsid w:val="00423DE4"/>
    <w:rsid w:val="00424760"/>
    <w:rsid w:val="004253C7"/>
    <w:rsid w:val="00425C62"/>
    <w:rsid w:val="00426F1B"/>
    <w:rsid w:val="0043036A"/>
    <w:rsid w:val="0043054B"/>
    <w:rsid w:val="004354C6"/>
    <w:rsid w:val="00435862"/>
    <w:rsid w:val="00435B8B"/>
    <w:rsid w:val="004367EA"/>
    <w:rsid w:val="00436CF3"/>
    <w:rsid w:val="004379A0"/>
    <w:rsid w:val="004407C7"/>
    <w:rsid w:val="004415A2"/>
    <w:rsid w:val="0044462C"/>
    <w:rsid w:val="00445F70"/>
    <w:rsid w:val="00446733"/>
    <w:rsid w:val="00450C64"/>
    <w:rsid w:val="00452FA3"/>
    <w:rsid w:val="00454488"/>
    <w:rsid w:val="0045475E"/>
    <w:rsid w:val="00454BF0"/>
    <w:rsid w:val="004567D1"/>
    <w:rsid w:val="00463478"/>
    <w:rsid w:val="00463C18"/>
    <w:rsid w:val="00465EB3"/>
    <w:rsid w:val="00466963"/>
    <w:rsid w:val="004678B2"/>
    <w:rsid w:val="00473535"/>
    <w:rsid w:val="00473C6D"/>
    <w:rsid w:val="0047433B"/>
    <w:rsid w:val="00476C6C"/>
    <w:rsid w:val="00476EF6"/>
    <w:rsid w:val="0048489F"/>
    <w:rsid w:val="004879B9"/>
    <w:rsid w:val="004904E4"/>
    <w:rsid w:val="004916CB"/>
    <w:rsid w:val="00492FBE"/>
    <w:rsid w:val="004933D4"/>
    <w:rsid w:val="0049373C"/>
    <w:rsid w:val="004957D4"/>
    <w:rsid w:val="00495A99"/>
    <w:rsid w:val="00496D11"/>
    <w:rsid w:val="004970A6"/>
    <w:rsid w:val="004A05E0"/>
    <w:rsid w:val="004A3E05"/>
    <w:rsid w:val="004A415A"/>
    <w:rsid w:val="004A4EB1"/>
    <w:rsid w:val="004A76D1"/>
    <w:rsid w:val="004A7D73"/>
    <w:rsid w:val="004B03A3"/>
    <w:rsid w:val="004B09A7"/>
    <w:rsid w:val="004B23ED"/>
    <w:rsid w:val="004B7BB6"/>
    <w:rsid w:val="004C1D42"/>
    <w:rsid w:val="004C3085"/>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3CD"/>
    <w:rsid w:val="004F6D56"/>
    <w:rsid w:val="00500A65"/>
    <w:rsid w:val="00503D9B"/>
    <w:rsid w:val="00504812"/>
    <w:rsid w:val="00505B79"/>
    <w:rsid w:val="005072BC"/>
    <w:rsid w:val="005077DE"/>
    <w:rsid w:val="00507F10"/>
    <w:rsid w:val="00510588"/>
    <w:rsid w:val="00514995"/>
    <w:rsid w:val="00514C90"/>
    <w:rsid w:val="00515F4D"/>
    <w:rsid w:val="005160D5"/>
    <w:rsid w:val="0051785F"/>
    <w:rsid w:val="005204E8"/>
    <w:rsid w:val="005239A4"/>
    <w:rsid w:val="00523A29"/>
    <w:rsid w:val="00526261"/>
    <w:rsid w:val="00526B2E"/>
    <w:rsid w:val="00526FAE"/>
    <w:rsid w:val="005300A7"/>
    <w:rsid w:val="00534E5F"/>
    <w:rsid w:val="005375B9"/>
    <w:rsid w:val="00537DC3"/>
    <w:rsid w:val="0054143E"/>
    <w:rsid w:val="005418F4"/>
    <w:rsid w:val="00542EC9"/>
    <w:rsid w:val="0054375F"/>
    <w:rsid w:val="00544090"/>
    <w:rsid w:val="0054429B"/>
    <w:rsid w:val="0054452A"/>
    <w:rsid w:val="00544A57"/>
    <w:rsid w:val="00550083"/>
    <w:rsid w:val="005539D6"/>
    <w:rsid w:val="005542F6"/>
    <w:rsid w:val="00560224"/>
    <w:rsid w:val="0056088A"/>
    <w:rsid w:val="00562C26"/>
    <w:rsid w:val="00563B47"/>
    <w:rsid w:val="0056423C"/>
    <w:rsid w:val="00571000"/>
    <w:rsid w:val="00571C29"/>
    <w:rsid w:val="00575074"/>
    <w:rsid w:val="005839C5"/>
    <w:rsid w:val="00584255"/>
    <w:rsid w:val="00584F5F"/>
    <w:rsid w:val="00591FE8"/>
    <w:rsid w:val="005927C1"/>
    <w:rsid w:val="005943E6"/>
    <w:rsid w:val="00594C13"/>
    <w:rsid w:val="00594DEE"/>
    <w:rsid w:val="00597294"/>
    <w:rsid w:val="005A00EE"/>
    <w:rsid w:val="005A09F6"/>
    <w:rsid w:val="005A14CA"/>
    <w:rsid w:val="005A2F72"/>
    <w:rsid w:val="005A4590"/>
    <w:rsid w:val="005A469A"/>
    <w:rsid w:val="005A494B"/>
    <w:rsid w:val="005A61AC"/>
    <w:rsid w:val="005A7483"/>
    <w:rsid w:val="005A7A67"/>
    <w:rsid w:val="005B30EF"/>
    <w:rsid w:val="005B6CD1"/>
    <w:rsid w:val="005B7150"/>
    <w:rsid w:val="005C068C"/>
    <w:rsid w:val="005C06D3"/>
    <w:rsid w:val="005C1B6F"/>
    <w:rsid w:val="005C1CB4"/>
    <w:rsid w:val="005C2DDB"/>
    <w:rsid w:val="005C5EC5"/>
    <w:rsid w:val="005C64C9"/>
    <w:rsid w:val="005D0BE0"/>
    <w:rsid w:val="005D136B"/>
    <w:rsid w:val="005D13F5"/>
    <w:rsid w:val="005D15BD"/>
    <w:rsid w:val="005D5E1D"/>
    <w:rsid w:val="005D610D"/>
    <w:rsid w:val="005D6D39"/>
    <w:rsid w:val="005E01AE"/>
    <w:rsid w:val="005E1188"/>
    <w:rsid w:val="005E26AC"/>
    <w:rsid w:val="005E2BE8"/>
    <w:rsid w:val="005E51E8"/>
    <w:rsid w:val="005E67FA"/>
    <w:rsid w:val="005E76D9"/>
    <w:rsid w:val="005E7CFE"/>
    <w:rsid w:val="005F2030"/>
    <w:rsid w:val="005F3295"/>
    <w:rsid w:val="005F40C7"/>
    <w:rsid w:val="005F75B1"/>
    <w:rsid w:val="005F780B"/>
    <w:rsid w:val="0060145A"/>
    <w:rsid w:val="00602235"/>
    <w:rsid w:val="0060301F"/>
    <w:rsid w:val="00603676"/>
    <w:rsid w:val="00606D3D"/>
    <w:rsid w:val="00612C2D"/>
    <w:rsid w:val="00613003"/>
    <w:rsid w:val="00614F31"/>
    <w:rsid w:val="0061617E"/>
    <w:rsid w:val="00620231"/>
    <w:rsid w:val="006203E8"/>
    <w:rsid w:val="0062097F"/>
    <w:rsid w:val="00620C2B"/>
    <w:rsid w:val="006225D4"/>
    <w:rsid w:val="00622EFB"/>
    <w:rsid w:val="0062470F"/>
    <w:rsid w:val="006248E6"/>
    <w:rsid w:val="0062587F"/>
    <w:rsid w:val="00625B61"/>
    <w:rsid w:val="00626633"/>
    <w:rsid w:val="00633F49"/>
    <w:rsid w:val="00635ED3"/>
    <w:rsid w:val="0063709B"/>
    <w:rsid w:val="00637DDA"/>
    <w:rsid w:val="00642298"/>
    <w:rsid w:val="00643406"/>
    <w:rsid w:val="00647BF8"/>
    <w:rsid w:val="00656701"/>
    <w:rsid w:val="00656753"/>
    <w:rsid w:val="00657B04"/>
    <w:rsid w:val="00657D98"/>
    <w:rsid w:val="00657F93"/>
    <w:rsid w:val="00661297"/>
    <w:rsid w:val="00661EAA"/>
    <w:rsid w:val="00663F03"/>
    <w:rsid w:val="00671DC9"/>
    <w:rsid w:val="006727C3"/>
    <w:rsid w:val="00672A40"/>
    <w:rsid w:val="00673304"/>
    <w:rsid w:val="00674C96"/>
    <w:rsid w:val="006769D9"/>
    <w:rsid w:val="00676AA6"/>
    <w:rsid w:val="00677CA7"/>
    <w:rsid w:val="00677FC6"/>
    <w:rsid w:val="006822CF"/>
    <w:rsid w:val="00682F93"/>
    <w:rsid w:val="006830F3"/>
    <w:rsid w:val="00683352"/>
    <w:rsid w:val="00683DD4"/>
    <w:rsid w:val="00684098"/>
    <w:rsid w:val="00687BAA"/>
    <w:rsid w:val="006905AA"/>
    <w:rsid w:val="00692152"/>
    <w:rsid w:val="00693B2E"/>
    <w:rsid w:val="00693B5E"/>
    <w:rsid w:val="00694939"/>
    <w:rsid w:val="00694B6C"/>
    <w:rsid w:val="0069515A"/>
    <w:rsid w:val="00696FC7"/>
    <w:rsid w:val="00697256"/>
    <w:rsid w:val="0069788F"/>
    <w:rsid w:val="006A0940"/>
    <w:rsid w:val="006A23E6"/>
    <w:rsid w:val="006A56A1"/>
    <w:rsid w:val="006A6429"/>
    <w:rsid w:val="006B095A"/>
    <w:rsid w:val="006B17D5"/>
    <w:rsid w:val="006B3515"/>
    <w:rsid w:val="006B656A"/>
    <w:rsid w:val="006C4483"/>
    <w:rsid w:val="006C485E"/>
    <w:rsid w:val="006C4FB1"/>
    <w:rsid w:val="006C523F"/>
    <w:rsid w:val="006C642C"/>
    <w:rsid w:val="006D3572"/>
    <w:rsid w:val="006D4637"/>
    <w:rsid w:val="006D5390"/>
    <w:rsid w:val="006D5673"/>
    <w:rsid w:val="006D572F"/>
    <w:rsid w:val="006D609F"/>
    <w:rsid w:val="006D6850"/>
    <w:rsid w:val="006D7A3A"/>
    <w:rsid w:val="006E05CD"/>
    <w:rsid w:val="006E0A01"/>
    <w:rsid w:val="006E2139"/>
    <w:rsid w:val="006E31A4"/>
    <w:rsid w:val="006E3DC6"/>
    <w:rsid w:val="006E4CBC"/>
    <w:rsid w:val="006E6471"/>
    <w:rsid w:val="006E6CA3"/>
    <w:rsid w:val="006F0CF8"/>
    <w:rsid w:val="006F1C44"/>
    <w:rsid w:val="006F1EEE"/>
    <w:rsid w:val="006F1F9C"/>
    <w:rsid w:val="006F3F02"/>
    <w:rsid w:val="006F5051"/>
    <w:rsid w:val="006F6FE7"/>
    <w:rsid w:val="00700DF8"/>
    <w:rsid w:val="00700FF9"/>
    <w:rsid w:val="00701842"/>
    <w:rsid w:val="00701992"/>
    <w:rsid w:val="00702433"/>
    <w:rsid w:val="00704643"/>
    <w:rsid w:val="00704813"/>
    <w:rsid w:val="00704FE8"/>
    <w:rsid w:val="0070560B"/>
    <w:rsid w:val="00706AA9"/>
    <w:rsid w:val="00707738"/>
    <w:rsid w:val="00710360"/>
    <w:rsid w:val="00710682"/>
    <w:rsid w:val="0071268A"/>
    <w:rsid w:val="007130B0"/>
    <w:rsid w:val="00713438"/>
    <w:rsid w:val="00714637"/>
    <w:rsid w:val="00714D3E"/>
    <w:rsid w:val="0071508A"/>
    <w:rsid w:val="0071712B"/>
    <w:rsid w:val="00722336"/>
    <w:rsid w:val="00724DAA"/>
    <w:rsid w:val="00726DD9"/>
    <w:rsid w:val="0073056E"/>
    <w:rsid w:val="00730BBC"/>
    <w:rsid w:val="007317EE"/>
    <w:rsid w:val="00733747"/>
    <w:rsid w:val="00733B83"/>
    <w:rsid w:val="00735B72"/>
    <w:rsid w:val="0074179A"/>
    <w:rsid w:val="0074225F"/>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28A"/>
    <w:rsid w:val="00757681"/>
    <w:rsid w:val="00757E92"/>
    <w:rsid w:val="0076021C"/>
    <w:rsid w:val="00761567"/>
    <w:rsid w:val="0076163D"/>
    <w:rsid w:val="00762B89"/>
    <w:rsid w:val="00764085"/>
    <w:rsid w:val="00767FAE"/>
    <w:rsid w:val="0077619B"/>
    <w:rsid w:val="00776B13"/>
    <w:rsid w:val="00777F6A"/>
    <w:rsid w:val="00785443"/>
    <w:rsid w:val="0078616F"/>
    <w:rsid w:val="0079065E"/>
    <w:rsid w:val="00795F6B"/>
    <w:rsid w:val="007976F0"/>
    <w:rsid w:val="007A09F7"/>
    <w:rsid w:val="007A1D4E"/>
    <w:rsid w:val="007A5215"/>
    <w:rsid w:val="007A5DB4"/>
    <w:rsid w:val="007A5EDC"/>
    <w:rsid w:val="007A6F11"/>
    <w:rsid w:val="007B1EE9"/>
    <w:rsid w:val="007B2568"/>
    <w:rsid w:val="007B4C9B"/>
    <w:rsid w:val="007B53D4"/>
    <w:rsid w:val="007B58FA"/>
    <w:rsid w:val="007B6D83"/>
    <w:rsid w:val="007B6FE8"/>
    <w:rsid w:val="007B70CC"/>
    <w:rsid w:val="007C0FBC"/>
    <w:rsid w:val="007C3375"/>
    <w:rsid w:val="007C4BA8"/>
    <w:rsid w:val="007D1F5E"/>
    <w:rsid w:val="007D2B63"/>
    <w:rsid w:val="007D4841"/>
    <w:rsid w:val="007D52F5"/>
    <w:rsid w:val="007D655B"/>
    <w:rsid w:val="007D656F"/>
    <w:rsid w:val="007D765D"/>
    <w:rsid w:val="007D7D6A"/>
    <w:rsid w:val="007E09ED"/>
    <w:rsid w:val="007E28F2"/>
    <w:rsid w:val="007E5A27"/>
    <w:rsid w:val="007E666B"/>
    <w:rsid w:val="007F0870"/>
    <w:rsid w:val="007F5298"/>
    <w:rsid w:val="007F5EBD"/>
    <w:rsid w:val="007F7EEB"/>
    <w:rsid w:val="008002E0"/>
    <w:rsid w:val="00800F15"/>
    <w:rsid w:val="00803112"/>
    <w:rsid w:val="0080408D"/>
    <w:rsid w:val="008057FF"/>
    <w:rsid w:val="0080613F"/>
    <w:rsid w:val="008072D2"/>
    <w:rsid w:val="00807C0E"/>
    <w:rsid w:val="0081055E"/>
    <w:rsid w:val="00811675"/>
    <w:rsid w:val="008123AE"/>
    <w:rsid w:val="00812D47"/>
    <w:rsid w:val="00817076"/>
    <w:rsid w:val="008171AA"/>
    <w:rsid w:val="0082073B"/>
    <w:rsid w:val="00820FB0"/>
    <w:rsid w:val="00831CD3"/>
    <w:rsid w:val="00831D2C"/>
    <w:rsid w:val="00833CF1"/>
    <w:rsid w:val="00840057"/>
    <w:rsid w:val="00840982"/>
    <w:rsid w:val="008409D8"/>
    <w:rsid w:val="00841231"/>
    <w:rsid w:val="00841C9C"/>
    <w:rsid w:val="008430FB"/>
    <w:rsid w:val="00844083"/>
    <w:rsid w:val="00850751"/>
    <w:rsid w:val="00852C6B"/>
    <w:rsid w:val="00853322"/>
    <w:rsid w:val="00853E06"/>
    <w:rsid w:val="00854503"/>
    <w:rsid w:val="00855F28"/>
    <w:rsid w:val="00856495"/>
    <w:rsid w:val="008569CD"/>
    <w:rsid w:val="00865338"/>
    <w:rsid w:val="008719FE"/>
    <w:rsid w:val="008721FA"/>
    <w:rsid w:val="0087374F"/>
    <w:rsid w:val="00873EEF"/>
    <w:rsid w:val="00875FB6"/>
    <w:rsid w:val="008836D6"/>
    <w:rsid w:val="00883EB8"/>
    <w:rsid w:val="0088596C"/>
    <w:rsid w:val="0088693B"/>
    <w:rsid w:val="008972C0"/>
    <w:rsid w:val="008A4900"/>
    <w:rsid w:val="008A62FE"/>
    <w:rsid w:val="008A6C4F"/>
    <w:rsid w:val="008A70F0"/>
    <w:rsid w:val="008B1257"/>
    <w:rsid w:val="008B3621"/>
    <w:rsid w:val="008B3F2E"/>
    <w:rsid w:val="008B5E48"/>
    <w:rsid w:val="008C3EE4"/>
    <w:rsid w:val="008C6CED"/>
    <w:rsid w:val="008C715D"/>
    <w:rsid w:val="008C7273"/>
    <w:rsid w:val="008C754D"/>
    <w:rsid w:val="008D0372"/>
    <w:rsid w:val="008D168B"/>
    <w:rsid w:val="008D2F1D"/>
    <w:rsid w:val="008D4F7C"/>
    <w:rsid w:val="008D5779"/>
    <w:rsid w:val="008D5CFA"/>
    <w:rsid w:val="008D64C2"/>
    <w:rsid w:val="008D6593"/>
    <w:rsid w:val="008E03B6"/>
    <w:rsid w:val="008E38F0"/>
    <w:rsid w:val="008E3D4B"/>
    <w:rsid w:val="008E6AC7"/>
    <w:rsid w:val="008E70C8"/>
    <w:rsid w:val="008F031E"/>
    <w:rsid w:val="008F034A"/>
    <w:rsid w:val="008F1040"/>
    <w:rsid w:val="008F1D85"/>
    <w:rsid w:val="008F4472"/>
    <w:rsid w:val="008F6E6F"/>
    <w:rsid w:val="00900567"/>
    <w:rsid w:val="009011C8"/>
    <w:rsid w:val="0090216D"/>
    <w:rsid w:val="00902285"/>
    <w:rsid w:val="00904222"/>
    <w:rsid w:val="009059A0"/>
    <w:rsid w:val="00905E44"/>
    <w:rsid w:val="00906FF7"/>
    <w:rsid w:val="009108D3"/>
    <w:rsid w:val="00912242"/>
    <w:rsid w:val="0091244E"/>
    <w:rsid w:val="009139A3"/>
    <w:rsid w:val="0091430E"/>
    <w:rsid w:val="00914500"/>
    <w:rsid w:val="00915AB2"/>
    <w:rsid w:val="00915B9C"/>
    <w:rsid w:val="00923DDC"/>
    <w:rsid w:val="00924ADE"/>
    <w:rsid w:val="009256F5"/>
    <w:rsid w:val="00925DDA"/>
    <w:rsid w:val="00926FED"/>
    <w:rsid w:val="009273A7"/>
    <w:rsid w:val="0093007F"/>
    <w:rsid w:val="00930C2C"/>
    <w:rsid w:val="00936132"/>
    <w:rsid w:val="00937307"/>
    <w:rsid w:val="0093779B"/>
    <w:rsid w:val="0094111F"/>
    <w:rsid w:val="009424AD"/>
    <w:rsid w:val="0095140E"/>
    <w:rsid w:val="009525E3"/>
    <w:rsid w:val="00953E8F"/>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2339"/>
    <w:rsid w:val="00975140"/>
    <w:rsid w:val="00975CCF"/>
    <w:rsid w:val="009773FC"/>
    <w:rsid w:val="00982B6A"/>
    <w:rsid w:val="00983E12"/>
    <w:rsid w:val="00984BE6"/>
    <w:rsid w:val="0098679C"/>
    <w:rsid w:val="009905EF"/>
    <w:rsid w:val="00992820"/>
    <w:rsid w:val="00994DA0"/>
    <w:rsid w:val="009A0030"/>
    <w:rsid w:val="009A0BFF"/>
    <w:rsid w:val="009A1850"/>
    <w:rsid w:val="009A208D"/>
    <w:rsid w:val="009A2509"/>
    <w:rsid w:val="009A3514"/>
    <w:rsid w:val="009A3551"/>
    <w:rsid w:val="009A4B25"/>
    <w:rsid w:val="009A56EC"/>
    <w:rsid w:val="009A6579"/>
    <w:rsid w:val="009A65FD"/>
    <w:rsid w:val="009A7B95"/>
    <w:rsid w:val="009A7D59"/>
    <w:rsid w:val="009B0613"/>
    <w:rsid w:val="009B0E34"/>
    <w:rsid w:val="009B271D"/>
    <w:rsid w:val="009B31FD"/>
    <w:rsid w:val="009B37E5"/>
    <w:rsid w:val="009B4E57"/>
    <w:rsid w:val="009B4F2A"/>
    <w:rsid w:val="009B6B91"/>
    <w:rsid w:val="009B6E02"/>
    <w:rsid w:val="009C08AC"/>
    <w:rsid w:val="009C0C3E"/>
    <w:rsid w:val="009C41BB"/>
    <w:rsid w:val="009C50B0"/>
    <w:rsid w:val="009D18E2"/>
    <w:rsid w:val="009D47B6"/>
    <w:rsid w:val="009D48A7"/>
    <w:rsid w:val="009D5692"/>
    <w:rsid w:val="009E545A"/>
    <w:rsid w:val="009E7CF6"/>
    <w:rsid w:val="009F0CD6"/>
    <w:rsid w:val="009F1DFD"/>
    <w:rsid w:val="009F3D64"/>
    <w:rsid w:val="009F4FA5"/>
    <w:rsid w:val="009F5660"/>
    <w:rsid w:val="009F631C"/>
    <w:rsid w:val="00A017EB"/>
    <w:rsid w:val="00A02A9C"/>
    <w:rsid w:val="00A05373"/>
    <w:rsid w:val="00A0770D"/>
    <w:rsid w:val="00A07FA5"/>
    <w:rsid w:val="00A10C94"/>
    <w:rsid w:val="00A11D13"/>
    <w:rsid w:val="00A13397"/>
    <w:rsid w:val="00A15416"/>
    <w:rsid w:val="00A15F68"/>
    <w:rsid w:val="00A17913"/>
    <w:rsid w:val="00A20B8C"/>
    <w:rsid w:val="00A2383E"/>
    <w:rsid w:val="00A24F5D"/>
    <w:rsid w:val="00A2572D"/>
    <w:rsid w:val="00A26050"/>
    <w:rsid w:val="00A27407"/>
    <w:rsid w:val="00A279B2"/>
    <w:rsid w:val="00A30BDC"/>
    <w:rsid w:val="00A30C51"/>
    <w:rsid w:val="00A32F74"/>
    <w:rsid w:val="00A35174"/>
    <w:rsid w:val="00A37BEC"/>
    <w:rsid w:val="00A403D9"/>
    <w:rsid w:val="00A409B8"/>
    <w:rsid w:val="00A41B8D"/>
    <w:rsid w:val="00A423ED"/>
    <w:rsid w:val="00A43398"/>
    <w:rsid w:val="00A443ED"/>
    <w:rsid w:val="00A466B1"/>
    <w:rsid w:val="00A509B8"/>
    <w:rsid w:val="00A520DD"/>
    <w:rsid w:val="00A52A57"/>
    <w:rsid w:val="00A54E20"/>
    <w:rsid w:val="00A55232"/>
    <w:rsid w:val="00A55A92"/>
    <w:rsid w:val="00A55DD7"/>
    <w:rsid w:val="00A62138"/>
    <w:rsid w:val="00A67CE2"/>
    <w:rsid w:val="00A72B5F"/>
    <w:rsid w:val="00A73E4E"/>
    <w:rsid w:val="00A73EB5"/>
    <w:rsid w:val="00A7417C"/>
    <w:rsid w:val="00A75972"/>
    <w:rsid w:val="00A773FB"/>
    <w:rsid w:val="00A8089C"/>
    <w:rsid w:val="00A80C70"/>
    <w:rsid w:val="00A80FCD"/>
    <w:rsid w:val="00A810B1"/>
    <w:rsid w:val="00A822CD"/>
    <w:rsid w:val="00A8348C"/>
    <w:rsid w:val="00A83ED5"/>
    <w:rsid w:val="00A9023A"/>
    <w:rsid w:val="00A90CD5"/>
    <w:rsid w:val="00A92500"/>
    <w:rsid w:val="00A94E8C"/>
    <w:rsid w:val="00A951CB"/>
    <w:rsid w:val="00A97155"/>
    <w:rsid w:val="00A9739B"/>
    <w:rsid w:val="00AA40EB"/>
    <w:rsid w:val="00AA4DF4"/>
    <w:rsid w:val="00AA5041"/>
    <w:rsid w:val="00AA6786"/>
    <w:rsid w:val="00AA7786"/>
    <w:rsid w:val="00AB0622"/>
    <w:rsid w:val="00AB1537"/>
    <w:rsid w:val="00AB19A3"/>
    <w:rsid w:val="00AB3CD8"/>
    <w:rsid w:val="00AB4E10"/>
    <w:rsid w:val="00AB676D"/>
    <w:rsid w:val="00AC3B99"/>
    <w:rsid w:val="00AC4997"/>
    <w:rsid w:val="00AC61DA"/>
    <w:rsid w:val="00AD1D92"/>
    <w:rsid w:val="00AD2088"/>
    <w:rsid w:val="00AD2439"/>
    <w:rsid w:val="00AD32BC"/>
    <w:rsid w:val="00AD3633"/>
    <w:rsid w:val="00AD3EEC"/>
    <w:rsid w:val="00AD4985"/>
    <w:rsid w:val="00AD5035"/>
    <w:rsid w:val="00AD5DC0"/>
    <w:rsid w:val="00AD69A3"/>
    <w:rsid w:val="00AD6C14"/>
    <w:rsid w:val="00AE2A8B"/>
    <w:rsid w:val="00AE2BEA"/>
    <w:rsid w:val="00AE3958"/>
    <w:rsid w:val="00AE48EE"/>
    <w:rsid w:val="00AE653F"/>
    <w:rsid w:val="00AE6A16"/>
    <w:rsid w:val="00AE779B"/>
    <w:rsid w:val="00AF0623"/>
    <w:rsid w:val="00AF0C85"/>
    <w:rsid w:val="00AF1BAE"/>
    <w:rsid w:val="00AF247C"/>
    <w:rsid w:val="00AF2DF7"/>
    <w:rsid w:val="00AF7348"/>
    <w:rsid w:val="00B00142"/>
    <w:rsid w:val="00B00C16"/>
    <w:rsid w:val="00B013DD"/>
    <w:rsid w:val="00B023CC"/>
    <w:rsid w:val="00B04229"/>
    <w:rsid w:val="00B0621B"/>
    <w:rsid w:val="00B067E8"/>
    <w:rsid w:val="00B073CC"/>
    <w:rsid w:val="00B14E19"/>
    <w:rsid w:val="00B150DB"/>
    <w:rsid w:val="00B15CE6"/>
    <w:rsid w:val="00B16D46"/>
    <w:rsid w:val="00B17F55"/>
    <w:rsid w:val="00B21EE2"/>
    <w:rsid w:val="00B2293E"/>
    <w:rsid w:val="00B2323A"/>
    <w:rsid w:val="00B2344E"/>
    <w:rsid w:val="00B26885"/>
    <w:rsid w:val="00B31E1B"/>
    <w:rsid w:val="00B329F8"/>
    <w:rsid w:val="00B32FA4"/>
    <w:rsid w:val="00B35C3B"/>
    <w:rsid w:val="00B36C0F"/>
    <w:rsid w:val="00B4705A"/>
    <w:rsid w:val="00B51A6D"/>
    <w:rsid w:val="00B53150"/>
    <w:rsid w:val="00B54016"/>
    <w:rsid w:val="00B55EEB"/>
    <w:rsid w:val="00B60A46"/>
    <w:rsid w:val="00B63E25"/>
    <w:rsid w:val="00B65D95"/>
    <w:rsid w:val="00B66A6F"/>
    <w:rsid w:val="00B767FA"/>
    <w:rsid w:val="00B80B73"/>
    <w:rsid w:val="00B819E9"/>
    <w:rsid w:val="00B847FA"/>
    <w:rsid w:val="00B9019E"/>
    <w:rsid w:val="00B90546"/>
    <w:rsid w:val="00B91640"/>
    <w:rsid w:val="00B93E4A"/>
    <w:rsid w:val="00B95F6B"/>
    <w:rsid w:val="00B9720A"/>
    <w:rsid w:val="00BA02A0"/>
    <w:rsid w:val="00BA0488"/>
    <w:rsid w:val="00BA3D80"/>
    <w:rsid w:val="00BA60BB"/>
    <w:rsid w:val="00BA7163"/>
    <w:rsid w:val="00BB19BC"/>
    <w:rsid w:val="00BB1BBB"/>
    <w:rsid w:val="00BB250D"/>
    <w:rsid w:val="00BB2C9E"/>
    <w:rsid w:val="00BB3433"/>
    <w:rsid w:val="00BB34AA"/>
    <w:rsid w:val="00BB6547"/>
    <w:rsid w:val="00BB6D82"/>
    <w:rsid w:val="00BB751F"/>
    <w:rsid w:val="00BC3352"/>
    <w:rsid w:val="00BC678A"/>
    <w:rsid w:val="00BC7AE8"/>
    <w:rsid w:val="00BC7FEF"/>
    <w:rsid w:val="00BD1C7B"/>
    <w:rsid w:val="00BD2189"/>
    <w:rsid w:val="00BD4A00"/>
    <w:rsid w:val="00BD57D2"/>
    <w:rsid w:val="00BD6737"/>
    <w:rsid w:val="00BD6BD4"/>
    <w:rsid w:val="00BD7ECE"/>
    <w:rsid w:val="00BD7F69"/>
    <w:rsid w:val="00BE3997"/>
    <w:rsid w:val="00BE4416"/>
    <w:rsid w:val="00BE5499"/>
    <w:rsid w:val="00BE5623"/>
    <w:rsid w:val="00BE6794"/>
    <w:rsid w:val="00BE79CD"/>
    <w:rsid w:val="00BF1308"/>
    <w:rsid w:val="00BF4812"/>
    <w:rsid w:val="00BF4A3D"/>
    <w:rsid w:val="00BF5BCA"/>
    <w:rsid w:val="00C02F40"/>
    <w:rsid w:val="00C036D3"/>
    <w:rsid w:val="00C03E79"/>
    <w:rsid w:val="00C0799E"/>
    <w:rsid w:val="00C10FB1"/>
    <w:rsid w:val="00C11311"/>
    <w:rsid w:val="00C16FE3"/>
    <w:rsid w:val="00C17BE6"/>
    <w:rsid w:val="00C2027E"/>
    <w:rsid w:val="00C206BA"/>
    <w:rsid w:val="00C20B75"/>
    <w:rsid w:val="00C21A1E"/>
    <w:rsid w:val="00C24FB8"/>
    <w:rsid w:val="00C25FC7"/>
    <w:rsid w:val="00C27973"/>
    <w:rsid w:val="00C31686"/>
    <w:rsid w:val="00C3248B"/>
    <w:rsid w:val="00C328BC"/>
    <w:rsid w:val="00C3355C"/>
    <w:rsid w:val="00C3516A"/>
    <w:rsid w:val="00C36F65"/>
    <w:rsid w:val="00C36FE1"/>
    <w:rsid w:val="00C37190"/>
    <w:rsid w:val="00C37AE1"/>
    <w:rsid w:val="00C40A4F"/>
    <w:rsid w:val="00C4155A"/>
    <w:rsid w:val="00C421FE"/>
    <w:rsid w:val="00C42289"/>
    <w:rsid w:val="00C429C1"/>
    <w:rsid w:val="00C45713"/>
    <w:rsid w:val="00C470AD"/>
    <w:rsid w:val="00C47814"/>
    <w:rsid w:val="00C502B6"/>
    <w:rsid w:val="00C52105"/>
    <w:rsid w:val="00C52159"/>
    <w:rsid w:val="00C536C6"/>
    <w:rsid w:val="00C578D1"/>
    <w:rsid w:val="00C57ADF"/>
    <w:rsid w:val="00C6132C"/>
    <w:rsid w:val="00C62050"/>
    <w:rsid w:val="00C625F7"/>
    <w:rsid w:val="00C63B5F"/>
    <w:rsid w:val="00C67260"/>
    <w:rsid w:val="00C702A7"/>
    <w:rsid w:val="00C70884"/>
    <w:rsid w:val="00C728F3"/>
    <w:rsid w:val="00C733E6"/>
    <w:rsid w:val="00C767F9"/>
    <w:rsid w:val="00C80A49"/>
    <w:rsid w:val="00C80AFF"/>
    <w:rsid w:val="00C8199E"/>
    <w:rsid w:val="00C830DE"/>
    <w:rsid w:val="00C84A02"/>
    <w:rsid w:val="00C87C92"/>
    <w:rsid w:val="00C905FA"/>
    <w:rsid w:val="00C91E56"/>
    <w:rsid w:val="00C936AF"/>
    <w:rsid w:val="00C94533"/>
    <w:rsid w:val="00C95666"/>
    <w:rsid w:val="00C95BE9"/>
    <w:rsid w:val="00C96E63"/>
    <w:rsid w:val="00CA1322"/>
    <w:rsid w:val="00CA2EC0"/>
    <w:rsid w:val="00CA41EF"/>
    <w:rsid w:val="00CA4703"/>
    <w:rsid w:val="00CA5826"/>
    <w:rsid w:val="00CB0A54"/>
    <w:rsid w:val="00CB1755"/>
    <w:rsid w:val="00CB299B"/>
    <w:rsid w:val="00CB5319"/>
    <w:rsid w:val="00CB53B6"/>
    <w:rsid w:val="00CB65B3"/>
    <w:rsid w:val="00CB66DC"/>
    <w:rsid w:val="00CC270C"/>
    <w:rsid w:val="00CC3B97"/>
    <w:rsid w:val="00CC5015"/>
    <w:rsid w:val="00CC740F"/>
    <w:rsid w:val="00CD7391"/>
    <w:rsid w:val="00CE15DF"/>
    <w:rsid w:val="00CE39E2"/>
    <w:rsid w:val="00CE40EA"/>
    <w:rsid w:val="00CE5B68"/>
    <w:rsid w:val="00CE618F"/>
    <w:rsid w:val="00CF011C"/>
    <w:rsid w:val="00CF06CE"/>
    <w:rsid w:val="00CF0CE5"/>
    <w:rsid w:val="00CF1D8A"/>
    <w:rsid w:val="00CF2F95"/>
    <w:rsid w:val="00CF372A"/>
    <w:rsid w:val="00CF45ED"/>
    <w:rsid w:val="00CF4818"/>
    <w:rsid w:val="00CF6129"/>
    <w:rsid w:val="00D00BA4"/>
    <w:rsid w:val="00D00F60"/>
    <w:rsid w:val="00D010BF"/>
    <w:rsid w:val="00D01230"/>
    <w:rsid w:val="00D04193"/>
    <w:rsid w:val="00D050F1"/>
    <w:rsid w:val="00D1325D"/>
    <w:rsid w:val="00D13704"/>
    <w:rsid w:val="00D144F9"/>
    <w:rsid w:val="00D14EF0"/>
    <w:rsid w:val="00D1594B"/>
    <w:rsid w:val="00D16555"/>
    <w:rsid w:val="00D1763F"/>
    <w:rsid w:val="00D179A2"/>
    <w:rsid w:val="00D21915"/>
    <w:rsid w:val="00D23B8C"/>
    <w:rsid w:val="00D265EA"/>
    <w:rsid w:val="00D2745E"/>
    <w:rsid w:val="00D32E53"/>
    <w:rsid w:val="00D34BA7"/>
    <w:rsid w:val="00D36C8C"/>
    <w:rsid w:val="00D36E67"/>
    <w:rsid w:val="00D37034"/>
    <w:rsid w:val="00D40CD1"/>
    <w:rsid w:val="00D42D22"/>
    <w:rsid w:val="00D44A37"/>
    <w:rsid w:val="00D50120"/>
    <w:rsid w:val="00D51661"/>
    <w:rsid w:val="00D601D8"/>
    <w:rsid w:val="00D64526"/>
    <w:rsid w:val="00D6662D"/>
    <w:rsid w:val="00D669AC"/>
    <w:rsid w:val="00D671D2"/>
    <w:rsid w:val="00D67246"/>
    <w:rsid w:val="00D711D8"/>
    <w:rsid w:val="00D75CA8"/>
    <w:rsid w:val="00D77B76"/>
    <w:rsid w:val="00D80723"/>
    <w:rsid w:val="00D81C73"/>
    <w:rsid w:val="00D82D32"/>
    <w:rsid w:val="00D8367C"/>
    <w:rsid w:val="00D86FDD"/>
    <w:rsid w:val="00D904F8"/>
    <w:rsid w:val="00D91440"/>
    <w:rsid w:val="00D916E8"/>
    <w:rsid w:val="00D92A85"/>
    <w:rsid w:val="00D92EB8"/>
    <w:rsid w:val="00D953C7"/>
    <w:rsid w:val="00D97617"/>
    <w:rsid w:val="00DA0134"/>
    <w:rsid w:val="00DA05D5"/>
    <w:rsid w:val="00DA343D"/>
    <w:rsid w:val="00DA461A"/>
    <w:rsid w:val="00DA546B"/>
    <w:rsid w:val="00DB023D"/>
    <w:rsid w:val="00DB2253"/>
    <w:rsid w:val="00DB2D57"/>
    <w:rsid w:val="00DB2FA2"/>
    <w:rsid w:val="00DB3CC7"/>
    <w:rsid w:val="00DB3E9A"/>
    <w:rsid w:val="00DC0197"/>
    <w:rsid w:val="00DC59B5"/>
    <w:rsid w:val="00DC7BFE"/>
    <w:rsid w:val="00DD1E52"/>
    <w:rsid w:val="00DD4200"/>
    <w:rsid w:val="00DD420A"/>
    <w:rsid w:val="00DD72E6"/>
    <w:rsid w:val="00DD7F25"/>
    <w:rsid w:val="00DE2362"/>
    <w:rsid w:val="00DE238B"/>
    <w:rsid w:val="00DE49E6"/>
    <w:rsid w:val="00DE6C37"/>
    <w:rsid w:val="00DF011A"/>
    <w:rsid w:val="00DF3E01"/>
    <w:rsid w:val="00DF4361"/>
    <w:rsid w:val="00DF6920"/>
    <w:rsid w:val="00E00516"/>
    <w:rsid w:val="00E02A2C"/>
    <w:rsid w:val="00E05480"/>
    <w:rsid w:val="00E06CEF"/>
    <w:rsid w:val="00E0726D"/>
    <w:rsid w:val="00E1024B"/>
    <w:rsid w:val="00E11CAF"/>
    <w:rsid w:val="00E13E56"/>
    <w:rsid w:val="00E14891"/>
    <w:rsid w:val="00E16240"/>
    <w:rsid w:val="00E22CDC"/>
    <w:rsid w:val="00E23ADF"/>
    <w:rsid w:val="00E25B0B"/>
    <w:rsid w:val="00E31454"/>
    <w:rsid w:val="00E33074"/>
    <w:rsid w:val="00E33D90"/>
    <w:rsid w:val="00E34B27"/>
    <w:rsid w:val="00E34C2B"/>
    <w:rsid w:val="00E3533D"/>
    <w:rsid w:val="00E4033D"/>
    <w:rsid w:val="00E4058E"/>
    <w:rsid w:val="00E4289F"/>
    <w:rsid w:val="00E43813"/>
    <w:rsid w:val="00E451FD"/>
    <w:rsid w:val="00E45599"/>
    <w:rsid w:val="00E459A3"/>
    <w:rsid w:val="00E50375"/>
    <w:rsid w:val="00E50CA5"/>
    <w:rsid w:val="00E54F56"/>
    <w:rsid w:val="00E55896"/>
    <w:rsid w:val="00E57A7A"/>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60B6"/>
    <w:rsid w:val="00E972E1"/>
    <w:rsid w:val="00EA12EC"/>
    <w:rsid w:val="00EA1474"/>
    <w:rsid w:val="00EA1644"/>
    <w:rsid w:val="00EA372E"/>
    <w:rsid w:val="00EA4179"/>
    <w:rsid w:val="00EA7761"/>
    <w:rsid w:val="00EB0062"/>
    <w:rsid w:val="00EB3981"/>
    <w:rsid w:val="00EB4721"/>
    <w:rsid w:val="00EB6F0F"/>
    <w:rsid w:val="00EC1ED4"/>
    <w:rsid w:val="00EC2241"/>
    <w:rsid w:val="00EC2908"/>
    <w:rsid w:val="00EC432D"/>
    <w:rsid w:val="00EC5699"/>
    <w:rsid w:val="00ED23BB"/>
    <w:rsid w:val="00ED36BD"/>
    <w:rsid w:val="00EE1EEC"/>
    <w:rsid w:val="00EE2FF5"/>
    <w:rsid w:val="00EE5FCA"/>
    <w:rsid w:val="00EE6889"/>
    <w:rsid w:val="00EF1CB9"/>
    <w:rsid w:val="00EF3BCF"/>
    <w:rsid w:val="00EF524C"/>
    <w:rsid w:val="00EF5255"/>
    <w:rsid w:val="00EF55D4"/>
    <w:rsid w:val="00EF5D6A"/>
    <w:rsid w:val="00F000CF"/>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B68"/>
    <w:rsid w:val="00F22DC2"/>
    <w:rsid w:val="00F241F4"/>
    <w:rsid w:val="00F2442C"/>
    <w:rsid w:val="00F278BA"/>
    <w:rsid w:val="00F31AE4"/>
    <w:rsid w:val="00F3341C"/>
    <w:rsid w:val="00F349D2"/>
    <w:rsid w:val="00F34C4D"/>
    <w:rsid w:val="00F40D5F"/>
    <w:rsid w:val="00F435CD"/>
    <w:rsid w:val="00F445F4"/>
    <w:rsid w:val="00F4469F"/>
    <w:rsid w:val="00F455DC"/>
    <w:rsid w:val="00F46A29"/>
    <w:rsid w:val="00F528C8"/>
    <w:rsid w:val="00F533AE"/>
    <w:rsid w:val="00F61538"/>
    <w:rsid w:val="00F634A4"/>
    <w:rsid w:val="00F63F39"/>
    <w:rsid w:val="00F64613"/>
    <w:rsid w:val="00F65CBF"/>
    <w:rsid w:val="00F714DB"/>
    <w:rsid w:val="00F74076"/>
    <w:rsid w:val="00F7455C"/>
    <w:rsid w:val="00F75823"/>
    <w:rsid w:val="00F7785F"/>
    <w:rsid w:val="00F80196"/>
    <w:rsid w:val="00F8055A"/>
    <w:rsid w:val="00F832AC"/>
    <w:rsid w:val="00F871C8"/>
    <w:rsid w:val="00F87743"/>
    <w:rsid w:val="00F90DA1"/>
    <w:rsid w:val="00F91BA1"/>
    <w:rsid w:val="00F9382E"/>
    <w:rsid w:val="00F94191"/>
    <w:rsid w:val="00F94A35"/>
    <w:rsid w:val="00F94B5B"/>
    <w:rsid w:val="00F96586"/>
    <w:rsid w:val="00F966F6"/>
    <w:rsid w:val="00FA19DB"/>
    <w:rsid w:val="00FA2209"/>
    <w:rsid w:val="00FA2552"/>
    <w:rsid w:val="00FA2704"/>
    <w:rsid w:val="00FA360E"/>
    <w:rsid w:val="00FA3C24"/>
    <w:rsid w:val="00FA49EE"/>
    <w:rsid w:val="00FA7132"/>
    <w:rsid w:val="00FA7397"/>
    <w:rsid w:val="00FB128E"/>
    <w:rsid w:val="00FB16B4"/>
    <w:rsid w:val="00FB2E54"/>
    <w:rsid w:val="00FB7F5C"/>
    <w:rsid w:val="00FC0A38"/>
    <w:rsid w:val="00FC154E"/>
    <w:rsid w:val="00FC15E9"/>
    <w:rsid w:val="00FC51D6"/>
    <w:rsid w:val="00FC53C2"/>
    <w:rsid w:val="00FC5D67"/>
    <w:rsid w:val="00FC70BE"/>
    <w:rsid w:val="00FD1BCF"/>
    <w:rsid w:val="00FD262D"/>
    <w:rsid w:val="00FD45EA"/>
    <w:rsid w:val="00FD650A"/>
    <w:rsid w:val="00FD65EC"/>
    <w:rsid w:val="00FE273D"/>
    <w:rsid w:val="00FE3EF4"/>
    <w:rsid w:val="00FE62C5"/>
    <w:rsid w:val="00FE74CC"/>
    <w:rsid w:val="00FF052F"/>
    <w:rsid w:val="00FF0E8C"/>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A16859F1-305E-4BEC-935A-5B1AC7B4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7738"/>
    <w:pPr>
      <w:tabs>
        <w:tab w:val="center" w:pos="4513"/>
        <w:tab w:val="right" w:pos="9026"/>
      </w:tabs>
      <w:spacing w:after="0" w:line="240" w:lineRule="auto"/>
    </w:pPr>
  </w:style>
  <w:style w:type="character" w:customStyle="1" w:styleId="En-tteCar">
    <w:name w:val="En-tête Car"/>
    <w:basedOn w:val="Policepardfaut"/>
    <w:link w:val="En-tte"/>
    <w:uiPriority w:val="99"/>
    <w:rsid w:val="00707738"/>
  </w:style>
  <w:style w:type="paragraph" w:styleId="Pieddepage">
    <w:name w:val="footer"/>
    <w:basedOn w:val="Normal"/>
    <w:link w:val="PieddepageCar"/>
    <w:uiPriority w:val="99"/>
    <w:unhideWhenUsed/>
    <w:rsid w:val="0070773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7738"/>
  </w:style>
  <w:style w:type="paragraph" w:styleId="Textedebulles">
    <w:name w:val="Balloon Text"/>
    <w:basedOn w:val="Normal"/>
    <w:link w:val="TextedebullesCar"/>
    <w:uiPriority w:val="99"/>
    <w:semiHidden/>
    <w:unhideWhenUsed/>
    <w:rsid w:val="007077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738"/>
    <w:rPr>
      <w:rFonts w:ascii="Tahoma" w:hAnsi="Tahoma" w:cs="Tahoma"/>
      <w:sz w:val="16"/>
      <w:szCs w:val="16"/>
    </w:rPr>
  </w:style>
  <w:style w:type="table" w:styleId="Grilledutableau">
    <w:name w:val="Table Grid"/>
    <w:basedOn w:val="Tableau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61F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1F7C"/>
    <w:rPr>
      <w:sz w:val="20"/>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Paragraphedeliste">
    <w:name w:val="List Paragraph"/>
    <w:aliases w:val="Paragraphe EI,Paragraphe de liste1,EC,List Paragraph_Sections,Dot pt,List Paragraph1,Colorful List - Accent 11,No Spacing1,List Paragraph Char Char Char,Indicator Text,Numbered Para 1,Bullet 1,F5 List Paragraph,Bullet Points,3"/>
    <w:basedOn w:val="Normal"/>
    <w:link w:val="ParagraphedelisteCar"/>
    <w:uiPriority w:val="34"/>
    <w:qFormat/>
    <w:rsid w:val="008057FF"/>
    <w:pPr>
      <w:ind w:left="720"/>
      <w:contextualSpacing/>
    </w:pPr>
  </w:style>
  <w:style w:type="character" w:styleId="Marquedecommentaire">
    <w:name w:val="annotation reference"/>
    <w:basedOn w:val="Policepardfaut"/>
    <w:uiPriority w:val="99"/>
    <w:semiHidden/>
    <w:unhideWhenUsed/>
    <w:rsid w:val="009A3551"/>
    <w:rPr>
      <w:sz w:val="16"/>
      <w:szCs w:val="16"/>
    </w:rPr>
  </w:style>
  <w:style w:type="paragraph" w:styleId="Commentaire">
    <w:name w:val="annotation text"/>
    <w:basedOn w:val="Normal"/>
    <w:link w:val="CommentaireCar"/>
    <w:uiPriority w:val="99"/>
    <w:unhideWhenUsed/>
    <w:rsid w:val="009A3551"/>
    <w:pPr>
      <w:spacing w:line="240" w:lineRule="auto"/>
    </w:pPr>
    <w:rPr>
      <w:sz w:val="20"/>
      <w:szCs w:val="20"/>
    </w:rPr>
  </w:style>
  <w:style w:type="character" w:customStyle="1" w:styleId="CommentaireCar">
    <w:name w:val="Commentaire Car"/>
    <w:basedOn w:val="Policepardfaut"/>
    <w:link w:val="Commentaire"/>
    <w:uiPriority w:val="99"/>
    <w:rsid w:val="009A3551"/>
    <w:rPr>
      <w:sz w:val="20"/>
      <w:szCs w:val="20"/>
    </w:rPr>
  </w:style>
  <w:style w:type="paragraph" w:styleId="Objetducommentaire">
    <w:name w:val="annotation subject"/>
    <w:basedOn w:val="Commentaire"/>
    <w:next w:val="Commentaire"/>
    <w:link w:val="ObjetducommentaireCar"/>
    <w:uiPriority w:val="99"/>
    <w:semiHidden/>
    <w:unhideWhenUsed/>
    <w:rsid w:val="009A3551"/>
    <w:rPr>
      <w:b/>
      <w:bCs/>
    </w:rPr>
  </w:style>
  <w:style w:type="character" w:customStyle="1" w:styleId="ObjetducommentaireCar">
    <w:name w:val="Objet du commentaire Car"/>
    <w:basedOn w:val="CommentaireCar"/>
    <w:link w:val="Objetducommentaire"/>
    <w:uiPriority w:val="99"/>
    <w:semiHidden/>
    <w:rsid w:val="009A3551"/>
    <w:rPr>
      <w:b/>
      <w:bCs/>
      <w:sz w:val="20"/>
      <w:szCs w:val="20"/>
    </w:rPr>
  </w:style>
  <w:style w:type="paragraph" w:styleId="NormalWeb">
    <w:name w:val="Normal (Web)"/>
    <w:basedOn w:val="Normal"/>
    <w:uiPriority w:val="99"/>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
    <w:name w:val="Paragraphe de liste Car"/>
    <w:aliases w:val="Paragraphe EI Car,Paragraphe de liste1 Car,EC Car,List Paragraph_Sections Car,Dot pt Car,List Paragraph1 Car,Colorful List - Accent 11 Car,No Spacing1 Car,List Paragraph Char Char Char Car,Indicator Text Car,Numbered Para 1 Car"/>
    <w:basedOn w:val="Policepardfaut"/>
    <w:link w:val="Paragraphedeliste"/>
    <w:uiPriority w:val="34"/>
    <w:qFormat/>
    <w:locked/>
    <w:rsid w:val="00D36E67"/>
  </w:style>
  <w:style w:type="paragraph" w:styleId="Titre">
    <w:name w:val="Title"/>
    <w:basedOn w:val="Normal"/>
    <w:next w:val="Normal"/>
    <w:link w:val="TitreC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reCar">
    <w:name w:val="Titre Car"/>
    <w:basedOn w:val="Policepardfaut"/>
    <w:link w:val="Titr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vision">
    <w:name w:val="Revision"/>
    <w:hidden/>
    <w:uiPriority w:val="99"/>
    <w:semiHidden/>
    <w:rsid w:val="00D1763F"/>
    <w:pPr>
      <w:spacing w:after="0" w:line="240" w:lineRule="auto"/>
    </w:pPr>
  </w:style>
  <w:style w:type="character" w:styleId="Lienhypertextesuivivisit">
    <w:name w:val="FollowedHyperlink"/>
    <w:basedOn w:val="Policepardfau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Policepardfau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Policepardfau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Policepardfaut"/>
    <w:link w:val="HeaderFoot"/>
    <w:rsid w:val="005418F4"/>
    <w:rPr>
      <w:rFonts w:ascii="Arial" w:eastAsiaTheme="minorEastAsia" w:hAnsi="Arial" w:cs="Arial"/>
      <w:color w:val="001B4F"/>
      <w:sz w:val="16"/>
      <w:szCs w:val="16"/>
    </w:rPr>
  </w:style>
  <w:style w:type="character" w:styleId="Mentionnonrsolue">
    <w:name w:val="Unresolved Mention"/>
    <w:basedOn w:val="Policepardfau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384BD2"/>
    <w:pPr>
      <w:numPr>
        <w:numId w:val="38"/>
      </w:numPr>
      <w:spacing w:after="250"/>
      <w:contextualSpacing/>
      <w:jc w:val="both"/>
    </w:pPr>
    <w:rPr>
      <w:rFonts w:ascii="Arial" w:eastAsiaTheme="minorEastAsia" w:hAnsi="Arial" w:cs="Arial"/>
      <w:b/>
      <w:lang w:val="en-US"/>
    </w:rPr>
  </w:style>
  <w:style w:type="character" w:customStyle="1" w:styleId="QuestionstyleChar">
    <w:name w:val="Question style Char"/>
    <w:basedOn w:val="Policepardfaut"/>
    <w:link w:val="Questionstyle"/>
    <w:rsid w:val="00384BD2"/>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paragraph" w:customStyle="1" w:styleId="paragraph">
    <w:name w:val="paragraph"/>
    <w:basedOn w:val="Normal"/>
    <w:rsid w:val="003478B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3478B7"/>
  </w:style>
  <w:style w:type="character" w:customStyle="1" w:styleId="eop">
    <w:name w:val="eop"/>
    <w:basedOn w:val="Policepardfaut"/>
    <w:rsid w:val="003478B7"/>
  </w:style>
  <w:style w:type="character" w:customStyle="1" w:styleId="ui-provider">
    <w:name w:val="ui-provider"/>
    <w:basedOn w:val="Policepardfaut"/>
    <w:rsid w:val="003478B7"/>
  </w:style>
  <w:style w:type="character" w:customStyle="1" w:styleId="cf01">
    <w:name w:val="cf01"/>
    <w:basedOn w:val="Policepardfaut"/>
    <w:rsid w:val="003C7D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326787503">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612249503">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34624870">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39672365">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aae2ad0-0604-4959-883a-394456391938" xsi:nil="true"/>
    <lcf76f155ced4ddcb4097134ff3c332f xmlns="064e2e54-2231-4f9b-b6c4-f72d5c92909c">
      <Terms xmlns="http://schemas.microsoft.com/office/infopath/2007/PartnerControls"/>
    </lcf76f155ced4ddcb4097134ff3c332f>
    <SharedWithUsers xmlns="aaae2ad0-0604-4959-883a-394456391938">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B327FEA15B4240B2032046E98B23D9" ma:contentTypeVersion="13" ma:contentTypeDescription="Crée un document." ma:contentTypeScope="" ma:versionID="d8fb5598b3303f1525b7c5b144024dbc">
  <xsd:schema xmlns:xsd="http://www.w3.org/2001/XMLSchema" xmlns:xs="http://www.w3.org/2001/XMLSchema" xmlns:p="http://schemas.microsoft.com/office/2006/metadata/properties" xmlns:ns2="064e2e54-2231-4f9b-b6c4-f72d5c92909c" xmlns:ns3="aaae2ad0-0604-4959-883a-394456391938" targetNamespace="http://schemas.microsoft.com/office/2006/metadata/properties" ma:root="true" ma:fieldsID="758bb03f67e8f5483a0b44378a82666f" ns2:_="" ns3:_="">
    <xsd:import namespace="064e2e54-2231-4f9b-b6c4-f72d5c92909c"/>
    <xsd:import namespace="aaae2ad0-0604-4959-883a-3944563919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e2e54-2231-4f9b-b6c4-f72d5c929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26e81792-26c9-4f01-a44a-fcc9bb9650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ae2ad0-0604-4959-883a-3944563919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d36ef3-cddf-4fd5-aafd-763b257030aa}" ma:internalName="TaxCatchAll" ma:showField="CatchAllData" ma:web="aaae2ad0-0604-4959-883a-3944563919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aaae2ad0-0604-4959-883a-394456391938"/>
    <ds:schemaRef ds:uri="064e2e54-2231-4f9b-b6c4-f72d5c92909c"/>
  </ds:schemaRefs>
</ds:datastoreItem>
</file>

<file path=customXml/itemProps4.xml><?xml version="1.0" encoding="utf-8"?>
<ds:datastoreItem xmlns:ds="http://schemas.openxmlformats.org/officeDocument/2006/customXml" ds:itemID="{D29DD0B3-D0BF-4828-8198-1CA264191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e2e54-2231-4f9b-b6c4-f72d5c92909c"/>
    <ds:schemaRef ds:uri="aaae2ad0-0604-4959-883a-394456391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6</Pages>
  <Words>5334</Words>
  <Characters>29339</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34604</CharactersWithSpaces>
  <SharedDoc>false</SharedDoc>
  <HLinks>
    <vt:vector size="24" baseType="variant">
      <vt:variant>
        <vt:i4>7864440</vt:i4>
      </vt:variant>
      <vt:variant>
        <vt:i4>9</vt:i4>
      </vt:variant>
      <vt:variant>
        <vt:i4>0</vt:i4>
      </vt:variant>
      <vt:variant>
        <vt:i4>5</vt:i4>
      </vt:variant>
      <vt:variant>
        <vt:lpwstr>https://www.esma.europa.eu/legal-notice</vt:lpwstr>
      </vt:variant>
      <vt:variant>
        <vt:lpwstr/>
      </vt:variant>
      <vt:variant>
        <vt:i4>4849729</vt:i4>
      </vt:variant>
      <vt:variant>
        <vt:i4>6</vt:i4>
      </vt:variant>
      <vt:variant>
        <vt:i4>0</vt:i4>
      </vt:variant>
      <vt:variant>
        <vt:i4>5</vt:i4>
      </vt:variant>
      <vt:variant>
        <vt:lpwstr>https://eiopa.europa.eu/Pages/Links/Legal-notice.aspx</vt:lpwstr>
      </vt:variant>
      <vt:variant>
        <vt:lpwstr/>
      </vt:variant>
      <vt:variant>
        <vt:i4>851970</vt:i4>
      </vt:variant>
      <vt:variant>
        <vt:i4>3</vt:i4>
      </vt:variant>
      <vt:variant>
        <vt:i4>0</vt:i4>
      </vt:variant>
      <vt:variant>
        <vt:i4>5</vt:i4>
      </vt:variant>
      <vt:variant>
        <vt:lpwstr>http://www.eba.europa.eu/legal-notice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Juliette MOLLO</cp:lastModifiedBy>
  <cp:revision>9</cp:revision>
  <cp:lastPrinted>2023-07-04T13:33:00Z</cp:lastPrinted>
  <dcterms:created xsi:type="dcterms:W3CDTF">2023-07-04T15:19:00Z</dcterms:created>
  <dcterms:modified xsi:type="dcterms:W3CDTF">2023-07-04T15:26:00Z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0x010100BBB327FEA15B4240B2032046E98B23D9</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ComplianceAssetId">
    <vt:lpwstr/>
  </property>
  <property fmtid="{D5CDD505-2E9C-101B-9397-08002B2CF9AE}" pid="33" name="_ExtendedDescription">
    <vt:lpwstr/>
  </property>
  <property fmtid="{D5CDD505-2E9C-101B-9397-08002B2CF9AE}" pid="34" name="TriggerFlowInfo">
    <vt:lpwstr/>
  </property>
  <property fmtid="{D5CDD505-2E9C-101B-9397-08002B2CF9AE}" pid="35" name="_activity">
    <vt:lpwstr>{"FileActivityType":"6","FileActivityTimeStamp":"2023-06-29T16:31:30.663Z","FileActivityUsersOnPage":[{"DisplayName":"Juliette MOLLO","Id":"j.mollo-majour@ifd-paris.com"}],"FileActivityNavigationId":null}</vt:lpwstr>
  </property>
  <property fmtid="{D5CDD505-2E9C-101B-9397-08002B2CF9AE}" pid="36" name="MediaServiceImageTags">
    <vt:lpwstr/>
  </property>
</Properties>
</file>