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highlight w:val="yellow"/>
            </w:rPr>
            <w:id w:val="651570699"/>
            <w:text/>
          </w:sdtPr>
          <w:sdtEndPr/>
          <w:sdtContent>
            <w:tc>
              <w:tcPr>
                <w:tcW w:w="5595" w:type="dxa"/>
                <w:shd w:val="clear" w:color="auto" w:fill="auto"/>
                <w:vAlign w:val="center"/>
              </w:tcPr>
              <w:p w14:paraId="2D662032" w14:textId="00CA3362" w:rsidR="005418F4" w:rsidRPr="00131559" w:rsidRDefault="00AE68A4" w:rsidP="005418F4">
                <w:pPr>
                  <w:spacing w:after="250"/>
                  <w:rPr>
                    <w:rFonts w:ascii="Arial" w:eastAsiaTheme="minorEastAsia" w:hAnsi="Arial" w:cs="Arial"/>
                    <w:color w:val="808080"/>
                    <w:szCs w:val="20"/>
                    <w:highlight w:val="yellow"/>
                  </w:rPr>
                </w:pPr>
                <w:r w:rsidRPr="00131559">
                  <w:rPr>
                    <w:rFonts w:ascii="Arial" w:eastAsiaTheme="minorEastAsia" w:hAnsi="Arial" w:cs="Arial"/>
                    <w:color w:val="808080"/>
                    <w:szCs w:val="20"/>
                    <w:highlight w:val="yellow"/>
                  </w:rPr>
                  <w:t>The European Smoking Tobacco Association (ESTA)</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1F510CB8" w:rsidR="005418F4" w:rsidRPr="005418F4" w:rsidRDefault="00DF0AAF"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32186">
                  <w:rPr>
                    <w:rFonts w:ascii="Arial" w:eastAsiaTheme="minorEastAsia" w:hAnsi="Arial" w:cs="Arial"/>
                    <w:color w:val="1A1A1A" w:themeColor="background1" w:themeShade="1A"/>
                    <w:szCs w:val="20"/>
                  </w:rPr>
                  <w:t>Non-financial counterparty</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3D859119" w:rsidR="005418F4" w:rsidRPr="005418F4" w:rsidRDefault="008643A4"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6F9D8F20" w:rsidR="005418F4" w:rsidRPr="005418F4" w:rsidRDefault="008643A4"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Belgium</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5D2AECBC" w14:textId="3CC50A56" w:rsidR="000D71AD" w:rsidRDefault="0022080C" w:rsidP="00105882">
      <w:pPr>
        <w:jc w:val="both"/>
      </w:pPr>
      <w:permStart w:id="1348034591" w:edGrp="everyone"/>
      <w:r w:rsidRPr="00F5104C">
        <w:rPr>
          <w:b/>
          <w:bCs/>
        </w:rPr>
        <w:t>ESTA</w:t>
      </w:r>
      <w:r w:rsidR="00822395">
        <w:rPr>
          <w:rStyle w:val="FootnoteReference"/>
          <w:b/>
          <w:bCs/>
        </w:rPr>
        <w:footnoteReference w:id="2"/>
      </w:r>
      <w:r w:rsidRPr="00F5104C">
        <w:rPr>
          <w:b/>
          <w:bCs/>
        </w:rPr>
        <w:t xml:space="preserve"> disagrees with the </w:t>
      </w:r>
      <w:r w:rsidR="008935D2" w:rsidRPr="00F5104C">
        <w:rPr>
          <w:b/>
          <w:bCs/>
        </w:rPr>
        <w:t>new social P</w:t>
      </w:r>
      <w:r w:rsidR="005C3383" w:rsidRPr="00F5104C">
        <w:rPr>
          <w:b/>
          <w:bCs/>
        </w:rPr>
        <w:t>AI indicators that pertain to involvement</w:t>
      </w:r>
      <w:r w:rsidR="00682BBC" w:rsidRPr="00F5104C">
        <w:rPr>
          <w:b/>
          <w:bCs/>
        </w:rPr>
        <w:t xml:space="preserve"> in tobacco cultivation and production, as this suggests</w:t>
      </w:r>
      <w:r w:rsidR="001F0E3F" w:rsidRPr="00F5104C">
        <w:rPr>
          <w:b/>
          <w:bCs/>
        </w:rPr>
        <w:t xml:space="preserve"> that </w:t>
      </w:r>
      <w:r w:rsidR="002E239F">
        <w:rPr>
          <w:b/>
          <w:bCs/>
        </w:rPr>
        <w:t>any association with the manufacture of</w:t>
      </w:r>
      <w:r w:rsidR="001F0E3F" w:rsidRPr="00F5104C">
        <w:rPr>
          <w:b/>
          <w:bCs/>
        </w:rPr>
        <w:t xml:space="preserve"> a legal and regulated product constitutes </w:t>
      </w:r>
      <w:r w:rsidR="002E239F">
        <w:rPr>
          <w:b/>
          <w:bCs/>
        </w:rPr>
        <w:t xml:space="preserve">a </w:t>
      </w:r>
      <w:r w:rsidR="001F0E3F" w:rsidRPr="00F5104C">
        <w:rPr>
          <w:b/>
          <w:bCs/>
        </w:rPr>
        <w:t>social</w:t>
      </w:r>
      <w:r w:rsidR="002E239F">
        <w:rPr>
          <w:b/>
          <w:bCs/>
        </w:rPr>
        <w:t>ly</w:t>
      </w:r>
      <w:r w:rsidR="001F0E3F" w:rsidRPr="00F5104C">
        <w:rPr>
          <w:b/>
          <w:bCs/>
        </w:rPr>
        <w:t xml:space="preserve"> adverse impact</w:t>
      </w:r>
      <w:r w:rsidR="001F0E3F">
        <w:t>. ESTA is of the opinion that this serve</w:t>
      </w:r>
      <w:r w:rsidR="002E239F">
        <w:t>s neither</w:t>
      </w:r>
      <w:r w:rsidR="001F0E3F">
        <w:t xml:space="preserve"> the purpose of the SF</w:t>
      </w:r>
      <w:r w:rsidR="008852C9">
        <w:t>DR</w:t>
      </w:r>
      <w:r w:rsidR="00A006A3">
        <w:t xml:space="preserve"> </w:t>
      </w:r>
      <w:r w:rsidR="002E239F">
        <w:t>n</w:t>
      </w:r>
      <w:r w:rsidR="00A006A3">
        <w:t>or</w:t>
      </w:r>
      <w:r w:rsidR="001F0E3F">
        <w:t xml:space="preserve"> the </w:t>
      </w:r>
      <w:r w:rsidR="00EB125A">
        <w:t xml:space="preserve">EU </w:t>
      </w:r>
      <w:r w:rsidR="001860F3">
        <w:t>Paris-</w:t>
      </w:r>
      <w:r w:rsidR="001860F3" w:rsidRPr="001860F3">
        <w:t>aligned benchmarks</w:t>
      </w:r>
      <w:r w:rsidR="00BC6288">
        <w:t xml:space="preserve">. </w:t>
      </w:r>
    </w:p>
    <w:p w14:paraId="0E3462BF" w14:textId="172E1010" w:rsidR="00FF3D13" w:rsidRDefault="008C3692" w:rsidP="00105882">
      <w:pPr>
        <w:jc w:val="both"/>
      </w:pPr>
      <w:r>
        <w:t>In the consultation document</w:t>
      </w:r>
      <w:r w:rsidR="00790042">
        <w:t xml:space="preserve">, the ESAs indicate that the </w:t>
      </w:r>
      <w:r w:rsidR="00D53DC1">
        <w:t>social indicator</w:t>
      </w:r>
      <w:r w:rsidR="00795DD3">
        <w:t xml:space="preserve"> </w:t>
      </w:r>
      <w:r w:rsidR="00D53DC1">
        <w:t xml:space="preserve">relating to tobacco is </w:t>
      </w:r>
      <w:r w:rsidR="002E239F">
        <w:t xml:space="preserve">intended </w:t>
      </w:r>
      <w:r w:rsidR="00D53DC1">
        <w:t xml:space="preserve">to </w:t>
      </w:r>
      <w:r w:rsidR="00575B33">
        <w:t xml:space="preserve">align with Article </w:t>
      </w:r>
      <w:r w:rsidR="0030477B">
        <w:t xml:space="preserve">12 of </w:t>
      </w:r>
      <w:r w:rsidR="002E239F">
        <w:t xml:space="preserve">the </w:t>
      </w:r>
      <w:r w:rsidR="00575B33">
        <w:t>Commission Delegated Regulation</w:t>
      </w:r>
      <w:r w:rsidR="0030477B">
        <w:t xml:space="preserve"> </w:t>
      </w:r>
      <w:r w:rsidR="00575B33">
        <w:t>(EU) 2020/1818</w:t>
      </w:r>
      <w:r w:rsidR="0030477B">
        <w:t xml:space="preserve"> that excludes tobacco companies from </w:t>
      </w:r>
      <w:r w:rsidR="00B5756F">
        <w:t>benefiting from the</w:t>
      </w:r>
      <w:r w:rsidR="0030477B">
        <w:t xml:space="preserve"> </w:t>
      </w:r>
      <w:r w:rsidR="002D5C2E" w:rsidRPr="002D5C2E">
        <w:t>EU Paris-aligned Benchmarks</w:t>
      </w:r>
      <w:r w:rsidR="002D5C2E">
        <w:t xml:space="preserve">. </w:t>
      </w:r>
      <w:r w:rsidR="00FD5402">
        <w:t>The document also explicitly states that “</w:t>
      </w:r>
      <w:r w:rsidR="00FD5402" w:rsidRPr="00484804">
        <w:rPr>
          <w:i/>
          <w:iCs/>
        </w:rPr>
        <w:t>the draft ESRS have been a valuable source for the definition of the new social PAI indicators, as the ESRS disclosure requirements will have to be reported by all companies in the scope of CSRD, allowing for less burdensome disclosures</w:t>
      </w:r>
      <w:r w:rsidR="00FD5402">
        <w:t xml:space="preserve">”. The reference </w:t>
      </w:r>
      <w:r w:rsidR="00327A8B">
        <w:t>to</w:t>
      </w:r>
      <w:r w:rsidR="00FD5402">
        <w:t xml:space="preserve"> </w:t>
      </w:r>
      <w:r w:rsidR="00327A8B">
        <w:t xml:space="preserve">companies active in the production and cultivation of </w:t>
      </w:r>
      <w:r w:rsidR="00FD5402">
        <w:t>tobacco i</w:t>
      </w:r>
      <w:r w:rsidR="006373CB">
        <w:t>n</w:t>
      </w:r>
      <w:r w:rsidR="00FD5402">
        <w:t xml:space="preserve"> the draft </w:t>
      </w:r>
      <w:r w:rsidR="00327A8B">
        <w:t xml:space="preserve">ESRS disclosure requirements </w:t>
      </w:r>
      <w:r w:rsidR="001E2513">
        <w:t xml:space="preserve">does not indicate in any way that investing </w:t>
      </w:r>
      <w:r w:rsidR="00C43C43">
        <w:t xml:space="preserve">in such companies </w:t>
      </w:r>
      <w:r w:rsidR="002E239F">
        <w:t xml:space="preserve">must result </w:t>
      </w:r>
      <w:r w:rsidR="002101BC">
        <w:t xml:space="preserve">in </w:t>
      </w:r>
      <w:r w:rsidR="002101BC" w:rsidRPr="002101BC">
        <w:t>negative effect</w:t>
      </w:r>
      <w:r w:rsidR="002E239F">
        <w:t>s</w:t>
      </w:r>
      <w:r w:rsidR="002101BC" w:rsidRPr="002101BC">
        <w:t xml:space="preserve"> on </w:t>
      </w:r>
      <w:r w:rsidR="002E239F">
        <w:t xml:space="preserve">all </w:t>
      </w:r>
      <w:r w:rsidR="002101BC" w:rsidRPr="002101BC">
        <w:t>sustainability factors</w:t>
      </w:r>
      <w:r w:rsidR="002101BC">
        <w:t xml:space="preserve">. As the footnote </w:t>
      </w:r>
      <w:r w:rsidR="00556DA3">
        <w:t xml:space="preserve">17 clearly </w:t>
      </w:r>
      <w:r w:rsidR="002101BC">
        <w:t>indicates, this reference is merely of administrative nature, to facilitate the</w:t>
      </w:r>
      <w:r w:rsidR="00795DD3">
        <w:t xml:space="preserve"> correct</w:t>
      </w:r>
      <w:r w:rsidR="002101BC">
        <w:t xml:space="preserve"> implementation of </w:t>
      </w:r>
      <w:r w:rsidR="00EB5B93">
        <w:t>the EU</w:t>
      </w:r>
      <w:r w:rsidR="002E239F">
        <w:t>’s</w:t>
      </w:r>
      <w:r w:rsidR="00EB5B93">
        <w:t xml:space="preserve"> Paris-aligned benchmarks.</w:t>
      </w:r>
    </w:p>
    <w:p w14:paraId="6AC48146" w14:textId="3B6DD1CA" w:rsidR="004458AF" w:rsidRDefault="002045E4" w:rsidP="00105882">
      <w:pPr>
        <w:jc w:val="both"/>
      </w:pPr>
      <w:r>
        <w:lastRenderedPageBreak/>
        <w:t xml:space="preserve">ESTA believes it is key </w:t>
      </w:r>
      <w:r w:rsidR="002E239F">
        <w:t xml:space="preserve">here </w:t>
      </w:r>
      <w:r>
        <w:t>to keep in mind the broader context of the</w:t>
      </w:r>
      <w:r w:rsidR="00EB5B93">
        <w:t xml:space="preserve">se benchmarks. </w:t>
      </w:r>
      <w:r w:rsidR="00A858D5" w:rsidRPr="00A858D5">
        <w:t xml:space="preserve">These </w:t>
      </w:r>
      <w:r w:rsidR="00A858D5">
        <w:t>were</w:t>
      </w:r>
      <w:r w:rsidR="00A858D5" w:rsidRPr="00A858D5">
        <w:t xml:space="preserve"> designed to </w:t>
      </w:r>
      <w:r w:rsidR="002E239F">
        <w:t>limit</w:t>
      </w:r>
      <w:r w:rsidR="002E239F" w:rsidRPr="00A858D5">
        <w:t xml:space="preserve"> </w:t>
      </w:r>
      <w:r w:rsidR="002E239F">
        <w:t xml:space="preserve">an increase in </w:t>
      </w:r>
      <w:r w:rsidR="00A858D5" w:rsidRPr="00A858D5">
        <w:t xml:space="preserve">global warming to </w:t>
      </w:r>
      <w:r w:rsidR="002E239F">
        <w:t xml:space="preserve">no greater than </w:t>
      </w:r>
      <w:r w:rsidR="00A858D5" w:rsidRPr="00A858D5">
        <w:t>1.5C above pre-industrial levels by 2050</w:t>
      </w:r>
      <w:r w:rsidR="00E85049">
        <w:t>,</w:t>
      </w:r>
      <w:r w:rsidR="00105882">
        <w:t xml:space="preserve"> </w:t>
      </w:r>
      <w:r w:rsidR="002E239F">
        <w:t>while adhering</w:t>
      </w:r>
      <w:r w:rsidR="00A858D5" w:rsidRPr="00A858D5">
        <w:t xml:space="preserve"> to the EU Taxonomy Regulation’s “Do No Significant Harm” (DNSH) </w:t>
      </w:r>
      <w:r w:rsidR="00E85049">
        <w:t>principle</w:t>
      </w:r>
      <w:r w:rsidR="00A858D5" w:rsidRPr="00A858D5">
        <w:t xml:space="preserve"> by excluding companies </w:t>
      </w:r>
      <w:r w:rsidR="00C25E65">
        <w:t xml:space="preserve">that </w:t>
      </w:r>
      <w:r w:rsidR="00A858D5" w:rsidRPr="00A858D5">
        <w:t xml:space="preserve">significantly harm at least one of the 6 </w:t>
      </w:r>
      <w:r w:rsidR="002E239F">
        <w:t>designated</w:t>
      </w:r>
      <w:r w:rsidR="002E239F" w:rsidRPr="00A858D5">
        <w:t xml:space="preserve"> </w:t>
      </w:r>
      <w:r w:rsidR="00A858D5" w:rsidRPr="00AA361E">
        <w:rPr>
          <w:u w:val="single"/>
        </w:rPr>
        <w:t>environmental</w:t>
      </w:r>
      <w:r w:rsidR="00A858D5" w:rsidRPr="00A858D5">
        <w:t xml:space="preserve"> objectives</w:t>
      </w:r>
      <w:r w:rsidR="00105882">
        <w:t xml:space="preserve">. </w:t>
      </w:r>
      <w:r w:rsidR="004458AF">
        <w:t xml:space="preserve">The purpose of such exclusion is to avoid </w:t>
      </w:r>
      <w:r w:rsidR="00CA02C9">
        <w:t>‘greenwas</w:t>
      </w:r>
      <w:r w:rsidR="002E239F">
        <w:t>h</w:t>
      </w:r>
      <w:r w:rsidR="00CA02C9">
        <w:t xml:space="preserve">ing’. </w:t>
      </w:r>
      <w:r w:rsidR="00D847C4">
        <w:t>Yet i</w:t>
      </w:r>
      <w:r w:rsidR="00CA02C9">
        <w:t xml:space="preserve">n this draft </w:t>
      </w:r>
      <w:r w:rsidR="00CF3626" w:rsidRPr="00CF3626">
        <w:t>SFDR Delegated Regulation</w:t>
      </w:r>
      <w:r w:rsidR="00CF3626">
        <w:t>, the ESAs took</w:t>
      </w:r>
      <w:r w:rsidR="00D847C4">
        <w:t xml:space="preserve"> it</w:t>
      </w:r>
      <w:r w:rsidR="00CF3626">
        <w:t xml:space="preserve"> upon them</w:t>
      </w:r>
      <w:r w:rsidR="00D847C4">
        <w:t>selves</w:t>
      </w:r>
      <w:r w:rsidR="00CF3626">
        <w:t xml:space="preserve"> to translate this</w:t>
      </w:r>
      <w:r w:rsidR="00D847C4">
        <w:t xml:space="preserve"> approach</w:t>
      </w:r>
      <w:r w:rsidR="00CF3626">
        <w:t xml:space="preserve"> into a </w:t>
      </w:r>
      <w:r w:rsidR="00C86784">
        <w:t>yet</w:t>
      </w:r>
      <w:r w:rsidR="00492473">
        <w:t xml:space="preserve">-to-be-established </w:t>
      </w:r>
      <w:r w:rsidR="00CF3626">
        <w:t xml:space="preserve">social </w:t>
      </w:r>
      <w:r w:rsidR="00C86784">
        <w:t>DNSH principle</w:t>
      </w:r>
      <w:r w:rsidR="00D847C4">
        <w:t>, arguably overstepping their mandate</w:t>
      </w:r>
      <w:r w:rsidR="00C86784">
        <w:t xml:space="preserve">. </w:t>
      </w:r>
      <w:r w:rsidR="00513A9A">
        <w:t>The question therefore is how tobacco, as a</w:t>
      </w:r>
      <w:r w:rsidR="00D847C4">
        <w:t>n entire</w:t>
      </w:r>
      <w:r w:rsidR="00513A9A">
        <w:t xml:space="preserve"> sector </w:t>
      </w:r>
      <w:r w:rsidR="00D847C4">
        <w:t>and lacking any granular discussion or differentiated review of the many companies, product categories, and global manufacturing processes and supply chains associated with the broader sector</w:t>
      </w:r>
      <w:r w:rsidR="00513A9A">
        <w:t xml:space="preserve">, is suddenly </w:t>
      </w:r>
      <w:r w:rsidR="00D847C4">
        <w:t xml:space="preserve">and, in ESTA’s view, unfairly singled out as wholly associated </w:t>
      </w:r>
      <w:r w:rsidR="00513A9A">
        <w:t xml:space="preserve">with </w:t>
      </w:r>
      <w:r w:rsidR="0042028B">
        <w:t>inadequate wages, gender inequalities</w:t>
      </w:r>
      <w:r w:rsidR="00497E85">
        <w:t xml:space="preserve"> or </w:t>
      </w:r>
      <w:r w:rsidR="00B66200">
        <w:t>interference with the formation of trade unions</w:t>
      </w:r>
      <w:r w:rsidR="004A4D81">
        <w:t>?</w:t>
      </w:r>
      <w:r w:rsidR="00E32186">
        <w:t xml:space="preserve"> The absence of differentiation between tobacco products does </w:t>
      </w:r>
      <w:r w:rsidR="00E32186" w:rsidRPr="00E32186">
        <w:t>not do justice to certain traditional</w:t>
      </w:r>
      <w:r w:rsidR="00E32186">
        <w:t xml:space="preserve">, niche </w:t>
      </w:r>
      <w:r w:rsidR="00E32186" w:rsidRPr="00E32186">
        <w:t>and cultural products</w:t>
      </w:r>
      <w:r w:rsidR="00E32186">
        <w:t xml:space="preserve"> that are recognised </w:t>
      </w:r>
      <w:r w:rsidR="00E32186" w:rsidRPr="00E32186">
        <w:t xml:space="preserve">as part of </w:t>
      </w:r>
      <w:r w:rsidR="00E32186">
        <w:t xml:space="preserve">several countries’ </w:t>
      </w:r>
      <w:r w:rsidR="00E32186" w:rsidRPr="00E32186">
        <w:t>Intangible Cultural Heritage</w:t>
      </w:r>
      <w:r w:rsidR="00E32186">
        <w:t xml:space="preserve">, such as pipe smoking in the Netherlands. </w:t>
      </w:r>
    </w:p>
    <w:p w14:paraId="22447A55" w14:textId="77777777" w:rsidR="00262A30" w:rsidRDefault="00262A30" w:rsidP="00105882">
      <w:pPr>
        <w:jc w:val="both"/>
      </w:pPr>
      <w:r w:rsidRPr="00536694">
        <w:t>In ESTA's views, tobacco cannot be associated with "controversial weapons", as these are defined as those that are prohibited from use or manufacture by international or national legal instruments. In Europe, tobacco is not a prohibited product to use or manufacture</w:t>
      </w:r>
      <w:r>
        <w:t xml:space="preserve">. </w:t>
      </w:r>
      <w:r w:rsidR="00543958">
        <w:t xml:space="preserve">Tobacco products </w:t>
      </w:r>
      <w:r w:rsidR="00D847C4">
        <w:t xml:space="preserve">in the EU </w:t>
      </w:r>
      <w:r w:rsidR="00543958">
        <w:t>are legal, regulated and taxed. A</w:t>
      </w:r>
      <w:r w:rsidR="00D847C4">
        <w:t>nd even with the acknowledged health risks associated with smoking,</w:t>
      </w:r>
      <w:r w:rsidR="00543958">
        <w:t xml:space="preserve"> </w:t>
      </w:r>
      <w:r w:rsidR="00D847C4">
        <w:t>it is neither fair no</w:t>
      </w:r>
      <w:r w:rsidR="00187CB3">
        <w:t>r</w:t>
      </w:r>
      <w:r w:rsidR="00D847C4">
        <w:t xml:space="preserve"> proportionate that </w:t>
      </w:r>
      <w:r w:rsidR="00543958">
        <w:t>tobacco compan</w:t>
      </w:r>
      <w:r w:rsidR="00D847C4">
        <w:t>ies</w:t>
      </w:r>
      <w:r w:rsidR="00543958">
        <w:t xml:space="preserve"> that </w:t>
      </w:r>
      <w:r w:rsidR="00D847C4">
        <w:t xml:space="preserve">otherwise </w:t>
      </w:r>
      <w:r w:rsidR="00543958">
        <w:t>compl</w:t>
      </w:r>
      <w:r w:rsidR="00D847C4">
        <w:t>y</w:t>
      </w:r>
      <w:r w:rsidR="00543958">
        <w:t xml:space="preserve"> with all existing laws </w:t>
      </w:r>
      <w:r w:rsidR="00D847C4">
        <w:t xml:space="preserve">and regulations </w:t>
      </w:r>
      <w:r w:rsidR="006362AC">
        <w:t xml:space="preserve">be </w:t>
      </w:r>
      <w:r w:rsidR="00590FCA">
        <w:t xml:space="preserve">de facto </w:t>
      </w:r>
      <w:r w:rsidR="006362AC">
        <w:t>deemed to be significantly harming society</w:t>
      </w:r>
      <w:r w:rsidR="00D847C4">
        <w:t xml:space="preserve"> across </w:t>
      </w:r>
      <w:r w:rsidR="00590FCA">
        <w:t>entire spectrum of issues and indicators covered within the EU’s new sustainability frameworks</w:t>
      </w:r>
      <w:r w:rsidR="006362AC">
        <w:t>.</w:t>
      </w:r>
      <w:r>
        <w:t xml:space="preserve"> </w:t>
      </w:r>
    </w:p>
    <w:p w14:paraId="5630541B" w14:textId="7FC3892C" w:rsidR="009B1F35" w:rsidRDefault="00590FCA" w:rsidP="00105882">
      <w:pPr>
        <w:jc w:val="both"/>
      </w:pPr>
      <w:r>
        <w:t>The</w:t>
      </w:r>
      <w:r w:rsidR="00DF0531">
        <w:t xml:space="preserve"> consultation document</w:t>
      </w:r>
      <w:r>
        <w:t xml:space="preserve"> itself notes this overreach when it remarks that</w:t>
      </w:r>
      <w:r w:rsidR="00DF0531">
        <w:t xml:space="preserve"> “</w:t>
      </w:r>
      <w:r w:rsidR="00DF0531" w:rsidRPr="00F07F52">
        <w:rPr>
          <w:i/>
          <w:iCs/>
        </w:rPr>
        <w:t>the ESAs have gone further than the explicit Commission mandate in the review of the RTS</w:t>
      </w:r>
      <w:r w:rsidR="00DF0531">
        <w:t xml:space="preserve">”. The suggested approach relating to tobacco </w:t>
      </w:r>
      <w:r w:rsidR="00DF0531" w:rsidRPr="00DF0531">
        <w:t xml:space="preserve">is </w:t>
      </w:r>
      <w:r>
        <w:t>thus rather a</w:t>
      </w:r>
      <w:r w:rsidR="00DF0531" w:rsidRPr="00DF0531">
        <w:t xml:space="preserve"> political initiative and a major </w:t>
      </w:r>
      <w:r>
        <w:t>intervention into other EU directives and regulations that already govern the tobacco sector and</w:t>
      </w:r>
      <w:r w:rsidR="00DF0531" w:rsidRPr="00DF0531">
        <w:t xml:space="preserve"> that </w:t>
      </w:r>
      <w:r w:rsidR="00DF0531">
        <w:t xml:space="preserve">should remain </w:t>
      </w:r>
      <w:r w:rsidR="00DF0531" w:rsidRPr="00DF0531">
        <w:t>the prerogative of</w:t>
      </w:r>
      <w:r w:rsidR="00DF0531">
        <w:t xml:space="preserve"> </w:t>
      </w:r>
      <w:r>
        <w:t>l</w:t>
      </w:r>
      <w:r w:rsidR="00DF0531" w:rsidRPr="00DF0531">
        <w:t>egislator</w:t>
      </w:r>
      <w:r>
        <w:t>s</w:t>
      </w:r>
      <w:r w:rsidR="00DF0531" w:rsidRPr="00DF0531">
        <w:t>.</w:t>
      </w:r>
      <w:r w:rsidR="00262A30">
        <w:t xml:space="preserve"> </w:t>
      </w:r>
      <w:r w:rsidR="00F67BD3">
        <w:t xml:space="preserve">Article </w:t>
      </w:r>
      <w:r w:rsidR="000E3386">
        <w:t>4(7) of the SF</w:t>
      </w:r>
      <w:r w:rsidR="00DF0AAF">
        <w:t>D</w:t>
      </w:r>
      <w:r w:rsidR="000E3386">
        <w:t>R require</w:t>
      </w:r>
      <w:r w:rsidR="005B2594">
        <w:t>s</w:t>
      </w:r>
      <w:r w:rsidR="000E3386">
        <w:t xml:space="preserve"> the ESAs to dev</w:t>
      </w:r>
      <w:r w:rsidR="00B62CE2">
        <w:t>elop</w:t>
      </w:r>
      <w:r w:rsidR="000E3386">
        <w:t xml:space="preserve"> </w:t>
      </w:r>
      <w:r w:rsidR="00B62CE2">
        <w:t>r</w:t>
      </w:r>
      <w:r w:rsidR="00F67BD3" w:rsidRPr="00F67BD3">
        <w:t>egulatory technical standards</w:t>
      </w:r>
      <w:r w:rsidR="00A676EC">
        <w:t xml:space="preserve"> which</w:t>
      </w:r>
      <w:r w:rsidR="00704C13">
        <w:t xml:space="preserve"> </w:t>
      </w:r>
      <w:r w:rsidR="00704C13" w:rsidRPr="00704C13">
        <w:t>shall not imply strategic decisions or policy choices</w:t>
      </w:r>
      <w:r w:rsidR="00822395">
        <w:t xml:space="preserve"> as these do fall within the scope of the delegation of power.</w:t>
      </w:r>
    </w:p>
    <w:p w14:paraId="18C0104B" w14:textId="3C6CE5F2" w:rsidR="00716482" w:rsidRDefault="0052220C" w:rsidP="00105882">
      <w:pPr>
        <w:jc w:val="both"/>
      </w:pPr>
      <w:r>
        <w:t xml:space="preserve">Finally, </w:t>
      </w:r>
      <w:r w:rsidR="005C556E">
        <w:t xml:space="preserve">the proposed </w:t>
      </w:r>
      <w:r w:rsidR="00A5740E">
        <w:t xml:space="preserve">wording </w:t>
      </w:r>
      <w:r w:rsidR="005C556E">
        <w:t>for the indicator is very unclear</w:t>
      </w:r>
      <w:r w:rsidR="007419EF">
        <w:t xml:space="preserve"> and is likely to contribute to confusion and a potentially arbitrary approach in its application</w:t>
      </w:r>
      <w:r w:rsidR="005C556E">
        <w:t xml:space="preserve">. It refers to companies ‘involved in </w:t>
      </w:r>
      <w:r w:rsidR="00694177">
        <w:t>the cultivation and production of tobacco’ but</w:t>
      </w:r>
      <w:r w:rsidR="00A5740E">
        <w:t xml:space="preserve"> without specifying the types of involvement</w:t>
      </w:r>
      <w:r w:rsidR="007419EF">
        <w:t>, nor the substantial differentiation within the sector, already noted above</w:t>
      </w:r>
      <w:r w:rsidR="00A5740E">
        <w:t xml:space="preserve">. </w:t>
      </w:r>
    </w:p>
    <w:permEnd w:id="1348034591"/>
    <w:p w14:paraId="48EE2711" w14:textId="3738CA92" w:rsidR="009C41BB" w:rsidRDefault="009C41BB" w:rsidP="00105882">
      <w:pPr>
        <w:jc w:val="both"/>
      </w:pPr>
      <w:r>
        <w:t>&lt;ESMA_QUESTION_SFDR_1&gt;</w:t>
      </w:r>
    </w:p>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6DEDC5E7" w:rsidR="009C41BB" w:rsidRDefault="00B63D90" w:rsidP="009C41BB">
      <w:permStart w:id="1140268191" w:edGrp="everyone"/>
      <w:r>
        <w:t xml:space="preserve">Based on the above, ESTA recommends deleting </w:t>
      </w:r>
      <w:r w:rsidR="00F90CC8">
        <w:t>the proposed social indicator</w:t>
      </w:r>
      <w:r w:rsidR="00155B96">
        <w:t xml:space="preserve"> and accompanying formula </w:t>
      </w:r>
      <w:r w:rsidR="00704CB9" w:rsidRPr="00704CB9">
        <w:t>that pertain</w:t>
      </w:r>
      <w:r w:rsidR="007419EF">
        <w:t>s</w:t>
      </w:r>
      <w:r w:rsidR="00704CB9" w:rsidRPr="00704CB9">
        <w:t xml:space="preserve"> to </w:t>
      </w:r>
      <w:r w:rsidR="007419EF">
        <w:t>“</w:t>
      </w:r>
      <w:r w:rsidR="00704CB9" w:rsidRPr="00704CB9">
        <w:t>involvement in the cultivation and production</w:t>
      </w:r>
      <w:r w:rsidR="00704CB9">
        <w:t xml:space="preserve"> of tobacco products</w:t>
      </w:r>
      <w:r w:rsidR="007419EF">
        <w:t>”.</w:t>
      </w:r>
    </w:p>
    <w:permEnd w:id="1140268191"/>
    <w:p w14:paraId="7446D4C6" w14:textId="77777777" w:rsidR="009C41BB" w:rsidRDefault="009C41BB" w:rsidP="009C41BB">
      <w:r>
        <w:lastRenderedPageBreak/>
        <w:t>&lt;ESMA_QUESTION_SFDR_2&gt;</w:t>
      </w:r>
    </w:p>
    <w:p w14:paraId="5C5DB35A" w14:textId="77777777" w:rsidR="009C41BB" w:rsidRDefault="009C41BB" w:rsidP="009C41BB"/>
    <w:p w14:paraId="11B6749E" w14:textId="78CA591D" w:rsidR="009C41BB" w:rsidRDefault="009C41BB" w:rsidP="009C41BB">
      <w:pPr>
        <w:pStyle w:val="Questionstyle"/>
        <w:numPr>
          <w:ilvl w:val="0"/>
          <w:numId w:val="42"/>
        </w:numPr>
      </w:pPr>
      <w:bookmarkStart w:id="2" w:name="_Hlk131609830"/>
      <w:r>
        <w:t xml:space="preserve">: Do you agree with the newly proposed opt-in social indicators in </w:t>
      </w:r>
      <w:proofErr w:type="spellStart"/>
      <w:r>
        <w:t>Annx</w:t>
      </w:r>
      <w:proofErr w:type="spellEnd"/>
      <w:r>
        <w:t xml:space="preserve">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77777777" w:rsidR="009C41BB" w:rsidRDefault="009C41BB" w:rsidP="009C41BB">
      <w:permStart w:id="1930569352" w:edGrp="everyone"/>
      <w:r>
        <w:t>TYPE YOUR TEXT HERE</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77777777" w:rsidR="009C41BB" w:rsidRDefault="009C41BB" w:rsidP="009C41BB">
      <w:permStart w:id="2056993415" w:edGrp="everyone"/>
      <w:r>
        <w:t>TYPE YOUR TEXT HERE</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7777777" w:rsidR="009C41BB" w:rsidRDefault="009C41BB" w:rsidP="009C41BB">
      <w:permStart w:id="452221127" w:edGrp="everyone"/>
      <w:r>
        <w:t>TYPE YOUR TEXT HERE</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lastRenderedPageBreak/>
        <w:t>&lt;ESMA_QUESTION_SFDR_6&gt;</w:t>
      </w:r>
    </w:p>
    <w:p w14:paraId="13CBEF29" w14:textId="77777777"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lastRenderedPageBreak/>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77777777" w:rsidR="009C41BB" w:rsidRDefault="009C41BB" w:rsidP="009C41BB">
      <w:permStart w:id="1426525783" w:edGrp="everyone"/>
      <w:r>
        <w:t>TYPE YOUR TEXT HERE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Do you agree with the proposed treatment of derivatives in the PAI indicators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77777777" w:rsidR="009C41BB" w:rsidRDefault="009C41BB" w:rsidP="009C41BB">
      <w:permStart w:id="791154279" w:edGrp="everyone"/>
      <w:r>
        <w:t>TYPE YOUR TEXT HERE</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7777777" w:rsidR="009C41BB" w:rsidRDefault="009C41BB" w:rsidP="009C41BB">
      <w:permStart w:id="984368250" w:edGrp="everyone"/>
      <w:r>
        <w:t>TYPE YOUR TEXT HERE</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lastRenderedPageBreak/>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w:t>
      </w:r>
      <w:r>
        <w:lastRenderedPageBreak/>
        <w:t xml:space="preserve">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lastRenderedPageBreak/>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lastRenderedPageBreak/>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lastRenderedPageBreak/>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xml:space="preserve">: What are the criteria the ESAs should consider when defining which information should be disclosed in a machine-readable format? Do you have any views at this stage as to which machine-readable format should be used? What </w:t>
      </w:r>
      <w:r>
        <w:lastRenderedPageBreak/>
        <w:t>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1462" w14:textId="77777777" w:rsidR="0096675C" w:rsidRDefault="0096675C" w:rsidP="00707738">
      <w:pPr>
        <w:spacing w:after="0" w:line="240" w:lineRule="auto"/>
      </w:pPr>
      <w:r>
        <w:separator/>
      </w:r>
    </w:p>
  </w:endnote>
  <w:endnote w:type="continuationSeparator" w:id="0">
    <w:p w14:paraId="209B7D16" w14:textId="77777777" w:rsidR="0096675C" w:rsidRDefault="0096675C"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3B8C" w14:textId="77777777" w:rsidR="0096675C" w:rsidRDefault="0096675C" w:rsidP="00707738">
      <w:pPr>
        <w:spacing w:after="0" w:line="240" w:lineRule="auto"/>
      </w:pPr>
      <w:r>
        <w:separator/>
      </w:r>
    </w:p>
  </w:footnote>
  <w:footnote w:type="continuationSeparator" w:id="0">
    <w:p w14:paraId="59B79F90" w14:textId="77777777" w:rsidR="0096675C" w:rsidRDefault="0096675C"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2">
    <w:p w14:paraId="6F56D8EC" w14:textId="1A0AC20D" w:rsidR="00822395" w:rsidRDefault="00822395" w:rsidP="00FB2EA4">
      <w:pPr>
        <w:pStyle w:val="FootnoteText"/>
        <w:jc w:val="both"/>
      </w:pPr>
      <w:r w:rsidRPr="00FB2EA4">
        <w:rPr>
          <w:rStyle w:val="FootnoteReference"/>
          <w:sz w:val="18"/>
          <w:szCs w:val="18"/>
        </w:rPr>
        <w:footnoteRef/>
      </w:r>
      <w:r w:rsidRPr="00FB2EA4">
        <w:rPr>
          <w:sz w:val="18"/>
          <w:szCs w:val="18"/>
        </w:rPr>
        <w:t xml:space="preserve"> </w:t>
      </w:r>
      <w:r w:rsidR="00FB2EA4" w:rsidRPr="00FB2EA4">
        <w:rPr>
          <w:sz w:val="18"/>
          <w:szCs w:val="18"/>
        </w:rPr>
        <w:t>ESTA represents the interest of its members, which are mainly smaller and mid-sized tobacco companies that manufacture and/or distribute fine-cut tobacco (FCT), pipe tobacco and traditional European chewing tobacco and nasal snuff tobacco. Many of these companies are family-owned, and have been for multiple generations, with several for more than a century. Their factories are still based in the same localities as where they were started in the more rural regions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67B26"/>
    <w:rsid w:val="00072418"/>
    <w:rsid w:val="00072A71"/>
    <w:rsid w:val="00073F2F"/>
    <w:rsid w:val="0007642F"/>
    <w:rsid w:val="00076B4F"/>
    <w:rsid w:val="0008625B"/>
    <w:rsid w:val="00087A33"/>
    <w:rsid w:val="00091187"/>
    <w:rsid w:val="0009209F"/>
    <w:rsid w:val="00093282"/>
    <w:rsid w:val="00095CCD"/>
    <w:rsid w:val="00095E45"/>
    <w:rsid w:val="00097757"/>
    <w:rsid w:val="000A14D4"/>
    <w:rsid w:val="000A1AA6"/>
    <w:rsid w:val="000A389E"/>
    <w:rsid w:val="000B1B7E"/>
    <w:rsid w:val="000B1B90"/>
    <w:rsid w:val="000B2D70"/>
    <w:rsid w:val="000B4672"/>
    <w:rsid w:val="000B5823"/>
    <w:rsid w:val="000B64DA"/>
    <w:rsid w:val="000B6506"/>
    <w:rsid w:val="000C2820"/>
    <w:rsid w:val="000C76A0"/>
    <w:rsid w:val="000D081D"/>
    <w:rsid w:val="000D274A"/>
    <w:rsid w:val="000D5DA1"/>
    <w:rsid w:val="000D71AD"/>
    <w:rsid w:val="000E09A3"/>
    <w:rsid w:val="000E0F53"/>
    <w:rsid w:val="000E148B"/>
    <w:rsid w:val="000E3386"/>
    <w:rsid w:val="000F0320"/>
    <w:rsid w:val="000F116E"/>
    <w:rsid w:val="000F2312"/>
    <w:rsid w:val="000F2E76"/>
    <w:rsid w:val="000F3513"/>
    <w:rsid w:val="000F48C0"/>
    <w:rsid w:val="000F5DF6"/>
    <w:rsid w:val="001009E1"/>
    <w:rsid w:val="0010295A"/>
    <w:rsid w:val="00103CDF"/>
    <w:rsid w:val="001043B5"/>
    <w:rsid w:val="00105882"/>
    <w:rsid w:val="00111EE2"/>
    <w:rsid w:val="00114AE5"/>
    <w:rsid w:val="00115964"/>
    <w:rsid w:val="00117F89"/>
    <w:rsid w:val="00121F7F"/>
    <w:rsid w:val="00122C81"/>
    <w:rsid w:val="00122E10"/>
    <w:rsid w:val="001275B5"/>
    <w:rsid w:val="001276AF"/>
    <w:rsid w:val="00130308"/>
    <w:rsid w:val="00131559"/>
    <w:rsid w:val="0013460E"/>
    <w:rsid w:val="00134EFB"/>
    <w:rsid w:val="0013601B"/>
    <w:rsid w:val="001414C8"/>
    <w:rsid w:val="00142894"/>
    <w:rsid w:val="00145AC7"/>
    <w:rsid w:val="00151DA2"/>
    <w:rsid w:val="00152987"/>
    <w:rsid w:val="00154193"/>
    <w:rsid w:val="00155B96"/>
    <w:rsid w:val="00157759"/>
    <w:rsid w:val="00161F7C"/>
    <w:rsid w:val="00163CAA"/>
    <w:rsid w:val="00171CC5"/>
    <w:rsid w:val="00171F53"/>
    <w:rsid w:val="001732F3"/>
    <w:rsid w:val="0017367A"/>
    <w:rsid w:val="001766CB"/>
    <w:rsid w:val="00180B29"/>
    <w:rsid w:val="00184522"/>
    <w:rsid w:val="001845DA"/>
    <w:rsid w:val="001846C3"/>
    <w:rsid w:val="0018499A"/>
    <w:rsid w:val="00184EE6"/>
    <w:rsid w:val="00185016"/>
    <w:rsid w:val="00185CBB"/>
    <w:rsid w:val="00185FAB"/>
    <w:rsid w:val="001860F3"/>
    <w:rsid w:val="00187CB3"/>
    <w:rsid w:val="0019445C"/>
    <w:rsid w:val="001A31CA"/>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2513"/>
    <w:rsid w:val="001E55A7"/>
    <w:rsid w:val="001E7466"/>
    <w:rsid w:val="001F049E"/>
    <w:rsid w:val="001F0D95"/>
    <w:rsid w:val="001F0E3F"/>
    <w:rsid w:val="001F0EE1"/>
    <w:rsid w:val="001F1F4E"/>
    <w:rsid w:val="001F204C"/>
    <w:rsid w:val="001F3FCA"/>
    <w:rsid w:val="001F7A65"/>
    <w:rsid w:val="00204003"/>
    <w:rsid w:val="002045E4"/>
    <w:rsid w:val="00205962"/>
    <w:rsid w:val="00206F76"/>
    <w:rsid w:val="002101BC"/>
    <w:rsid w:val="0021224B"/>
    <w:rsid w:val="00214016"/>
    <w:rsid w:val="0022080C"/>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378B"/>
    <w:rsid w:val="00254757"/>
    <w:rsid w:val="002554C6"/>
    <w:rsid w:val="00256770"/>
    <w:rsid w:val="00262A30"/>
    <w:rsid w:val="00262BC4"/>
    <w:rsid w:val="00263177"/>
    <w:rsid w:val="00270481"/>
    <w:rsid w:val="002724C2"/>
    <w:rsid w:val="002742CC"/>
    <w:rsid w:val="00276971"/>
    <w:rsid w:val="00276D48"/>
    <w:rsid w:val="00281EC6"/>
    <w:rsid w:val="00283F72"/>
    <w:rsid w:val="00285AAD"/>
    <w:rsid w:val="00286684"/>
    <w:rsid w:val="00294F4A"/>
    <w:rsid w:val="00297997"/>
    <w:rsid w:val="002A3A96"/>
    <w:rsid w:val="002A52F1"/>
    <w:rsid w:val="002B20AC"/>
    <w:rsid w:val="002B7CAB"/>
    <w:rsid w:val="002C5816"/>
    <w:rsid w:val="002C6DB7"/>
    <w:rsid w:val="002D2AF8"/>
    <w:rsid w:val="002D4E1F"/>
    <w:rsid w:val="002D5C2E"/>
    <w:rsid w:val="002D6035"/>
    <w:rsid w:val="002D609E"/>
    <w:rsid w:val="002D64A2"/>
    <w:rsid w:val="002D7006"/>
    <w:rsid w:val="002D7454"/>
    <w:rsid w:val="002E18B7"/>
    <w:rsid w:val="002E239F"/>
    <w:rsid w:val="002E3A1C"/>
    <w:rsid w:val="002E552F"/>
    <w:rsid w:val="002F16EA"/>
    <w:rsid w:val="002F49D1"/>
    <w:rsid w:val="002F545F"/>
    <w:rsid w:val="002F6A5D"/>
    <w:rsid w:val="002F6DAD"/>
    <w:rsid w:val="0030106B"/>
    <w:rsid w:val="0030193C"/>
    <w:rsid w:val="00302124"/>
    <w:rsid w:val="0030468D"/>
    <w:rsid w:val="0030477B"/>
    <w:rsid w:val="00304BA4"/>
    <w:rsid w:val="00306553"/>
    <w:rsid w:val="003065F3"/>
    <w:rsid w:val="00306795"/>
    <w:rsid w:val="00310EEC"/>
    <w:rsid w:val="00311609"/>
    <w:rsid w:val="003118A8"/>
    <w:rsid w:val="00312973"/>
    <w:rsid w:val="00314878"/>
    <w:rsid w:val="003149D4"/>
    <w:rsid w:val="00314A34"/>
    <w:rsid w:val="003169AC"/>
    <w:rsid w:val="003231B7"/>
    <w:rsid w:val="00324938"/>
    <w:rsid w:val="00327A8B"/>
    <w:rsid w:val="00330F6D"/>
    <w:rsid w:val="00341A52"/>
    <w:rsid w:val="003450BC"/>
    <w:rsid w:val="003458EC"/>
    <w:rsid w:val="0034665F"/>
    <w:rsid w:val="003478C9"/>
    <w:rsid w:val="00351678"/>
    <w:rsid w:val="00351724"/>
    <w:rsid w:val="00352F26"/>
    <w:rsid w:val="00354021"/>
    <w:rsid w:val="00354A9E"/>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0755B"/>
    <w:rsid w:val="00412F27"/>
    <w:rsid w:val="004151B3"/>
    <w:rsid w:val="00416727"/>
    <w:rsid w:val="0042028B"/>
    <w:rsid w:val="00420313"/>
    <w:rsid w:val="00422AB6"/>
    <w:rsid w:val="00423C2C"/>
    <w:rsid w:val="00423DE4"/>
    <w:rsid w:val="0042417C"/>
    <w:rsid w:val="004253C7"/>
    <w:rsid w:val="00425C62"/>
    <w:rsid w:val="00426F1B"/>
    <w:rsid w:val="0043036A"/>
    <w:rsid w:val="0043054B"/>
    <w:rsid w:val="004354C6"/>
    <w:rsid w:val="00435862"/>
    <w:rsid w:val="00435B8B"/>
    <w:rsid w:val="004367EA"/>
    <w:rsid w:val="00436CF3"/>
    <w:rsid w:val="004379A0"/>
    <w:rsid w:val="004415A2"/>
    <w:rsid w:val="004458AF"/>
    <w:rsid w:val="00446733"/>
    <w:rsid w:val="00452FA3"/>
    <w:rsid w:val="00454488"/>
    <w:rsid w:val="0045475E"/>
    <w:rsid w:val="00454BF0"/>
    <w:rsid w:val="004567D1"/>
    <w:rsid w:val="00463478"/>
    <w:rsid w:val="004678B2"/>
    <w:rsid w:val="00473535"/>
    <w:rsid w:val="00473C6D"/>
    <w:rsid w:val="0047433B"/>
    <w:rsid w:val="00476C6C"/>
    <w:rsid w:val="00476EF6"/>
    <w:rsid w:val="00484804"/>
    <w:rsid w:val="0048489F"/>
    <w:rsid w:val="00484A94"/>
    <w:rsid w:val="004879B9"/>
    <w:rsid w:val="004904E4"/>
    <w:rsid w:val="00491003"/>
    <w:rsid w:val="004916CB"/>
    <w:rsid w:val="00492473"/>
    <w:rsid w:val="004933D4"/>
    <w:rsid w:val="0049373C"/>
    <w:rsid w:val="004957D4"/>
    <w:rsid w:val="00495A99"/>
    <w:rsid w:val="00496D11"/>
    <w:rsid w:val="004970A6"/>
    <w:rsid w:val="00497E85"/>
    <w:rsid w:val="004A00C7"/>
    <w:rsid w:val="004A05E0"/>
    <w:rsid w:val="004A3E05"/>
    <w:rsid w:val="004A415A"/>
    <w:rsid w:val="004A4D81"/>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5EA"/>
    <w:rsid w:val="005077DE"/>
    <w:rsid w:val="00507F10"/>
    <w:rsid w:val="00510588"/>
    <w:rsid w:val="00513A9A"/>
    <w:rsid w:val="00514995"/>
    <w:rsid w:val="00514C90"/>
    <w:rsid w:val="00515F4D"/>
    <w:rsid w:val="0051785F"/>
    <w:rsid w:val="005204E8"/>
    <w:rsid w:val="0052220C"/>
    <w:rsid w:val="005239A4"/>
    <w:rsid w:val="00526261"/>
    <w:rsid w:val="00526B2E"/>
    <w:rsid w:val="00526FAE"/>
    <w:rsid w:val="00531760"/>
    <w:rsid w:val="00534E5F"/>
    <w:rsid w:val="00536694"/>
    <w:rsid w:val="005375B9"/>
    <w:rsid w:val="00537DC3"/>
    <w:rsid w:val="0054143E"/>
    <w:rsid w:val="005418F4"/>
    <w:rsid w:val="00542EC9"/>
    <w:rsid w:val="0054375F"/>
    <w:rsid w:val="00543958"/>
    <w:rsid w:val="00544090"/>
    <w:rsid w:val="0054452A"/>
    <w:rsid w:val="00544A57"/>
    <w:rsid w:val="00550083"/>
    <w:rsid w:val="005539D6"/>
    <w:rsid w:val="005542F6"/>
    <w:rsid w:val="00556DA3"/>
    <w:rsid w:val="00560224"/>
    <w:rsid w:val="0056088A"/>
    <w:rsid w:val="00562C26"/>
    <w:rsid w:val="00563B47"/>
    <w:rsid w:val="0056423C"/>
    <w:rsid w:val="00571000"/>
    <w:rsid w:val="00571C29"/>
    <w:rsid w:val="00575074"/>
    <w:rsid w:val="00575B33"/>
    <w:rsid w:val="00584255"/>
    <w:rsid w:val="00584F5F"/>
    <w:rsid w:val="005877E5"/>
    <w:rsid w:val="00590FCA"/>
    <w:rsid w:val="005927C1"/>
    <w:rsid w:val="005943E6"/>
    <w:rsid w:val="00594DEE"/>
    <w:rsid w:val="005A00EE"/>
    <w:rsid w:val="005A09F6"/>
    <w:rsid w:val="005A14CA"/>
    <w:rsid w:val="005A2F72"/>
    <w:rsid w:val="005A4590"/>
    <w:rsid w:val="005A469A"/>
    <w:rsid w:val="005A494B"/>
    <w:rsid w:val="005A61AC"/>
    <w:rsid w:val="005B00F8"/>
    <w:rsid w:val="005B2594"/>
    <w:rsid w:val="005B6CD1"/>
    <w:rsid w:val="005B7150"/>
    <w:rsid w:val="005C068C"/>
    <w:rsid w:val="005C1B6F"/>
    <w:rsid w:val="005C1CB4"/>
    <w:rsid w:val="005C2DDB"/>
    <w:rsid w:val="005C3383"/>
    <w:rsid w:val="005C556E"/>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479D"/>
    <w:rsid w:val="00606D3D"/>
    <w:rsid w:val="0061617E"/>
    <w:rsid w:val="00620231"/>
    <w:rsid w:val="006203E8"/>
    <w:rsid w:val="006225D4"/>
    <w:rsid w:val="00622EFB"/>
    <w:rsid w:val="0062470F"/>
    <w:rsid w:val="006248E6"/>
    <w:rsid w:val="0062587F"/>
    <w:rsid w:val="00625B61"/>
    <w:rsid w:val="00626633"/>
    <w:rsid w:val="00633F49"/>
    <w:rsid w:val="006362AC"/>
    <w:rsid w:val="0063667D"/>
    <w:rsid w:val="0063709B"/>
    <w:rsid w:val="006373CB"/>
    <w:rsid w:val="00637DDA"/>
    <w:rsid w:val="00647BF8"/>
    <w:rsid w:val="00656701"/>
    <w:rsid w:val="00656753"/>
    <w:rsid w:val="00657D98"/>
    <w:rsid w:val="00657F93"/>
    <w:rsid w:val="00661297"/>
    <w:rsid w:val="00663F03"/>
    <w:rsid w:val="00671DC9"/>
    <w:rsid w:val="00671FD9"/>
    <w:rsid w:val="006727C3"/>
    <w:rsid w:val="00672A40"/>
    <w:rsid w:val="00673304"/>
    <w:rsid w:val="006769D9"/>
    <w:rsid w:val="00677CA7"/>
    <w:rsid w:val="00677FC6"/>
    <w:rsid w:val="006822CF"/>
    <w:rsid w:val="00682BBC"/>
    <w:rsid w:val="00682F93"/>
    <w:rsid w:val="006830F3"/>
    <w:rsid w:val="00683352"/>
    <w:rsid w:val="00683DD4"/>
    <w:rsid w:val="00684098"/>
    <w:rsid w:val="00687BAA"/>
    <w:rsid w:val="006905AA"/>
    <w:rsid w:val="00692152"/>
    <w:rsid w:val="00693B5E"/>
    <w:rsid w:val="00694177"/>
    <w:rsid w:val="00694939"/>
    <w:rsid w:val="00694B6C"/>
    <w:rsid w:val="0069515A"/>
    <w:rsid w:val="00697256"/>
    <w:rsid w:val="0069788F"/>
    <w:rsid w:val="006A0940"/>
    <w:rsid w:val="006A23E6"/>
    <w:rsid w:val="006A54C3"/>
    <w:rsid w:val="006A56A1"/>
    <w:rsid w:val="006A6429"/>
    <w:rsid w:val="006B095A"/>
    <w:rsid w:val="006B3515"/>
    <w:rsid w:val="006B656A"/>
    <w:rsid w:val="006B7BD8"/>
    <w:rsid w:val="006C4483"/>
    <w:rsid w:val="006C4FB1"/>
    <w:rsid w:val="006C523F"/>
    <w:rsid w:val="006C642C"/>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C13"/>
    <w:rsid w:val="00704CB9"/>
    <w:rsid w:val="00704FE8"/>
    <w:rsid w:val="0070560B"/>
    <w:rsid w:val="007063B1"/>
    <w:rsid w:val="00706AA9"/>
    <w:rsid w:val="00707738"/>
    <w:rsid w:val="00710360"/>
    <w:rsid w:val="00710682"/>
    <w:rsid w:val="0071268A"/>
    <w:rsid w:val="007130B0"/>
    <w:rsid w:val="00714637"/>
    <w:rsid w:val="00714D3E"/>
    <w:rsid w:val="0071508A"/>
    <w:rsid w:val="00716482"/>
    <w:rsid w:val="00722336"/>
    <w:rsid w:val="00724DAA"/>
    <w:rsid w:val="00726DD9"/>
    <w:rsid w:val="007317EE"/>
    <w:rsid w:val="00732E59"/>
    <w:rsid w:val="00733747"/>
    <w:rsid w:val="00733B83"/>
    <w:rsid w:val="0074179A"/>
    <w:rsid w:val="007419EF"/>
    <w:rsid w:val="00745400"/>
    <w:rsid w:val="00745A34"/>
    <w:rsid w:val="00746039"/>
    <w:rsid w:val="007477AD"/>
    <w:rsid w:val="007509CE"/>
    <w:rsid w:val="007526CF"/>
    <w:rsid w:val="0075328B"/>
    <w:rsid w:val="007532A1"/>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042"/>
    <w:rsid w:val="0079065E"/>
    <w:rsid w:val="00792796"/>
    <w:rsid w:val="00795DD3"/>
    <w:rsid w:val="00797088"/>
    <w:rsid w:val="007976F0"/>
    <w:rsid w:val="007A09F7"/>
    <w:rsid w:val="007A1D4E"/>
    <w:rsid w:val="007A5215"/>
    <w:rsid w:val="007A5DB4"/>
    <w:rsid w:val="007B1101"/>
    <w:rsid w:val="007B1EE9"/>
    <w:rsid w:val="007B2568"/>
    <w:rsid w:val="007B4C9B"/>
    <w:rsid w:val="007B53D4"/>
    <w:rsid w:val="007B58FA"/>
    <w:rsid w:val="007B6D83"/>
    <w:rsid w:val="007B6FE8"/>
    <w:rsid w:val="007B70CC"/>
    <w:rsid w:val="007C0FBC"/>
    <w:rsid w:val="007C3375"/>
    <w:rsid w:val="007C4BA8"/>
    <w:rsid w:val="007C6D1D"/>
    <w:rsid w:val="007D1F5E"/>
    <w:rsid w:val="007D4841"/>
    <w:rsid w:val="007D655B"/>
    <w:rsid w:val="007D656F"/>
    <w:rsid w:val="007D765D"/>
    <w:rsid w:val="007D7D6A"/>
    <w:rsid w:val="007D7F26"/>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22395"/>
    <w:rsid w:val="00831CD3"/>
    <w:rsid w:val="00833CF1"/>
    <w:rsid w:val="00834416"/>
    <w:rsid w:val="008409D8"/>
    <w:rsid w:val="00841231"/>
    <w:rsid w:val="00841C9C"/>
    <w:rsid w:val="00844083"/>
    <w:rsid w:val="00850751"/>
    <w:rsid w:val="00852C6B"/>
    <w:rsid w:val="00853E06"/>
    <w:rsid w:val="00855F28"/>
    <w:rsid w:val="00856495"/>
    <w:rsid w:val="008569CD"/>
    <w:rsid w:val="008643A4"/>
    <w:rsid w:val="00865338"/>
    <w:rsid w:val="008719FE"/>
    <w:rsid w:val="00875FB6"/>
    <w:rsid w:val="008836D6"/>
    <w:rsid w:val="00883EB8"/>
    <w:rsid w:val="008852C9"/>
    <w:rsid w:val="0088596C"/>
    <w:rsid w:val="0088693B"/>
    <w:rsid w:val="008935D2"/>
    <w:rsid w:val="008A4900"/>
    <w:rsid w:val="008A62FE"/>
    <w:rsid w:val="008A6C4F"/>
    <w:rsid w:val="008A70F0"/>
    <w:rsid w:val="008B3621"/>
    <w:rsid w:val="008B3F2E"/>
    <w:rsid w:val="008B5E48"/>
    <w:rsid w:val="008C3692"/>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0FEC"/>
    <w:rsid w:val="00962745"/>
    <w:rsid w:val="00962CF5"/>
    <w:rsid w:val="00965447"/>
    <w:rsid w:val="00965995"/>
    <w:rsid w:val="0096626E"/>
    <w:rsid w:val="0096675C"/>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1F35"/>
    <w:rsid w:val="009B271D"/>
    <w:rsid w:val="009B31FD"/>
    <w:rsid w:val="009B37E5"/>
    <w:rsid w:val="009B4F2A"/>
    <w:rsid w:val="009B6E02"/>
    <w:rsid w:val="009C08AC"/>
    <w:rsid w:val="009C0C3E"/>
    <w:rsid w:val="009C260C"/>
    <w:rsid w:val="009C41BB"/>
    <w:rsid w:val="009C50B0"/>
    <w:rsid w:val="009D47B6"/>
    <w:rsid w:val="009D48A7"/>
    <w:rsid w:val="009D5692"/>
    <w:rsid w:val="009E545A"/>
    <w:rsid w:val="009E7CF6"/>
    <w:rsid w:val="009F0CD6"/>
    <w:rsid w:val="009F1DFD"/>
    <w:rsid w:val="009F3D64"/>
    <w:rsid w:val="009F4FA5"/>
    <w:rsid w:val="009F5660"/>
    <w:rsid w:val="00A006A3"/>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13E3"/>
    <w:rsid w:val="00A520DD"/>
    <w:rsid w:val="00A54E20"/>
    <w:rsid w:val="00A5740E"/>
    <w:rsid w:val="00A62138"/>
    <w:rsid w:val="00A676EC"/>
    <w:rsid w:val="00A73E4E"/>
    <w:rsid w:val="00A773FB"/>
    <w:rsid w:val="00A8089C"/>
    <w:rsid w:val="00A80C70"/>
    <w:rsid w:val="00A80FCD"/>
    <w:rsid w:val="00A822CD"/>
    <w:rsid w:val="00A8348C"/>
    <w:rsid w:val="00A83ED5"/>
    <w:rsid w:val="00A858D5"/>
    <w:rsid w:val="00A9023A"/>
    <w:rsid w:val="00A92500"/>
    <w:rsid w:val="00A94E8C"/>
    <w:rsid w:val="00AA361E"/>
    <w:rsid w:val="00AA39EE"/>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8A4"/>
    <w:rsid w:val="00AE6A16"/>
    <w:rsid w:val="00AE779B"/>
    <w:rsid w:val="00AF0623"/>
    <w:rsid w:val="00AF247C"/>
    <w:rsid w:val="00AF2DF7"/>
    <w:rsid w:val="00AF7314"/>
    <w:rsid w:val="00AF7348"/>
    <w:rsid w:val="00B00142"/>
    <w:rsid w:val="00B013DD"/>
    <w:rsid w:val="00B023CC"/>
    <w:rsid w:val="00B04229"/>
    <w:rsid w:val="00B0621B"/>
    <w:rsid w:val="00B067E8"/>
    <w:rsid w:val="00B073CC"/>
    <w:rsid w:val="00B14E19"/>
    <w:rsid w:val="00B150DB"/>
    <w:rsid w:val="00B154E2"/>
    <w:rsid w:val="00B15CE6"/>
    <w:rsid w:val="00B2210D"/>
    <w:rsid w:val="00B2293E"/>
    <w:rsid w:val="00B2323A"/>
    <w:rsid w:val="00B2344E"/>
    <w:rsid w:val="00B26885"/>
    <w:rsid w:val="00B31E1B"/>
    <w:rsid w:val="00B329F8"/>
    <w:rsid w:val="00B32FA4"/>
    <w:rsid w:val="00B4705A"/>
    <w:rsid w:val="00B53150"/>
    <w:rsid w:val="00B54016"/>
    <w:rsid w:val="00B55EEB"/>
    <w:rsid w:val="00B5756F"/>
    <w:rsid w:val="00B60A46"/>
    <w:rsid w:val="00B62CE2"/>
    <w:rsid w:val="00B63D90"/>
    <w:rsid w:val="00B63E25"/>
    <w:rsid w:val="00B66200"/>
    <w:rsid w:val="00B66A6F"/>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288"/>
    <w:rsid w:val="00BC678A"/>
    <w:rsid w:val="00BC7AE8"/>
    <w:rsid w:val="00BC7FEF"/>
    <w:rsid w:val="00BD1C7B"/>
    <w:rsid w:val="00BD57D2"/>
    <w:rsid w:val="00BD6737"/>
    <w:rsid w:val="00BD7871"/>
    <w:rsid w:val="00BD7ECE"/>
    <w:rsid w:val="00BE3997"/>
    <w:rsid w:val="00BE4416"/>
    <w:rsid w:val="00BE5499"/>
    <w:rsid w:val="00BE5623"/>
    <w:rsid w:val="00BE6794"/>
    <w:rsid w:val="00BE79CD"/>
    <w:rsid w:val="00BF1308"/>
    <w:rsid w:val="00BF4812"/>
    <w:rsid w:val="00BF4A3D"/>
    <w:rsid w:val="00BF5BCA"/>
    <w:rsid w:val="00C0084C"/>
    <w:rsid w:val="00C036D3"/>
    <w:rsid w:val="00C03E79"/>
    <w:rsid w:val="00C10D7D"/>
    <w:rsid w:val="00C11311"/>
    <w:rsid w:val="00C16FE3"/>
    <w:rsid w:val="00C2027E"/>
    <w:rsid w:val="00C206BA"/>
    <w:rsid w:val="00C21A1E"/>
    <w:rsid w:val="00C24FB8"/>
    <w:rsid w:val="00C25E65"/>
    <w:rsid w:val="00C25FC7"/>
    <w:rsid w:val="00C27973"/>
    <w:rsid w:val="00C31686"/>
    <w:rsid w:val="00C3248B"/>
    <w:rsid w:val="00C328BC"/>
    <w:rsid w:val="00C3516A"/>
    <w:rsid w:val="00C36F65"/>
    <w:rsid w:val="00C36FE1"/>
    <w:rsid w:val="00C37190"/>
    <w:rsid w:val="00C37AE1"/>
    <w:rsid w:val="00C4155A"/>
    <w:rsid w:val="00C421FE"/>
    <w:rsid w:val="00C429C1"/>
    <w:rsid w:val="00C43C43"/>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86784"/>
    <w:rsid w:val="00C905FA"/>
    <w:rsid w:val="00C91E56"/>
    <w:rsid w:val="00C936AF"/>
    <w:rsid w:val="00C94533"/>
    <w:rsid w:val="00C95666"/>
    <w:rsid w:val="00C95BE9"/>
    <w:rsid w:val="00CA02C9"/>
    <w:rsid w:val="00CA1322"/>
    <w:rsid w:val="00CA2EC0"/>
    <w:rsid w:val="00CA4703"/>
    <w:rsid w:val="00CA5826"/>
    <w:rsid w:val="00CB1755"/>
    <w:rsid w:val="00CB299B"/>
    <w:rsid w:val="00CB3395"/>
    <w:rsid w:val="00CB5319"/>
    <w:rsid w:val="00CB53B6"/>
    <w:rsid w:val="00CB65B3"/>
    <w:rsid w:val="00CB66DC"/>
    <w:rsid w:val="00CC270C"/>
    <w:rsid w:val="00CC5015"/>
    <w:rsid w:val="00CC62DE"/>
    <w:rsid w:val="00CC740F"/>
    <w:rsid w:val="00CD7391"/>
    <w:rsid w:val="00CE39E2"/>
    <w:rsid w:val="00CE618F"/>
    <w:rsid w:val="00CF0CE5"/>
    <w:rsid w:val="00CF1D8A"/>
    <w:rsid w:val="00CF3626"/>
    <w:rsid w:val="00CF372A"/>
    <w:rsid w:val="00CF45ED"/>
    <w:rsid w:val="00CF6129"/>
    <w:rsid w:val="00D00BA4"/>
    <w:rsid w:val="00D00F60"/>
    <w:rsid w:val="00D010BF"/>
    <w:rsid w:val="00D01230"/>
    <w:rsid w:val="00D050F1"/>
    <w:rsid w:val="00D11CD7"/>
    <w:rsid w:val="00D1325D"/>
    <w:rsid w:val="00D144F9"/>
    <w:rsid w:val="00D14EF0"/>
    <w:rsid w:val="00D1594B"/>
    <w:rsid w:val="00D16555"/>
    <w:rsid w:val="00D1763F"/>
    <w:rsid w:val="00D179A2"/>
    <w:rsid w:val="00D21915"/>
    <w:rsid w:val="00D241ED"/>
    <w:rsid w:val="00D265EA"/>
    <w:rsid w:val="00D2745E"/>
    <w:rsid w:val="00D32E53"/>
    <w:rsid w:val="00D34BA7"/>
    <w:rsid w:val="00D36C8C"/>
    <w:rsid w:val="00D36E67"/>
    <w:rsid w:val="00D37034"/>
    <w:rsid w:val="00D42D22"/>
    <w:rsid w:val="00D44A37"/>
    <w:rsid w:val="00D51661"/>
    <w:rsid w:val="00D53B2E"/>
    <w:rsid w:val="00D53DC1"/>
    <w:rsid w:val="00D5742E"/>
    <w:rsid w:val="00D601D8"/>
    <w:rsid w:val="00D64526"/>
    <w:rsid w:val="00D6662D"/>
    <w:rsid w:val="00D669AC"/>
    <w:rsid w:val="00D671D2"/>
    <w:rsid w:val="00D67246"/>
    <w:rsid w:val="00D711D8"/>
    <w:rsid w:val="00D75CA8"/>
    <w:rsid w:val="00D77B76"/>
    <w:rsid w:val="00D81C73"/>
    <w:rsid w:val="00D82D32"/>
    <w:rsid w:val="00D8367C"/>
    <w:rsid w:val="00D847C4"/>
    <w:rsid w:val="00D859D0"/>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0531"/>
    <w:rsid w:val="00DF0AAF"/>
    <w:rsid w:val="00DF3E01"/>
    <w:rsid w:val="00DF6920"/>
    <w:rsid w:val="00E00516"/>
    <w:rsid w:val="00E02A2C"/>
    <w:rsid w:val="00E05480"/>
    <w:rsid w:val="00E06CEF"/>
    <w:rsid w:val="00E1024B"/>
    <w:rsid w:val="00E14891"/>
    <w:rsid w:val="00E16240"/>
    <w:rsid w:val="00E22CDC"/>
    <w:rsid w:val="00E23ADF"/>
    <w:rsid w:val="00E25B0B"/>
    <w:rsid w:val="00E31454"/>
    <w:rsid w:val="00E32186"/>
    <w:rsid w:val="00E33074"/>
    <w:rsid w:val="00E33D90"/>
    <w:rsid w:val="00E34B27"/>
    <w:rsid w:val="00E3533D"/>
    <w:rsid w:val="00E4033D"/>
    <w:rsid w:val="00E423F7"/>
    <w:rsid w:val="00E4289F"/>
    <w:rsid w:val="00E451FD"/>
    <w:rsid w:val="00E459A3"/>
    <w:rsid w:val="00E47AF0"/>
    <w:rsid w:val="00E50375"/>
    <w:rsid w:val="00E50CA5"/>
    <w:rsid w:val="00E54F56"/>
    <w:rsid w:val="00E55896"/>
    <w:rsid w:val="00E57C4C"/>
    <w:rsid w:val="00E57E3F"/>
    <w:rsid w:val="00E602AE"/>
    <w:rsid w:val="00E62551"/>
    <w:rsid w:val="00E63682"/>
    <w:rsid w:val="00E6509A"/>
    <w:rsid w:val="00E65663"/>
    <w:rsid w:val="00E65C88"/>
    <w:rsid w:val="00E679A9"/>
    <w:rsid w:val="00E72AA1"/>
    <w:rsid w:val="00E7310B"/>
    <w:rsid w:val="00E827EB"/>
    <w:rsid w:val="00E82F67"/>
    <w:rsid w:val="00E84BB2"/>
    <w:rsid w:val="00E85049"/>
    <w:rsid w:val="00E86978"/>
    <w:rsid w:val="00E87D26"/>
    <w:rsid w:val="00E90515"/>
    <w:rsid w:val="00E9189B"/>
    <w:rsid w:val="00E91A26"/>
    <w:rsid w:val="00E94684"/>
    <w:rsid w:val="00E95285"/>
    <w:rsid w:val="00E972E1"/>
    <w:rsid w:val="00EA1644"/>
    <w:rsid w:val="00EA372E"/>
    <w:rsid w:val="00EA7761"/>
    <w:rsid w:val="00EB0062"/>
    <w:rsid w:val="00EB125A"/>
    <w:rsid w:val="00EB3981"/>
    <w:rsid w:val="00EB4721"/>
    <w:rsid w:val="00EB5B93"/>
    <w:rsid w:val="00EB6F0F"/>
    <w:rsid w:val="00EC1ED4"/>
    <w:rsid w:val="00EC432D"/>
    <w:rsid w:val="00EC5699"/>
    <w:rsid w:val="00EC7F2A"/>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07F52"/>
    <w:rsid w:val="00F1056D"/>
    <w:rsid w:val="00F11863"/>
    <w:rsid w:val="00F11A29"/>
    <w:rsid w:val="00F16AFC"/>
    <w:rsid w:val="00F2033E"/>
    <w:rsid w:val="00F2083C"/>
    <w:rsid w:val="00F20E0E"/>
    <w:rsid w:val="00F22352"/>
    <w:rsid w:val="00F22DC2"/>
    <w:rsid w:val="00F241F4"/>
    <w:rsid w:val="00F2442C"/>
    <w:rsid w:val="00F278BA"/>
    <w:rsid w:val="00F3341C"/>
    <w:rsid w:val="00F34C4D"/>
    <w:rsid w:val="00F435CD"/>
    <w:rsid w:val="00F4469F"/>
    <w:rsid w:val="00F455DC"/>
    <w:rsid w:val="00F5104C"/>
    <w:rsid w:val="00F528C8"/>
    <w:rsid w:val="00F533AE"/>
    <w:rsid w:val="00F634A4"/>
    <w:rsid w:val="00F63F39"/>
    <w:rsid w:val="00F65CBF"/>
    <w:rsid w:val="00F67BD3"/>
    <w:rsid w:val="00F714DB"/>
    <w:rsid w:val="00F74076"/>
    <w:rsid w:val="00F75823"/>
    <w:rsid w:val="00F7785F"/>
    <w:rsid w:val="00F80196"/>
    <w:rsid w:val="00F8055A"/>
    <w:rsid w:val="00F80A6F"/>
    <w:rsid w:val="00F85E2F"/>
    <w:rsid w:val="00F871C8"/>
    <w:rsid w:val="00F87743"/>
    <w:rsid w:val="00F90CC8"/>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2EA4"/>
    <w:rsid w:val="00FB7F5C"/>
    <w:rsid w:val="00FC0A38"/>
    <w:rsid w:val="00FC154E"/>
    <w:rsid w:val="00FC15E9"/>
    <w:rsid w:val="00FC2F8A"/>
    <w:rsid w:val="00FC51D6"/>
    <w:rsid w:val="00FC53C2"/>
    <w:rsid w:val="00FC5D67"/>
    <w:rsid w:val="00FC70BE"/>
    <w:rsid w:val="00FD1BCF"/>
    <w:rsid w:val="00FD262D"/>
    <w:rsid w:val="00FD5402"/>
    <w:rsid w:val="00FD650A"/>
    <w:rsid w:val="00FD65EC"/>
    <w:rsid w:val="00FE273D"/>
    <w:rsid w:val="00FE3EF4"/>
    <w:rsid w:val="00FE62C5"/>
    <w:rsid w:val="00FE74CC"/>
    <w:rsid w:val="00FF052F"/>
    <w:rsid w:val="00FF1034"/>
    <w:rsid w:val="00FF1332"/>
    <w:rsid w:val="00FF3D13"/>
    <w:rsid w:val="00FF4980"/>
    <w:rsid w:val="00FF64F6"/>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e1edb9-7cda-4f4e-afbd-d007f1d32efb">
      <Value>267</Value>
      <Value>316</Value>
      <Value>163</Value>
      <Value>6</Value>
      <Value>5</Value>
      <Value>38</Value>
    </TaxCatchAll>
    <lcf76f155ced4ddcb4097134ff3c332f xmlns="8df064fd-4249-4472-a5a4-ffefbe7ac6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AC69D7B57B8B44B3B75DDF17E059E1" ma:contentTypeVersion="16" ma:contentTypeDescription="Create a new document." ma:contentTypeScope="" ma:versionID="e738d767b198d34d476b14e194a1736d">
  <xsd:schema xmlns:xsd="http://www.w3.org/2001/XMLSchema" xmlns:xs="http://www.w3.org/2001/XMLSchema" xmlns:p="http://schemas.microsoft.com/office/2006/metadata/properties" xmlns:ns2="8df064fd-4249-4472-a5a4-ffefbe7ac6a7" xmlns:ns3="2de1edb9-7cda-4f4e-afbd-d007f1d32efb" targetNamespace="http://schemas.microsoft.com/office/2006/metadata/properties" ma:root="true" ma:fieldsID="e00d2ac42542347d92505e61cfcfd26d" ns2:_="" ns3:_="">
    <xsd:import namespace="8df064fd-4249-4472-a5a4-ffefbe7ac6a7"/>
    <xsd:import namespace="2de1edb9-7cda-4f4e-afbd-d007f1d32e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064fd-4249-4472-a5a4-ffefbe7ac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490748-1b65-42dd-a817-13829cbf4a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e1edb9-7cda-4f4e-afbd-d007f1d32e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01f3b-ea27-4049-9d99-453010905a49}" ma:internalName="TaxCatchAll" ma:showField="CatchAllData" ma:web="2de1edb9-7cda-4f4e-afbd-d007f1d32e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2de1edb9-7cda-4f4e-afbd-d007f1d32efb"/>
    <ds:schemaRef ds:uri="8df064fd-4249-4472-a5a4-ffefbe7ac6a7"/>
  </ds:schemaRefs>
</ds:datastoreItem>
</file>

<file path=customXml/itemProps2.xml><?xml version="1.0" encoding="utf-8"?>
<ds:datastoreItem xmlns:ds="http://schemas.openxmlformats.org/officeDocument/2006/customXml" ds:itemID="{A2FA3B1C-4450-4FBA-A29E-D1290CACD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064fd-4249-4472-a5a4-ffefbe7ac6a7"/>
    <ds:schemaRef ds:uri="2de1edb9-7cda-4f4e-afbd-d007f1d32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16</Pages>
  <Words>3139</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William Meyer</cp:lastModifiedBy>
  <cp:revision>34</cp:revision>
  <cp:lastPrinted>2022-02-14T13:26:00Z</cp:lastPrinted>
  <dcterms:created xsi:type="dcterms:W3CDTF">2023-07-04T08:33:00Z</dcterms:created>
  <dcterms:modified xsi:type="dcterms:W3CDTF">2023-07-04T15:27:00Z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0x010100C8AC69D7B57B8B44B3B75DDF17E059E1</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SIP_Label_1e776b66-80ea-4b8b-872b-6142b0ecbd13_Enabled">
    <vt:lpwstr>true</vt:lpwstr>
  </property>
  <property fmtid="{D5CDD505-2E9C-101B-9397-08002B2CF9AE}" pid="33" name="MSIP_Label_1e776b66-80ea-4b8b-872b-6142b0ecbd13_SetDate">
    <vt:lpwstr>2023-07-04T08:33:29Z</vt:lpwstr>
  </property>
  <property fmtid="{D5CDD505-2E9C-101B-9397-08002B2CF9AE}" pid="34" name="MSIP_Label_1e776b66-80ea-4b8b-872b-6142b0ecbd13_Method">
    <vt:lpwstr>Standard</vt:lpwstr>
  </property>
  <property fmtid="{D5CDD505-2E9C-101B-9397-08002B2CF9AE}" pid="35" name="MSIP_Label_1e776b66-80ea-4b8b-872b-6142b0ecbd13_Name">
    <vt:lpwstr>defa4170-0d19-0005-0004-bc88714345d2</vt:lpwstr>
  </property>
  <property fmtid="{D5CDD505-2E9C-101B-9397-08002B2CF9AE}" pid="36" name="MSIP_Label_1e776b66-80ea-4b8b-872b-6142b0ecbd13_SiteId">
    <vt:lpwstr>49d0d517-409a-4335-ae82-c45e8c80bd45</vt:lpwstr>
  </property>
  <property fmtid="{D5CDD505-2E9C-101B-9397-08002B2CF9AE}" pid="37" name="MSIP_Label_1e776b66-80ea-4b8b-872b-6142b0ecbd13_ActionId">
    <vt:lpwstr>adc6aa08-4340-4e3b-a736-c7ab652b9171</vt:lpwstr>
  </property>
  <property fmtid="{D5CDD505-2E9C-101B-9397-08002B2CF9AE}" pid="38" name="MSIP_Label_1e776b66-80ea-4b8b-872b-6142b0ecbd13_ContentBits">
    <vt:lpwstr>0</vt:lpwstr>
  </property>
</Properties>
</file>