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71A96BAE" w14:textId="63977546"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960E9C">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szCs w:val="20"/>
              <w:shd w:val="clear" w:color="auto" w:fill="E6E6E6"/>
            </w:rPr>
            <w:id w:val="651570699"/>
            <w:text/>
          </w:sdtPr>
          <w:sdtContent>
            <w:tc>
              <w:tcPr>
                <w:tcW w:w="5595" w:type="dxa"/>
                <w:shd w:val="clear" w:color="auto" w:fill="auto"/>
                <w:vAlign w:val="center"/>
              </w:tcPr>
              <w:p w14:paraId="2D662032" w14:textId="4C6173A8" w:rsidR="005418F4" w:rsidRPr="00467C68" w:rsidRDefault="00971A2F" w:rsidP="005418F4">
                <w:pPr>
                  <w:spacing w:after="250"/>
                  <w:rPr>
                    <w:rFonts w:ascii="Arial" w:eastAsiaTheme="minorEastAsia" w:hAnsi="Arial" w:cs="Arial"/>
                    <w:szCs w:val="20"/>
                  </w:rPr>
                </w:pPr>
                <w:r w:rsidRPr="00467C68">
                  <w:rPr>
                    <w:rFonts w:ascii="Arial" w:eastAsiaTheme="minorEastAsia" w:hAnsi="Arial" w:cs="Arial"/>
                    <w:szCs w:val="20"/>
                  </w:rPr>
                  <w:t>FAIRR Initiative</w:t>
                </w:r>
              </w:p>
            </w:tc>
          </w:sdtContent>
        </w:sdt>
      </w:tr>
      <w:tr w:rsidR="005418F4" w:rsidRPr="005418F4" w14:paraId="1994CDD1" w14:textId="77777777" w:rsidTr="00960E9C">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24B6A90C" w:rsidR="005418F4" w:rsidRPr="005418F4" w:rsidRDefault="00000000"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shd w:val="clear" w:color="auto" w:fill="E6E6E6"/>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11537">
                  <w:rPr>
                    <w:rFonts w:ascii="Arial" w:eastAsiaTheme="minorEastAsia" w:hAnsi="Arial" w:cs="Arial"/>
                    <w:color w:val="1A1A1A" w:themeColor="background1" w:themeShade="1A"/>
                    <w:szCs w:val="20"/>
                  </w:rPr>
                  <w:t>Non-financial counterparty</w:t>
                </w:r>
              </w:sdtContent>
            </w:sdt>
          </w:p>
        </w:tc>
      </w:tr>
      <w:tr w:rsidR="005418F4" w:rsidRPr="005418F4" w14:paraId="6D2BB9B6" w14:textId="77777777" w:rsidTr="00960E9C">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shd w:val="clear" w:color="auto" w:fill="E6E6E6"/>
            </w:rPr>
            <w:id w:val="-226150188"/>
            <w14:checkbox>
              <w14:checked w14:val="0"/>
              <w14:checkedState w14:val="2612" w14:font="MS Gothic"/>
              <w14:uncheckedState w14:val="2610" w14:font="MS Gothic"/>
            </w14:checkbox>
          </w:sdtPr>
          <w:sdtContent>
            <w:tc>
              <w:tcPr>
                <w:tcW w:w="5595" w:type="dxa"/>
                <w:shd w:val="clear" w:color="auto" w:fill="auto"/>
                <w:vAlign w:val="center"/>
              </w:tcPr>
              <w:p w14:paraId="67C0DEAE" w14:textId="2573C83B" w:rsidR="005418F4" w:rsidRPr="005418F4" w:rsidRDefault="00811537"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960E9C">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shd w:val="clear" w:color="auto" w:fill="E6E6E6"/>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763C0ACF" w14:textId="750A140C" w:rsidR="005418F4" w:rsidRPr="005418F4" w:rsidRDefault="00811537"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UK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Pr="00BC5454" w:rsidRDefault="009C41BB" w:rsidP="009C41BB">
      <w:pPr>
        <w:pStyle w:val="Questionstyle"/>
      </w:pPr>
      <w:bookmarkStart w:id="0" w:name="_Hlk131609827"/>
      <w:r w:rsidRPr="00BC5454">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1348034591" w:edGrp="everyone"/>
    </w:p>
    <w:p w14:paraId="4A55641A" w14:textId="4B10BE79" w:rsidR="009C41BB" w:rsidRDefault="00552F5B" w:rsidP="009C41BB">
      <w:r>
        <w:t>Yes</w:t>
      </w:r>
      <w:r w:rsidR="0087371A">
        <w:t>. We believe social indicators around investment in</w:t>
      </w:r>
      <w:r w:rsidR="00CE39D5">
        <w:t xml:space="preserve"> the cultivation of products that are risks to pub</w:t>
      </w:r>
      <w:r w:rsidR="00013E7F">
        <w:t>lic health, as well as companies that interfere in</w:t>
      </w:r>
      <w:r w:rsidR="000D7BE0">
        <w:t xml:space="preserve"> </w:t>
      </w:r>
      <w:proofErr w:type="spellStart"/>
      <w:r w:rsidR="000D7BE0">
        <w:t>workers</w:t>
      </w:r>
      <w:proofErr w:type="spellEnd"/>
      <w:r w:rsidR="000D7BE0">
        <w:t xml:space="preserve"> rights and adequate working conditions are</w:t>
      </w:r>
      <w:r w:rsidR="00021E10">
        <w:t xml:space="preserve"> of the utmost importance </w:t>
      </w:r>
      <w:r w:rsidR="005C351D">
        <w:t>for full transparent and sustainable investment products.</w:t>
      </w:r>
      <w:r w:rsidR="00170F29">
        <w:t xml:space="preserve"> Our </w:t>
      </w:r>
      <w:r w:rsidR="00C319F4">
        <w:t>report</w:t>
      </w:r>
      <w:r w:rsidR="00170F29">
        <w:t xml:space="preserve"> on labour risk</w:t>
      </w:r>
      <w:r w:rsidR="007B5F9D">
        <w:t xml:space="preserve"> in meat processing companies</w:t>
      </w:r>
      <w:r w:rsidR="007F620C">
        <w:t xml:space="preserve"> found that </w:t>
      </w:r>
      <w:hyperlink r:id="rId15" w:history="1">
        <w:r w:rsidR="007F620C" w:rsidRPr="00C319F4">
          <w:rPr>
            <w:rStyle w:val="Hyperlink"/>
          </w:rPr>
          <w:t>companies often overlook union and internal worker representation mechanisms</w:t>
        </w:r>
      </w:hyperlink>
      <w:r w:rsidR="00044243">
        <w:t xml:space="preserve"> and </w:t>
      </w:r>
      <w:r w:rsidR="00981634">
        <w:t xml:space="preserve">are not fully transparent around social risk reporting. </w:t>
      </w:r>
      <w:r w:rsidR="00681B50">
        <w:t>Investment in companies found to breach workers’ rights should be made visible.</w:t>
      </w:r>
      <w:r w:rsidR="31BE6632">
        <w:t xml:space="preserve"> FAIRR’s methodology to assess companies includes freedom of association including </w:t>
      </w:r>
      <w:r w:rsidR="31BE6632" w:rsidRPr="00082112">
        <w:rPr>
          <w:color w:val="2B579A"/>
          <w:shd w:val="clear" w:color="auto" w:fill="E6E6E6"/>
        </w:rPr>
        <w:t>disclosing their collective bargaining or unionisation rates</w:t>
      </w:r>
      <w:r w:rsidR="31BE6632" w:rsidRPr="4D66851E">
        <w:t xml:space="preserve"> (see: https://www.fairr.org/index/esg-factors/working-conditions-esg-factor/)</w:t>
      </w:r>
      <w:r w:rsidR="00CB696C">
        <w:t>.</w:t>
      </w:r>
      <w:r w:rsidR="31BE6632" w:rsidRPr="00082112">
        <w:rPr>
          <w:color w:val="2B579A"/>
          <w:shd w:val="clear" w:color="auto" w:fill="E6E6E6"/>
        </w:rPr>
        <w:t xml:space="preserve">  </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F228640" w:rsidR="009C41BB" w:rsidRPr="00BC5454" w:rsidRDefault="009C41BB" w:rsidP="009C41BB">
      <w:pPr>
        <w:pStyle w:val="Questionstyle"/>
      </w:pPr>
      <w:bookmarkStart w:id="1" w:name="_Hlk131609829"/>
      <w:r w:rsidRPr="00BC5454">
        <w:t>: Would you recommend any other mandatory social indicator or adjust any of the ones proposed?</w:t>
      </w:r>
    </w:p>
    <w:bookmarkEnd w:id="1"/>
    <w:p w14:paraId="79C259A1" w14:textId="77777777" w:rsidR="009C41BB" w:rsidRDefault="009C41BB" w:rsidP="009C41BB">
      <w:r>
        <w:t>&lt;ESMA_QUESTION_SFDR_2&gt;</w:t>
      </w:r>
    </w:p>
    <w:p w14:paraId="65C6560B" w14:textId="4ED1C372" w:rsidR="00D6323C" w:rsidRDefault="00A623F8" w:rsidP="00D6323C">
      <w:permStart w:id="1140268191" w:edGrp="everyone"/>
      <w:r>
        <w:t>The</w:t>
      </w:r>
      <w:r w:rsidR="004D5492">
        <w:t xml:space="preserve"> SFDR mentions </w:t>
      </w:r>
      <w:r w:rsidR="00E30723">
        <w:t>“</w:t>
      </w:r>
      <w:r w:rsidR="004D4404">
        <w:t>i</w:t>
      </w:r>
      <w:r w:rsidR="00D6323C">
        <w:t xml:space="preserve">nvestments in companies </w:t>
      </w:r>
      <w:r w:rsidR="004D5492">
        <w:t xml:space="preserve">with </w:t>
      </w:r>
      <w:r w:rsidR="00D6323C">
        <w:t>sustainable land/agriculture practices</w:t>
      </w:r>
      <w:r w:rsidR="00E30723">
        <w:t>”</w:t>
      </w:r>
      <w:r w:rsidR="004D5492">
        <w:t xml:space="preserve"> as</w:t>
      </w:r>
      <w:r w:rsidR="00E30723">
        <w:t xml:space="preserve"> an adverse impact </w:t>
      </w:r>
      <w:r w:rsidR="002C32B4">
        <w:t xml:space="preserve">metric </w:t>
      </w:r>
      <w:r w:rsidR="00E30723">
        <w:t>under</w:t>
      </w:r>
      <w:r w:rsidR="004D5492">
        <w:t xml:space="preserve"> “climate and other environment-related indicator</w:t>
      </w:r>
      <w:r w:rsidR="00E30723">
        <w:t>s”</w:t>
      </w:r>
      <w:r w:rsidR="005C00F1">
        <w:t>. R</w:t>
      </w:r>
      <w:r w:rsidR="008B2DBA">
        <w:t xml:space="preserve">elated to this, we would support the addition of a social indicator on </w:t>
      </w:r>
      <w:r w:rsidR="00476C2B">
        <w:t xml:space="preserve">decent </w:t>
      </w:r>
      <w:r w:rsidR="008B2DBA">
        <w:t xml:space="preserve">labour conditions </w:t>
      </w:r>
      <w:r w:rsidR="00476C2B">
        <w:t>specific to the</w:t>
      </w:r>
      <w:r w:rsidR="008B2DBA">
        <w:t xml:space="preserve"> </w:t>
      </w:r>
      <w:r w:rsidR="005C00F1">
        <w:lastRenderedPageBreak/>
        <w:t>land</w:t>
      </w:r>
      <w:r w:rsidR="00E64E95">
        <w:t>/</w:t>
      </w:r>
      <w:r w:rsidR="008B2DBA">
        <w:t xml:space="preserve">agriculture </w:t>
      </w:r>
      <w:r w:rsidR="007D6812">
        <w:t xml:space="preserve">sector since the </w:t>
      </w:r>
      <w:hyperlink r:id="rId16" w:anchor=":~:text=The%20Sustainable%20Development%20Goals%20(SDGs,of%20small%2Dscale%20food%20producers." w:history="1">
        <w:r w:rsidR="00F71B71">
          <w:rPr>
            <w:rStyle w:val="Hyperlink"/>
          </w:rPr>
          <w:t>UN SDGs highlight</w:t>
        </w:r>
      </w:hyperlink>
      <w:r w:rsidR="007D6812">
        <w:t xml:space="preserve"> that agriculture is the single largest employ</w:t>
      </w:r>
      <w:r w:rsidR="00F110CD">
        <w:t>er in the world (40% of the population earns its income from agriculture)</w:t>
      </w:r>
      <w:r w:rsidR="008B2DBA">
        <w:t>.</w:t>
      </w:r>
      <w:r w:rsidR="00F84512">
        <w:t xml:space="preserve"> </w:t>
      </w:r>
      <w:hyperlink r:id="rId17" w:history="1">
        <w:r w:rsidR="00F84512" w:rsidRPr="00E64E95">
          <w:rPr>
            <w:rStyle w:val="Hyperlink"/>
          </w:rPr>
          <w:t>A recent report by the ILO</w:t>
        </w:r>
      </w:hyperlink>
      <w:r w:rsidR="00F84512">
        <w:t xml:space="preserve"> </w:t>
      </w:r>
      <w:r w:rsidR="00F110CD">
        <w:t xml:space="preserve">also </w:t>
      </w:r>
      <w:r w:rsidR="00F84512">
        <w:t xml:space="preserve">states that agri-food workers </w:t>
      </w:r>
      <w:r w:rsidR="00D52662">
        <w:t>often face “poor working conditions” and “long hours”</w:t>
      </w:r>
      <w:r w:rsidR="00AA4339">
        <w:t xml:space="preserve"> and are often characterised by “casual forms of labour and precarious working”. </w:t>
      </w:r>
      <w:r w:rsidR="00F110CD">
        <w:t>With such great importance and potential adverse impact, i</w:t>
      </w:r>
      <w:r w:rsidR="00AA4339">
        <w:t>nvestment in related industry must be transparent</w:t>
      </w:r>
      <w:r w:rsidR="00E64E95">
        <w:t xml:space="preserve"> around these indicators.</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6A854753" w:rsidR="009C41BB" w:rsidRPr="00BC5454" w:rsidRDefault="009C41BB" w:rsidP="009C41BB">
      <w:pPr>
        <w:pStyle w:val="Questionstyle"/>
      </w:pPr>
      <w:bookmarkStart w:id="2" w:name="_Hlk131609830"/>
      <w:r w:rsidRPr="00BC5454">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040088C5" w14:textId="1ED278D2" w:rsidR="009C41BB" w:rsidRDefault="00F3765D" w:rsidP="009C41BB">
      <w:permStart w:id="1930569352" w:edGrp="everyone"/>
      <w:r>
        <w:t>Yes. We support transparency</w:t>
      </w:r>
      <w:r w:rsidR="003246B4">
        <w:t xml:space="preserve"> on social indicators around working conditions and the protection of workers’ rights</w:t>
      </w:r>
      <w:r w:rsidR="001D1D45">
        <w:t xml:space="preserve"> across all industries, and actively engage our own investor network around </w:t>
      </w:r>
      <w:hyperlink r:id="rId18" w:history="1">
        <w:r w:rsidR="001D1D45" w:rsidRPr="00A000D9">
          <w:rPr>
            <w:rStyle w:val="Hyperlink"/>
          </w:rPr>
          <w:t>working conditions within the meat supply chain</w:t>
        </w:r>
      </w:hyperlink>
      <w:r w:rsidR="003246B4">
        <w:t>.</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160E2195" w:rsidR="009C41BB" w:rsidRPr="00BC5454" w:rsidRDefault="009C41BB" w:rsidP="4D66851E">
      <w:pPr>
        <w:pStyle w:val="Questionstyle"/>
      </w:pPr>
      <w:bookmarkStart w:id="3" w:name="_Hlk131609831"/>
      <w:r w:rsidRPr="00BC5454">
        <w:t>: Would you recommend any other social indicator or adjust any of the ones proposed?</w:t>
      </w:r>
    </w:p>
    <w:bookmarkEnd w:id="3"/>
    <w:p w14:paraId="6BC5AA32" w14:textId="77777777" w:rsidR="009C41BB" w:rsidRDefault="009C41BB" w:rsidP="009C41BB">
      <w:r>
        <w:t>&lt;ESMA_QUESTION_SFDR_4&gt;</w:t>
      </w:r>
    </w:p>
    <w:p w14:paraId="191F2CF6" w14:textId="57943791" w:rsidR="009C41BB" w:rsidRDefault="0A03E384" w:rsidP="009C41BB">
      <w:permStart w:id="2056993415" w:edGrp="everyone"/>
      <w:r w:rsidRPr="001E578E">
        <w:t>Please s</w:t>
      </w:r>
      <w:r w:rsidR="001E578E" w:rsidRPr="001E578E">
        <w:t xml:space="preserve">ee </w:t>
      </w:r>
      <w:r w:rsidR="56518140" w:rsidRPr="001E578E">
        <w:t>our</w:t>
      </w:r>
      <w:r w:rsidR="001E578E" w:rsidRPr="001E578E">
        <w:t xml:space="preserve"> resp</w:t>
      </w:r>
      <w:r w:rsidR="001E578E">
        <w:t>onse to Q2</w:t>
      </w:r>
      <w:r w:rsidR="00716AB6">
        <w:t>:</w:t>
      </w:r>
    </w:p>
    <w:p w14:paraId="53DBB304" w14:textId="071D4124" w:rsidR="00716AB6" w:rsidRPr="001E578E" w:rsidRDefault="00716AB6" w:rsidP="00C95343">
      <w:r>
        <w:t xml:space="preserve">The SFDR mentions “investments in companies with sustainable land/agriculture practices” as an adverse impact metric under “climate and other environment-related indicators”. Related to this, we would support the addition of a social indicator on decent labour conditions specific to the land/agriculture sector since the </w:t>
      </w:r>
      <w:hyperlink r:id="rId19" w:anchor=":~:text=The%20Sustainable%20Development%20Goals%20(SDGs,of%20small%2Dscale%20food%20producers." w:history="1">
        <w:r>
          <w:rPr>
            <w:rStyle w:val="Hyperlink"/>
          </w:rPr>
          <w:t>UN SDGs highlight</w:t>
        </w:r>
      </w:hyperlink>
      <w:r>
        <w:t xml:space="preserve"> that agriculture is the single largest employer in the world (40% of the population earns its income from agriculture). </w:t>
      </w:r>
      <w:hyperlink r:id="rId20" w:history="1">
        <w:r w:rsidRPr="00E64E95">
          <w:rPr>
            <w:rStyle w:val="Hyperlink"/>
          </w:rPr>
          <w:t>A recent report by the ILO</w:t>
        </w:r>
      </w:hyperlink>
      <w:r>
        <w:t xml:space="preserve"> also states that agri-food workers often face “poor working conditions” and “long hours” and are often characterised by “casual forms of labour and precarious working”. With such great importance and potential adverse impact, investment in related industry must be transparent around these indicators.</w:t>
      </w:r>
    </w:p>
    <w:permEnd w:id="2056993415"/>
    <w:p w14:paraId="5C0CA950" w14:textId="77777777" w:rsidR="009C41BB" w:rsidRPr="001E578E" w:rsidRDefault="009C41BB" w:rsidP="009C41BB">
      <w:r w:rsidRPr="001E578E">
        <w:t>&lt;ESMA_QUESTION_SFDR_4&gt;</w:t>
      </w:r>
    </w:p>
    <w:p w14:paraId="6CC85AFF" w14:textId="77777777" w:rsidR="009C41BB" w:rsidRPr="001E578E" w:rsidRDefault="009C41BB" w:rsidP="009C41BB"/>
    <w:p w14:paraId="5D57C8EB" w14:textId="363AC07F" w:rsidR="009C41BB" w:rsidRPr="00BC5454" w:rsidRDefault="009C41BB" w:rsidP="009C41BB">
      <w:pPr>
        <w:pStyle w:val="Questionstyle"/>
      </w:pPr>
      <w:bookmarkStart w:id="4" w:name="_Hlk131609833"/>
      <w:r w:rsidRPr="00BC5454">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17B0D88A" w14:textId="7BE9EDE1" w:rsidR="00E86C6B" w:rsidRDefault="641DD16D" w:rsidP="6F953ECD">
      <w:permStart w:id="452221127" w:edGrp="everyone"/>
      <w:r>
        <w:t>We support the proposed changes to the existing mandatory social indicators</w:t>
      </w:r>
      <w:r w:rsidR="146A37A8">
        <w:t xml:space="preserve"> listed on pg.</w:t>
      </w:r>
      <w:r w:rsidR="00777271">
        <w:t xml:space="preserve"> 9 </w:t>
      </w:r>
      <w:r w:rsidR="146A37A8">
        <w:t xml:space="preserve"> of the Joint Consultation Paper</w:t>
      </w:r>
      <w:r>
        <w:t xml:space="preserve"> and agree to replacing the UN</w:t>
      </w:r>
      <w:r w:rsidR="00BD0A63">
        <w:t xml:space="preserve"> Global Comp</w:t>
      </w:r>
      <w:r w:rsidR="004B5803">
        <w:t>act</w:t>
      </w:r>
      <w:r>
        <w:t xml:space="preserve"> </w:t>
      </w:r>
      <w:r w:rsidR="39607D39">
        <w:t>Principles</w:t>
      </w:r>
      <w:r>
        <w:t xml:space="preserve"> </w:t>
      </w:r>
      <w:r w:rsidR="382CA6FF">
        <w:t>with</w:t>
      </w:r>
      <w:r>
        <w:t xml:space="preserve"> the UN</w:t>
      </w:r>
      <w:r w:rsidR="08F984C8">
        <w:t xml:space="preserve"> Guiding Principles</w:t>
      </w:r>
      <w:r w:rsidR="0D7C67FE">
        <w:t xml:space="preserve">. </w:t>
      </w:r>
    </w:p>
    <w:p w14:paraId="11884D5A" w14:textId="1E76A354" w:rsidR="00B46FC9" w:rsidRDefault="0D7C67FE" w:rsidP="00B46FC9">
      <w:r>
        <w:t xml:space="preserve">The UN Global Compact </w:t>
      </w:r>
      <w:r w:rsidR="00F56427">
        <w:t>P</w:t>
      </w:r>
      <w:r>
        <w:t xml:space="preserve">rinciples are </w:t>
      </w:r>
      <w:r w:rsidR="00F56427">
        <w:t>useful</w:t>
      </w:r>
      <w:r>
        <w:t xml:space="preserve"> </w:t>
      </w:r>
      <w:r w:rsidR="00377294">
        <w:t>for</w:t>
      </w:r>
      <w:r>
        <w:t xml:space="preserve"> defining strategic ES</w:t>
      </w:r>
      <w:r w:rsidR="044E5D11">
        <w:t xml:space="preserve">G </w:t>
      </w:r>
      <w:r>
        <w:t>objectives</w:t>
      </w:r>
      <w:r w:rsidR="48D5A684">
        <w:t xml:space="preserve"> </w:t>
      </w:r>
      <w:proofErr w:type="spellStart"/>
      <w:r w:rsidR="48D5A684">
        <w:t>andperfor</w:t>
      </w:r>
      <w:r w:rsidR="00BA0B00">
        <w:t>ming</w:t>
      </w:r>
      <w:proofErr w:type="spellEnd"/>
      <w:r w:rsidR="48D5A684">
        <w:t xml:space="preserve"> self-assessments,</w:t>
      </w:r>
      <w:r w:rsidR="4EAEFB3F">
        <w:t xml:space="preserve"> while</w:t>
      </w:r>
      <w:r w:rsidR="48D5A684">
        <w:t xml:space="preserve"> the UN Guiding Principles </w:t>
      </w:r>
      <w:r w:rsidR="765060B3">
        <w:t>provide</w:t>
      </w:r>
      <w:r w:rsidR="0E68CE96">
        <w:t xml:space="preserve"> </w:t>
      </w:r>
      <w:r w:rsidR="765060B3">
        <w:t xml:space="preserve">clear standards that seek to avoid or </w:t>
      </w:r>
      <w:r w:rsidR="6D3394B2">
        <w:t>mitigat</w:t>
      </w:r>
      <w:r w:rsidR="6C6D71F7">
        <w:t xml:space="preserve">e </w:t>
      </w:r>
      <w:r w:rsidR="765060B3">
        <w:t>violations before they occur</w:t>
      </w:r>
      <w:r w:rsidR="005266B3">
        <w:t xml:space="preserve"> </w:t>
      </w:r>
      <w:r w:rsidR="008928A8">
        <w:t>(</w:t>
      </w:r>
      <w:r w:rsidR="7315F8F4">
        <w:t xml:space="preserve">with some level of investigatory procedure in the event a </w:t>
      </w:r>
      <w:r w:rsidR="4C98427C">
        <w:t xml:space="preserve">company </w:t>
      </w:r>
      <w:r w:rsidR="7315F8F4">
        <w:t>breaches these commitments</w:t>
      </w:r>
      <w:r w:rsidR="008928A8">
        <w:t>).</w:t>
      </w:r>
      <w:r w:rsidR="00BF149F">
        <w:t xml:space="preserve"> </w:t>
      </w:r>
      <w:r w:rsidR="181A986F">
        <w:t>Additionally,</w:t>
      </w:r>
      <w:r w:rsidR="6F4A428E">
        <w:t xml:space="preserve"> this change</w:t>
      </w:r>
      <w:r w:rsidR="72FF855D">
        <w:t xml:space="preserve"> allows</w:t>
      </w:r>
      <w:r w:rsidR="6F4A428E">
        <w:t xml:space="preserve"> for </w:t>
      </w:r>
      <w:r w:rsidR="3BDBB853">
        <w:t>consistency</w:t>
      </w:r>
      <w:r w:rsidR="6F4A428E">
        <w:t xml:space="preserve"> with other pieces of </w:t>
      </w:r>
      <w:r w:rsidR="2D09EB91">
        <w:t>national</w:t>
      </w:r>
      <w:r w:rsidR="6F4A428E">
        <w:t xml:space="preserve"> and subnational legislation that </w:t>
      </w:r>
      <w:r w:rsidR="32618F72">
        <w:t>already require these frameworks, as mentioned in</w:t>
      </w:r>
      <w:r w:rsidR="02AF82D3">
        <w:t xml:space="preserve"> the consultation</w:t>
      </w:r>
      <w:r w:rsidR="32618F72">
        <w:t xml:space="preserve"> document. </w:t>
      </w:r>
    </w:p>
    <w:p w14:paraId="2CBD9322" w14:textId="55D47DFE" w:rsidR="00B46FC9" w:rsidRDefault="32514B79" w:rsidP="6F953ECD">
      <w:r>
        <w:t>As for the proposed opt-in indicators, we would encourage that they be made mandatory as many of those listed</w:t>
      </w:r>
      <w:r w:rsidR="002C4CC0">
        <w:t xml:space="preserve"> overwhelmingly</w:t>
      </w:r>
      <w:r>
        <w:t xml:space="preserve"> concern work</w:t>
      </w:r>
      <w:r w:rsidR="177F1998">
        <w:t>ers</w:t>
      </w:r>
      <w:r>
        <w:t xml:space="preserve"> in the agriculture/f</w:t>
      </w:r>
      <w:r w:rsidR="49E20CDF">
        <w:t>ood sector, which as previously mentioned, is the largest employer in the world and a material risk to a majority of investors.</w:t>
      </w:r>
      <w:r w:rsidR="6172CE45">
        <w:t xml:space="preserve"> </w:t>
      </w:r>
    </w:p>
    <w:p w14:paraId="02CD7F36" w14:textId="7AD29024" w:rsidR="002B74CB" w:rsidRDefault="6172CE45" w:rsidP="6F953ECD">
      <w:r>
        <w:t xml:space="preserve">The opt-in indicators </w:t>
      </w:r>
      <w:r w:rsidR="00DC6506">
        <w:t xml:space="preserve">related to the </w:t>
      </w:r>
      <w:r>
        <w:t>food/agriculture sector</w:t>
      </w:r>
      <w:r w:rsidR="7987C1CD">
        <w:t xml:space="preserve">, and the communities that support them, </w:t>
      </w:r>
      <w:r w:rsidR="00EB6835">
        <w:t xml:space="preserve">which </w:t>
      </w:r>
      <w:r w:rsidR="65232F0C">
        <w:t>we encourage be made mandatory</w:t>
      </w:r>
      <w:r>
        <w:t xml:space="preserve"> include: </w:t>
      </w:r>
      <w:r w:rsidR="1131DC37">
        <w:t xml:space="preserve">1) </w:t>
      </w:r>
      <w:r>
        <w:t xml:space="preserve">excessive use of non-guaranteed hour employees in investee companies, </w:t>
      </w:r>
      <w:r w:rsidR="6A36C8AF">
        <w:t xml:space="preserve">2) </w:t>
      </w:r>
      <w:r w:rsidR="6E3FFB0D">
        <w:t xml:space="preserve">excessive use of temporary contract employees in investee companies, </w:t>
      </w:r>
      <w:r w:rsidR="236A4543">
        <w:t xml:space="preserve">3) </w:t>
      </w:r>
      <w:r w:rsidR="6E3FFB0D">
        <w:t xml:space="preserve">excessive use of non-employee workers in investee companies, and </w:t>
      </w:r>
      <w:r w:rsidR="1DE5AFFC">
        <w:t>4) l</w:t>
      </w:r>
      <w:r w:rsidR="6E3FFB0D">
        <w:t>ack of grievance/complaints handling mechanism for communities affected by the operations of the investee companies.</w:t>
      </w:r>
      <w:r w:rsidR="00A43DFA">
        <w:t xml:space="preserve"> </w:t>
      </w:r>
    </w:p>
    <w:p w14:paraId="6E0FAB8D" w14:textId="78FF8320" w:rsidR="009C41BB" w:rsidRDefault="00A43DFA" w:rsidP="6F953ECD">
      <w:r>
        <w:t xml:space="preserve">The social risks related to this indicator are </w:t>
      </w:r>
      <w:r w:rsidR="05C764FF">
        <w:t>high</w:t>
      </w:r>
      <w:r w:rsidR="000E1C7E">
        <w:t>,</w:t>
      </w:r>
      <w:r w:rsidR="00AA64EE">
        <w:t xml:space="preserve"> </w:t>
      </w:r>
      <w:r w:rsidR="263007B9">
        <w:t>making mandatory reporting important</w:t>
      </w:r>
      <w:r w:rsidR="00117F8C">
        <w:t>.</w:t>
      </w:r>
      <w:r w:rsidR="00FE4D8E">
        <w:t xml:space="preserve"> </w:t>
      </w:r>
      <w:r w:rsidR="00C04D3B">
        <w:t xml:space="preserve">Data collection around these indicators are feasible as </w:t>
      </w:r>
      <w:r w:rsidR="00BC1560">
        <w:t xml:space="preserve">many investors in our network already track investee companies on </w:t>
      </w:r>
      <w:r w:rsidR="00702E76">
        <w:t>the same</w:t>
      </w:r>
      <w:r w:rsidR="00BC1560">
        <w:t xml:space="preserve">. </w:t>
      </w:r>
    </w:p>
    <w:p w14:paraId="7100C321" w14:textId="1F699B0C" w:rsidR="009C41BB" w:rsidRDefault="009C41BB" w:rsidP="009C41BB"/>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77777777" w:rsidR="009C41BB" w:rsidRDefault="009C41BB" w:rsidP="009C41BB">
      <w:permStart w:id="887372501" w:edGrp="everyone"/>
      <w:r>
        <w:lastRenderedPageBreak/>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05D70609" w:rsidR="009C41BB" w:rsidRPr="00082112" w:rsidRDefault="009C41BB" w:rsidP="009C41BB">
      <w:pPr>
        <w:pStyle w:val="Questionstyle"/>
      </w:pPr>
      <w:bookmarkStart w:id="7" w:name="_Hlk131609837"/>
      <w:r w:rsidRPr="00082112">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4D5F1AA0" w14:textId="77777777" w:rsidR="009C41BB" w:rsidRDefault="009C41BB" w:rsidP="009C41BB">
      <w:permStart w:id="2059607147" w:edGrp="everyone"/>
      <w:r>
        <w:t>TYPE YOUR TEXT HERE</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6A059EBA" w14:textId="77777777" w:rsidR="009C41BB" w:rsidRDefault="009C41BB" w:rsidP="009C41BB">
      <w:permStart w:id="1591695117" w:edGrp="everyone"/>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155A94A1" w14:textId="77777777" w:rsidR="009C41BB" w:rsidRDefault="009C41BB" w:rsidP="009C41BB">
      <w:permStart w:id="1653823566" w:edGrp="everyone"/>
      <w:r>
        <w:t>TYPE YOUR TEXT HERE</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Pr="00BC5454" w:rsidRDefault="009C41BB" w:rsidP="009C41BB">
      <w:pPr>
        <w:pStyle w:val="Questionstyle"/>
      </w:pPr>
      <w:r w:rsidRPr="00BC5454">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651B53DD" w:rsidR="009C41BB" w:rsidRDefault="2A215280" w:rsidP="009C41BB">
      <w:permStart w:id="684359195" w:edGrp="everyone"/>
      <w:r>
        <w:t xml:space="preserve">We agree that the ESA’s </w:t>
      </w:r>
      <w:r w:rsidR="740DFE71">
        <w:t>approach to</w:t>
      </w:r>
      <w:r>
        <w:t xml:space="preserve"> “all investments” </w:t>
      </w:r>
      <w:r w:rsidR="3424B43D">
        <w:t>as covering</w:t>
      </w:r>
      <w:r>
        <w:t xml:space="preserve"> all the investments made by the financial market </w:t>
      </w:r>
      <w:r w:rsidR="3EFBDE49">
        <w:t xml:space="preserve">participant </w:t>
      </w:r>
      <w:r w:rsidR="00817CA7">
        <w:t xml:space="preserve">(FMP) </w:t>
      </w:r>
      <w:r w:rsidR="3EFBDE49">
        <w:t>and</w:t>
      </w:r>
      <w:r>
        <w:t xml:space="preserve"> agree with the rationale</w:t>
      </w:r>
      <w:r w:rsidR="5FA96BB0">
        <w:t xml:space="preserve"> on pg. 13 of the Joint Consultation Paper</w:t>
      </w:r>
      <w:r>
        <w:t xml:space="preserve"> that this helps </w:t>
      </w:r>
      <w:r w:rsidR="7D2ACA72">
        <w:t xml:space="preserve">with comparability between FMPs and reduces the </w:t>
      </w:r>
      <w:r w:rsidR="43CB39E3">
        <w:t>calculation</w:t>
      </w:r>
      <w:r w:rsidR="7D2ACA72">
        <w:t xml:space="preserve"> burden. Th</w:t>
      </w:r>
      <w:r w:rsidR="4818AA4A">
        <w:t xml:space="preserve">ere are drawbacks to all </w:t>
      </w:r>
      <w:r w:rsidR="073B06A0">
        <w:t>approaches</w:t>
      </w:r>
      <w:r w:rsidR="4818AA4A">
        <w:t>, but this proposal appears to be the most appropriate from a comparability and relevance point of view.</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39D72CFB" w:rsidR="009C41BB" w:rsidRPr="00BC5454" w:rsidRDefault="009C41BB" w:rsidP="009C41BB">
      <w:pPr>
        <w:pStyle w:val="Questionstyle"/>
      </w:pPr>
      <w:r w:rsidRPr="00BC5454">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4A2F214A" w14:textId="02D0EAC5" w:rsidR="007E2B69" w:rsidRDefault="6956561C" w:rsidP="009C41BB">
      <w:permStart w:id="1426525783" w:edGrp="everyone"/>
      <w:r>
        <w:t xml:space="preserve">The issue around data collection and what is feasible for FMPs to </w:t>
      </w:r>
      <w:r w:rsidR="0180522C">
        <w:t>acquire</w:t>
      </w:r>
      <w:r>
        <w:t xml:space="preserve"> is a </w:t>
      </w:r>
      <w:r w:rsidR="005D5022">
        <w:t>crucial</w:t>
      </w:r>
      <w:r>
        <w:t xml:space="preserve"> </w:t>
      </w:r>
      <w:r w:rsidR="79C5AA91">
        <w:t>one and</w:t>
      </w:r>
      <w:r>
        <w:t xml:space="preserve"> echoed in our responses to other questions on this form. </w:t>
      </w:r>
    </w:p>
    <w:p w14:paraId="09D0758A" w14:textId="17C2F735" w:rsidR="007E2B69" w:rsidRDefault="762382E4" w:rsidP="009C41BB">
      <w:r>
        <w:t xml:space="preserve">While transparency and disclosure </w:t>
      </w:r>
      <w:r w:rsidR="62221D3F">
        <w:t xml:space="preserve">of corporate </w:t>
      </w:r>
      <w:r w:rsidR="0DB4444B">
        <w:t>activity across</w:t>
      </w:r>
      <w:r w:rsidR="00DD704B">
        <w:t xml:space="preserve"> </w:t>
      </w:r>
      <w:r w:rsidR="0DB4444B">
        <w:t>value chains is important (especially consider</w:t>
      </w:r>
      <w:r w:rsidR="00BC27ED">
        <w:t>ing that</w:t>
      </w:r>
      <w:r w:rsidR="00DD704B">
        <w:t xml:space="preserve"> </w:t>
      </w:r>
      <w:r w:rsidR="0DB4444B">
        <w:t>for some companies, GHG emissions and</w:t>
      </w:r>
      <w:r w:rsidR="45F29318">
        <w:t xml:space="preserve"> adverse impacts related to social and environmental </w:t>
      </w:r>
      <w:r w:rsidR="003F781E">
        <w:t>indicators</w:t>
      </w:r>
      <w:r w:rsidR="45F29318">
        <w:t xml:space="preserve"> may be greatest </w:t>
      </w:r>
      <w:r w:rsidR="2BAB9C15">
        <w:t xml:space="preserve">across </w:t>
      </w:r>
      <w:r w:rsidR="45F29318">
        <w:t xml:space="preserve">value chains </w:t>
      </w:r>
      <w:r w:rsidR="00EA3468">
        <w:t xml:space="preserve">due to indirect company activities, </w:t>
      </w:r>
      <w:r w:rsidR="45F29318">
        <w:t xml:space="preserve">as opposed to </w:t>
      </w:r>
      <w:r w:rsidR="002A7D1F">
        <w:t>a company’s</w:t>
      </w:r>
      <w:r w:rsidR="45F29318">
        <w:t xml:space="preserve"> direct operations</w:t>
      </w:r>
      <w:r w:rsidR="00002C93">
        <w:t>), it</w:t>
      </w:r>
      <w:r w:rsidR="6956561C">
        <w:t xml:space="preserve"> is challenging to require the </w:t>
      </w:r>
      <w:r w:rsidR="2F5E134D">
        <w:t>inclusion</w:t>
      </w:r>
      <w:r w:rsidR="6956561C">
        <w:t xml:space="preserve"> of information that is not reported on.</w:t>
      </w:r>
      <w:r w:rsidR="08C4DAD5">
        <w:t xml:space="preserve"> </w:t>
      </w:r>
    </w:p>
    <w:p w14:paraId="0977D81E" w14:textId="5CC77D76" w:rsidR="00C813E6" w:rsidRDefault="00C813E6" w:rsidP="009C41BB">
      <w:r>
        <w:t>Additionally, it is important to consider materiality.</w:t>
      </w:r>
      <w:r w:rsidR="0016650B">
        <w:t xml:space="preserve"> Requirements around reporting should concern</w:t>
      </w:r>
      <w:r w:rsidRPr="00C813E6">
        <w:t xml:space="preserve"> the most material investee company value chains</w:t>
      </w:r>
      <w:r w:rsidR="006D1042">
        <w:t>.</w:t>
      </w:r>
      <w:r w:rsidRPr="00C813E6">
        <w:t xml:space="preserve"> </w:t>
      </w:r>
      <w:r w:rsidR="006D1042">
        <w:t xml:space="preserve">This </w:t>
      </w:r>
      <w:r w:rsidR="008A1A1B">
        <w:t>calls for</w:t>
      </w:r>
      <w:r w:rsidRPr="00C813E6">
        <w:t xml:space="preserve"> </w:t>
      </w:r>
      <w:r w:rsidR="006D1042">
        <w:t>additional</w:t>
      </w:r>
      <w:r w:rsidRPr="00C813E6">
        <w:t xml:space="preserve"> guidance</w:t>
      </w:r>
      <w:r w:rsidR="006D1042">
        <w:t xml:space="preserve"> but </w:t>
      </w:r>
      <w:hyperlink r:id="rId21" w:history="1">
        <w:r w:rsidR="006D1042" w:rsidRPr="00465CAD">
          <w:rPr>
            <w:rStyle w:val="Hyperlink"/>
            <w:color w:val="auto"/>
            <w:u w:val="none"/>
          </w:rPr>
          <w:t>the</w:t>
        </w:r>
        <w:r w:rsidR="008A1A1B" w:rsidRPr="00465CAD">
          <w:rPr>
            <w:rStyle w:val="Hyperlink"/>
          </w:rPr>
          <w:t xml:space="preserve"> Science </w:t>
        </w:r>
        <w:r w:rsidR="008A1A1B" w:rsidRPr="00465CAD">
          <w:rPr>
            <w:rStyle w:val="Hyperlink"/>
          </w:rPr>
          <w:lastRenderedPageBreak/>
          <w:t>Based Targets Network</w:t>
        </w:r>
        <w:r w:rsidR="006D1042" w:rsidRPr="00465CAD">
          <w:rPr>
            <w:rStyle w:val="Hyperlink"/>
          </w:rPr>
          <w:t xml:space="preserve"> </w:t>
        </w:r>
        <w:r w:rsidR="008A1A1B" w:rsidRPr="00465CAD">
          <w:rPr>
            <w:rStyle w:val="Hyperlink"/>
          </w:rPr>
          <w:t>(</w:t>
        </w:r>
        <w:r w:rsidRPr="00465CAD">
          <w:rPr>
            <w:rStyle w:val="Hyperlink"/>
          </w:rPr>
          <w:t>SBTN</w:t>
        </w:r>
        <w:r w:rsidR="008A1A1B" w:rsidRPr="00465CAD">
          <w:rPr>
            <w:rStyle w:val="Hyperlink"/>
          </w:rPr>
          <w:t>)</w:t>
        </w:r>
        <w:r w:rsidRPr="00465CAD">
          <w:rPr>
            <w:rStyle w:val="Hyperlink"/>
          </w:rPr>
          <w:t xml:space="preserve"> </w:t>
        </w:r>
        <w:r w:rsidR="00465CAD">
          <w:rPr>
            <w:rStyle w:val="Hyperlink"/>
          </w:rPr>
          <w:t>S</w:t>
        </w:r>
        <w:r w:rsidR="00465CAD" w:rsidRPr="00465CAD">
          <w:rPr>
            <w:rStyle w:val="Hyperlink"/>
          </w:rPr>
          <w:t>ectoral</w:t>
        </w:r>
        <w:r w:rsidR="00465CAD">
          <w:rPr>
            <w:rStyle w:val="Hyperlink"/>
          </w:rPr>
          <w:t xml:space="preserve"> M</w:t>
        </w:r>
        <w:r w:rsidRPr="00465CAD">
          <w:rPr>
            <w:rStyle w:val="Hyperlink"/>
          </w:rPr>
          <w:t xml:space="preserve">ateriality </w:t>
        </w:r>
        <w:r w:rsidR="00465CAD">
          <w:rPr>
            <w:rStyle w:val="Hyperlink"/>
          </w:rPr>
          <w:t>T</w:t>
        </w:r>
        <w:r w:rsidRPr="00465CAD">
          <w:rPr>
            <w:rStyle w:val="Hyperlink"/>
          </w:rPr>
          <w:t>ool</w:t>
        </w:r>
      </w:hyperlink>
      <w:r w:rsidRPr="00C813E6">
        <w:t xml:space="preserve"> is a </w:t>
      </w:r>
      <w:r w:rsidR="00C2621B">
        <w:t>quality</w:t>
      </w:r>
      <w:r w:rsidRPr="00C813E6">
        <w:t xml:space="preserve"> screening tool to quickly ascertain if a particular activity/sector is material to the environment.</w:t>
      </w:r>
    </w:p>
    <w:p w14:paraId="07B8A78C" w14:textId="23A878B4" w:rsidR="009C41BB" w:rsidRDefault="00A43364" w:rsidP="009C41BB">
      <w:r>
        <w:t>Requiring the inclu</w:t>
      </w:r>
      <w:r w:rsidR="0090616B">
        <w:t>sion</w:t>
      </w:r>
      <w:r>
        <w:t xml:space="preserve"> of investee companies’</w:t>
      </w:r>
      <w:r w:rsidR="00E44073">
        <w:t xml:space="preserve"> value chai</w:t>
      </w:r>
      <w:r w:rsidR="00671BA0">
        <w:t>ns</w:t>
      </w:r>
      <w:r w:rsidR="00E44073">
        <w:t xml:space="preserve"> in calculations will indeed bring the SFDR closer to other </w:t>
      </w:r>
      <w:r>
        <w:t>regulatory framework</w:t>
      </w:r>
      <w:r w:rsidR="0090616B">
        <w:t>s</w:t>
      </w:r>
      <w:r>
        <w:t xml:space="preserve"> for sustainable finance, including </w:t>
      </w:r>
      <w:r w:rsidR="0090616B">
        <w:t xml:space="preserve">the </w:t>
      </w:r>
      <w:r>
        <w:t>CSRD</w:t>
      </w:r>
      <w:r w:rsidR="00E44073">
        <w:t>, but</w:t>
      </w:r>
      <w:r>
        <w:t xml:space="preserve"> </w:t>
      </w:r>
      <w:r w:rsidR="00671BA0">
        <w:t>s</w:t>
      </w:r>
      <w:r w:rsidR="08C4DAD5">
        <w:t>uch a requirement should include parameters around what information FMPs should be able to feasibl</w:t>
      </w:r>
      <w:r w:rsidR="2D101B83">
        <w:t>e</w:t>
      </w:r>
      <w:r w:rsidR="08C4DAD5">
        <w:t xml:space="preserve"> acquire</w:t>
      </w:r>
      <w:r w:rsidR="00312BE1">
        <w:t>, what is material</w:t>
      </w:r>
      <w:r w:rsidR="67161987">
        <w:t xml:space="preserve"> and </w:t>
      </w:r>
      <w:r w:rsidR="00312BE1">
        <w:t>additional guidance on</w:t>
      </w:r>
      <w:r w:rsidR="00FA07D4">
        <w:t xml:space="preserve"> </w:t>
      </w:r>
      <w:r w:rsidR="67161987">
        <w:t>best practice.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250F2BFD" w:rsidR="009C41BB" w:rsidRPr="00082112" w:rsidRDefault="009C41BB" w:rsidP="009C41BB">
      <w:pPr>
        <w:pStyle w:val="Questionstyle"/>
      </w:pPr>
      <w:r w:rsidRPr="001B1929">
        <w:t xml:space="preserve">: </w:t>
      </w:r>
      <w:r w:rsidRPr="00082112">
        <w:t>Do you agree with the proposed treatment of derivatives in the PAI indicators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52173C89" w:rsidR="009C41BB" w:rsidRPr="00082112" w:rsidRDefault="009C41BB" w:rsidP="009C41BB">
      <w:pPr>
        <w:pStyle w:val="Questionstyle"/>
      </w:pPr>
      <w:r w:rsidRPr="00B808A5">
        <w:t xml:space="preserve">: </w:t>
      </w:r>
      <w:r w:rsidRPr="00082112">
        <w:t xml:space="preserve">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Pr="00FB0A17" w:rsidRDefault="009C41BB" w:rsidP="009C41BB">
      <w:pPr>
        <w:pStyle w:val="Questionstyle"/>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0EE566AA" w:rsidR="009C41BB" w:rsidRPr="00BC5454" w:rsidRDefault="009C41BB" w:rsidP="009C41BB">
      <w:pPr>
        <w:pStyle w:val="Questionstyle"/>
      </w:pPr>
      <w:r w:rsidRPr="00BC5454">
        <w:t>: Do you agree with the ESAs’ assessment of the DNSH framework under SFDR?</w:t>
      </w:r>
    </w:p>
    <w:p w14:paraId="4F8008B2" w14:textId="77777777" w:rsidR="009C41BB" w:rsidRDefault="009C41BB" w:rsidP="009C41BB">
      <w:r>
        <w:lastRenderedPageBreak/>
        <w:t>&lt;ESMA_QUESTION_SFDR_17&gt;</w:t>
      </w:r>
    </w:p>
    <w:p w14:paraId="44A8FD55" w14:textId="47B1D45C" w:rsidR="00024220" w:rsidRPr="00585C0C" w:rsidRDefault="66C0310D" w:rsidP="039D834F">
      <w:pPr>
        <w:rPr>
          <w:rFonts w:eastAsiaTheme="minorEastAsia"/>
        </w:rPr>
      </w:pPr>
      <w:permStart w:id="791154279" w:edGrp="everyone"/>
      <w:r w:rsidRPr="00585C0C">
        <w:rPr>
          <w:rFonts w:ascii="Segoe UI" w:eastAsia="Segoe UI" w:hAnsi="Segoe UI" w:cs="Segoe UI"/>
          <w:sz w:val="18"/>
          <w:szCs w:val="18"/>
        </w:rPr>
        <w:t xml:space="preserve"> </w:t>
      </w:r>
      <w:r w:rsidR="6ABAE41C" w:rsidRPr="00585C0C">
        <w:rPr>
          <w:rFonts w:eastAsiaTheme="minorEastAsia"/>
        </w:rPr>
        <w:t>We agree with your assessment of the DNSH framework on pg. 19 of the Joint Consultation Paper in that “d</w:t>
      </w:r>
      <w:r w:rsidR="6ABAE41C" w:rsidRPr="00585C0C">
        <w:rPr>
          <w:rFonts w:eastAsiaTheme="minorEastAsia"/>
          <w:i/>
          <w:iCs/>
        </w:rPr>
        <w:t>ue to SFDR being a disclosure framework, financial market participants cannot rely on predefined, common criteria in order to assess compliance of their sustainable investments with the DNSH principle, as they only have to take into account PAI indicators in their assessment. Considering the fact that ‘taking into account’ remains undefined, FMPs have discretion about the criteria they will apply when conducting the assessment</w:t>
      </w:r>
      <w:r w:rsidR="6ABAE41C" w:rsidRPr="00585C0C">
        <w:rPr>
          <w:rFonts w:eastAsiaTheme="minorEastAsia"/>
        </w:rPr>
        <w:t xml:space="preserve">”.  </w:t>
      </w:r>
      <w:r w:rsidRPr="00585C0C">
        <w:rPr>
          <w:rFonts w:eastAsiaTheme="minorEastAsia"/>
        </w:rPr>
        <w:t xml:space="preserve">FAIRR has </w:t>
      </w:r>
      <w:r w:rsidR="1D28227E" w:rsidRPr="00585C0C">
        <w:rPr>
          <w:rFonts w:eastAsiaTheme="minorEastAsia"/>
        </w:rPr>
        <w:t>also</w:t>
      </w:r>
      <w:r w:rsidR="003676B6" w:rsidRPr="00585C0C">
        <w:rPr>
          <w:rFonts w:eastAsiaTheme="minorEastAsia"/>
        </w:rPr>
        <w:t xml:space="preserve"> publicly</w:t>
      </w:r>
      <w:r w:rsidR="1D28227E" w:rsidRPr="00585C0C">
        <w:rPr>
          <w:rFonts w:eastAsiaTheme="minorEastAsia"/>
        </w:rPr>
        <w:t xml:space="preserve"> </w:t>
      </w:r>
      <w:r w:rsidRPr="00585C0C">
        <w:rPr>
          <w:rFonts w:eastAsiaTheme="minorEastAsia"/>
        </w:rPr>
        <w:t xml:space="preserve">commented in the past that the DNSH </w:t>
      </w:r>
      <w:r w:rsidR="619E181B" w:rsidRPr="00585C0C">
        <w:rPr>
          <w:rFonts w:eastAsiaTheme="minorEastAsia"/>
        </w:rPr>
        <w:t>framework</w:t>
      </w:r>
      <w:r w:rsidR="48B0401A" w:rsidRPr="00585C0C">
        <w:rPr>
          <w:rFonts w:eastAsiaTheme="minorEastAsia"/>
        </w:rPr>
        <w:t xml:space="preserve"> of the EU Taxonomy</w:t>
      </w:r>
      <w:r w:rsidR="619E181B" w:rsidRPr="00585C0C">
        <w:rPr>
          <w:rFonts w:eastAsiaTheme="minorEastAsia"/>
        </w:rPr>
        <w:t xml:space="preserve"> is </w:t>
      </w:r>
      <w:r w:rsidRPr="00585C0C">
        <w:rPr>
          <w:rFonts w:eastAsiaTheme="minorEastAsia"/>
        </w:rPr>
        <w:t>missing some important agriculture-specific criteria, such as antimicrobial resistance (AMR)</w:t>
      </w:r>
      <w:r w:rsidR="7FBD05FC" w:rsidRPr="00585C0C">
        <w:rPr>
          <w:rFonts w:eastAsiaTheme="minorEastAsia"/>
        </w:rPr>
        <w:t xml:space="preserve"> (see: https://www.fairr.org/news-events/press-releases/investor-letter-eu-taxonomy)</w:t>
      </w:r>
      <w:r w:rsidRPr="00585C0C">
        <w:rPr>
          <w:rFonts w:eastAsiaTheme="minorEastAsia"/>
        </w:rPr>
        <w:t>.</w:t>
      </w:r>
      <w:r w:rsidR="2583E969" w:rsidRPr="00585C0C">
        <w:rPr>
          <w:rFonts w:eastAsiaTheme="minorEastAsia"/>
        </w:rPr>
        <w:t xml:space="preserve"> </w:t>
      </w:r>
    </w:p>
    <w:p w14:paraId="7DDA6D60" w14:textId="46765508" w:rsidR="009C41BB" w:rsidRDefault="2583E969" w:rsidP="009C41BB">
      <w:pPr>
        <w:rPr>
          <w:rFonts w:ascii="Calibri" w:eastAsia="Calibri" w:hAnsi="Calibri" w:cs="Calibri"/>
        </w:rPr>
      </w:pPr>
      <w:r w:rsidRPr="00585C0C">
        <w:rPr>
          <w:rFonts w:eastAsiaTheme="minorEastAsia"/>
        </w:rPr>
        <w:t>For more robust compliance, better comparability of data and to prevent greenwashing, more specific disclosure</w:t>
      </w:r>
      <w:r w:rsidR="04D65C02" w:rsidRPr="00585C0C">
        <w:rPr>
          <w:rFonts w:eastAsiaTheme="minorEastAsia"/>
        </w:rPr>
        <w:t xml:space="preserve"> requirements under DNSH is needed, and we have provided our suggestions around this in our response to Question 21.</w:t>
      </w:r>
      <w:r w:rsidR="003707CB" w:rsidRPr="00585C0C">
        <w:rPr>
          <w:rFonts w:eastAsiaTheme="minorEastAsia"/>
        </w:rPr>
        <w:t xml:space="preserve"> This may make the exercise more complex for certain FMPs but it is critical.</w:t>
      </w:r>
      <w:r w:rsidR="41E8722E" w:rsidRPr="00585C0C">
        <w:rPr>
          <w:rFonts w:eastAsiaTheme="minorEastAsia"/>
        </w:rPr>
        <w:t xml:space="preserve"> Ultimately, we</w:t>
      </w:r>
      <w:r w:rsidR="1CC87D15" w:rsidRPr="00585C0C">
        <w:rPr>
          <w:rFonts w:eastAsiaTheme="minorEastAsia"/>
        </w:rPr>
        <w:t xml:space="preserve"> believe the </w:t>
      </w:r>
      <w:r w:rsidR="41E8722E" w:rsidRPr="00585C0C">
        <w:rPr>
          <w:rFonts w:ascii="Calibri" w:eastAsia="Calibri" w:hAnsi="Calibri" w:cs="Calibri"/>
        </w:rPr>
        <w:t xml:space="preserve">EU Taxonomy is </w:t>
      </w:r>
      <w:r w:rsidR="0A9D1E2D" w:rsidRPr="00585C0C">
        <w:rPr>
          <w:rFonts w:ascii="Calibri" w:eastAsia="Calibri" w:hAnsi="Calibri" w:cs="Calibri"/>
        </w:rPr>
        <w:t>best to d</w:t>
      </w:r>
      <w:r w:rsidR="41E8722E" w:rsidRPr="00585C0C">
        <w:rPr>
          <w:rFonts w:ascii="Calibri" w:eastAsia="Calibri" w:hAnsi="Calibri" w:cs="Calibri"/>
        </w:rPr>
        <w:t xml:space="preserve">efine DNSH </w:t>
      </w:r>
      <w:r w:rsidR="5C7BBD2A" w:rsidRPr="00585C0C">
        <w:rPr>
          <w:rFonts w:ascii="Calibri" w:eastAsia="Calibri" w:hAnsi="Calibri" w:cs="Calibri"/>
        </w:rPr>
        <w:t xml:space="preserve">as it was developed to set parameters around </w:t>
      </w:r>
      <w:r w:rsidR="5C7BBD2A" w:rsidRPr="01253CED">
        <w:rPr>
          <w:rFonts w:ascii="Calibri" w:eastAsia="Calibri" w:hAnsi="Calibri" w:cs="Calibri"/>
        </w:rPr>
        <w:t>what</w:t>
      </w:r>
      <w:r w:rsidR="41E8722E" w:rsidRPr="01253CED">
        <w:rPr>
          <w:rFonts w:ascii="Calibri" w:eastAsia="Calibri" w:hAnsi="Calibri" w:cs="Calibri"/>
        </w:rPr>
        <w:t xml:space="preserve"> environmental criteria in EU sustainable finance policy </w:t>
      </w:r>
      <w:r w:rsidR="34593E7B" w:rsidRPr="01253CED">
        <w:rPr>
          <w:rFonts w:ascii="Calibri" w:eastAsia="Calibri" w:hAnsi="Calibri" w:cs="Calibri"/>
        </w:rPr>
        <w:t>should look like</w:t>
      </w:r>
      <w:r w:rsidR="41E8722E" w:rsidRPr="01253CED">
        <w:rPr>
          <w:rFonts w:ascii="Calibri" w:eastAsia="Calibri" w:hAnsi="Calibri" w:cs="Calibri"/>
        </w:rPr>
        <w:t xml:space="preserve">. </w:t>
      </w:r>
    </w:p>
    <w:permEnd w:id="791154279"/>
    <w:p w14:paraId="3B1D7F40" w14:textId="5419B0BF" w:rsidR="04D65C02" w:rsidRDefault="04D65C02" w:rsidP="6F953ECD">
      <w:pPr>
        <w:rPr>
          <w:rFonts w:ascii="Segoe UI" w:eastAsia="Segoe UI" w:hAnsi="Segoe UI" w:cs="Segoe UI"/>
          <w:color w:val="333333"/>
          <w:sz w:val="18"/>
          <w:szCs w:val="18"/>
        </w:rPr>
      </w:pPr>
    </w:p>
    <w:p w14:paraId="3FA2FE7A" w14:textId="77777777" w:rsidR="009C41BB" w:rsidRDefault="009C41BB" w:rsidP="009C41BB">
      <w:r>
        <w:t>&lt;ESMA_QUESTION_SFDR_17&gt;</w:t>
      </w:r>
    </w:p>
    <w:p w14:paraId="6B0958DF" w14:textId="77777777" w:rsidR="009C41BB" w:rsidRDefault="009C41BB" w:rsidP="009C41BB"/>
    <w:p w14:paraId="60A358F2" w14:textId="607A3360" w:rsidR="009C41BB" w:rsidRPr="00BC5454" w:rsidRDefault="009C41BB" w:rsidP="009C41BB">
      <w:pPr>
        <w:pStyle w:val="Questionstyle"/>
      </w:pPr>
      <w:r w:rsidRPr="00BC5454">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0B272497" w14:textId="2581D2DB" w:rsidR="4F9455FB" w:rsidRDefault="4F9455FB" w:rsidP="00903CEE">
      <w:r>
        <w:t>It could potentially be helpful to make mandatory the disclosure of quantitative thresholds that FMPs use to take into account the PAI indicators for DNSH purposes; however, there are risks with this approach as it risks overcomplicating the framework and creating duplicative burdens.</w:t>
      </w:r>
      <w:r w:rsidR="00903CEE">
        <w:t xml:space="preserve"> </w:t>
      </w:r>
      <w:r>
        <w:t>In addition, there are risks that transition finance would be disincentivised in terms of investments that have credible plans in pl</w:t>
      </w:r>
      <w:r w:rsidR="40276C7B">
        <w:t>ace to reduce harm over time</w:t>
      </w:r>
      <w:r w:rsidR="38BA3A96">
        <w:t>, so this should be approached carefully</w:t>
      </w:r>
      <w:r w:rsidR="40276C7B">
        <w:t>.</w:t>
      </w:r>
      <w:r w:rsidR="486BB8AC">
        <w:t xml:space="preserve"> It may be more relevant to call for use of the EU Taxonomy DNSH thresholds.</w:t>
      </w:r>
    </w:p>
    <w:p w14:paraId="37F0DF8D" w14:textId="3C674F1E" w:rsidR="00903CEE" w:rsidRPr="00714792" w:rsidRDefault="00903CEE" w:rsidP="00903CEE">
      <w:pPr>
        <w:rPr>
          <w:rFonts w:cstheme="minorHAnsi"/>
        </w:rPr>
      </w:pPr>
      <w:r w:rsidRPr="00714792">
        <w:rPr>
          <w:rStyle w:val="cf01"/>
          <w:rFonts w:asciiTheme="minorHAnsi" w:hAnsiTheme="minorHAnsi" w:cstheme="minorHAnsi"/>
          <w:sz w:val="22"/>
          <w:szCs w:val="22"/>
        </w:rPr>
        <w:t xml:space="preserve">If disclosure of thresholds are to be made mandatory, these must be adjusted by sector and should not be sector agnostic. </w:t>
      </w:r>
      <w:r w:rsidR="006528DD" w:rsidRPr="00714792">
        <w:rPr>
          <w:rStyle w:val="cf01"/>
          <w:rFonts w:asciiTheme="minorHAnsi" w:hAnsiTheme="minorHAnsi" w:cstheme="minorHAnsi"/>
          <w:sz w:val="22"/>
          <w:szCs w:val="22"/>
        </w:rPr>
        <w:t>A</w:t>
      </w:r>
      <w:r w:rsidRPr="00714792">
        <w:rPr>
          <w:rStyle w:val="cf01"/>
          <w:rFonts w:asciiTheme="minorHAnsi" w:hAnsiTheme="minorHAnsi" w:cstheme="minorHAnsi"/>
          <w:sz w:val="22"/>
          <w:szCs w:val="22"/>
        </w:rPr>
        <w:t xml:space="preserve"> </w:t>
      </w:r>
      <w:r w:rsidR="006528DD" w:rsidRPr="00714792">
        <w:rPr>
          <w:rStyle w:val="cf01"/>
          <w:rFonts w:asciiTheme="minorHAnsi" w:hAnsiTheme="minorHAnsi" w:cstheme="minorHAnsi"/>
          <w:sz w:val="22"/>
          <w:szCs w:val="22"/>
        </w:rPr>
        <w:t>“</w:t>
      </w:r>
      <w:r w:rsidRPr="00714792">
        <w:rPr>
          <w:rStyle w:val="cf01"/>
          <w:rFonts w:asciiTheme="minorHAnsi" w:hAnsiTheme="minorHAnsi" w:cstheme="minorHAnsi"/>
          <w:sz w:val="22"/>
          <w:szCs w:val="22"/>
        </w:rPr>
        <w:t>pass/fail</w:t>
      </w:r>
      <w:r w:rsidR="006528DD" w:rsidRPr="00714792">
        <w:rPr>
          <w:rStyle w:val="cf01"/>
          <w:rFonts w:asciiTheme="minorHAnsi" w:hAnsiTheme="minorHAnsi" w:cstheme="minorHAnsi"/>
          <w:sz w:val="22"/>
          <w:szCs w:val="22"/>
        </w:rPr>
        <w:t>”</w:t>
      </w:r>
      <w:r w:rsidRPr="00714792">
        <w:rPr>
          <w:rStyle w:val="cf01"/>
          <w:rFonts w:asciiTheme="minorHAnsi" w:hAnsiTheme="minorHAnsi" w:cstheme="minorHAnsi"/>
          <w:sz w:val="22"/>
          <w:szCs w:val="22"/>
        </w:rPr>
        <w:t xml:space="preserve"> or binary assessment for thresholds</w:t>
      </w:r>
      <w:r w:rsidR="006528DD" w:rsidRPr="00714792">
        <w:rPr>
          <w:rStyle w:val="cf01"/>
          <w:rFonts w:asciiTheme="minorHAnsi" w:hAnsiTheme="minorHAnsi" w:cstheme="minorHAnsi"/>
          <w:sz w:val="22"/>
          <w:szCs w:val="22"/>
        </w:rPr>
        <w:t xml:space="preserve"> should be avoided</w:t>
      </w:r>
      <w:r w:rsidR="007B14E3" w:rsidRPr="00714792">
        <w:rPr>
          <w:rStyle w:val="cf01"/>
          <w:rFonts w:asciiTheme="minorHAnsi" w:hAnsiTheme="minorHAnsi" w:cstheme="minorHAnsi"/>
          <w:sz w:val="22"/>
          <w:szCs w:val="22"/>
        </w:rPr>
        <w:t xml:space="preserve">, except for </w:t>
      </w:r>
      <w:r w:rsidRPr="00714792">
        <w:rPr>
          <w:rStyle w:val="cf01"/>
          <w:rFonts w:asciiTheme="minorHAnsi" w:hAnsiTheme="minorHAnsi" w:cstheme="minorHAnsi"/>
          <w:sz w:val="22"/>
          <w:szCs w:val="22"/>
        </w:rPr>
        <w:t xml:space="preserve">FMP activities in sensitive sectors. If </w:t>
      </w:r>
      <w:r w:rsidR="007B14E3" w:rsidRPr="00714792">
        <w:rPr>
          <w:rStyle w:val="cf01"/>
          <w:rFonts w:asciiTheme="minorHAnsi" w:hAnsiTheme="minorHAnsi" w:cstheme="minorHAnsi"/>
          <w:sz w:val="22"/>
          <w:szCs w:val="22"/>
        </w:rPr>
        <w:t>there is activity in</w:t>
      </w:r>
      <w:r w:rsidRPr="00714792">
        <w:rPr>
          <w:rStyle w:val="cf01"/>
          <w:rFonts w:asciiTheme="minorHAnsi" w:hAnsiTheme="minorHAnsi" w:cstheme="minorHAnsi"/>
          <w:sz w:val="22"/>
          <w:szCs w:val="22"/>
        </w:rPr>
        <w:t xml:space="preserve"> sensitive sectors, then </w:t>
      </w:r>
      <w:r w:rsidR="007B14E3" w:rsidRPr="00714792">
        <w:rPr>
          <w:rStyle w:val="cf01"/>
          <w:rFonts w:asciiTheme="minorHAnsi" w:hAnsiTheme="minorHAnsi" w:cstheme="minorHAnsi"/>
          <w:sz w:val="22"/>
          <w:szCs w:val="22"/>
        </w:rPr>
        <w:t>FMPs</w:t>
      </w:r>
      <w:r w:rsidRPr="00714792">
        <w:rPr>
          <w:rStyle w:val="cf01"/>
          <w:rFonts w:asciiTheme="minorHAnsi" w:hAnsiTheme="minorHAnsi" w:cstheme="minorHAnsi"/>
          <w:sz w:val="22"/>
          <w:szCs w:val="22"/>
        </w:rPr>
        <w:t xml:space="preserve"> could provide a statement or additional disclosure on their DNSH initiatives in that particular sector. For instance, emission abatement tech in oil and gas, or engagement with suppliers in regions where land use change is high</w:t>
      </w:r>
      <w:r w:rsidR="00AF3E9F" w:rsidRPr="00714792">
        <w:rPr>
          <w:rStyle w:val="cf01"/>
          <w:rFonts w:asciiTheme="minorHAnsi" w:hAnsiTheme="minorHAnsi" w:cstheme="minorHAnsi"/>
          <w:sz w:val="22"/>
          <w:szCs w:val="22"/>
        </w:rPr>
        <w:t>,</w:t>
      </w:r>
      <w:r w:rsidRPr="00714792">
        <w:rPr>
          <w:rStyle w:val="cf01"/>
          <w:rFonts w:asciiTheme="minorHAnsi" w:hAnsiTheme="minorHAnsi" w:cstheme="minorHAnsi"/>
          <w:sz w:val="22"/>
          <w:szCs w:val="22"/>
        </w:rPr>
        <w:t xml:space="preserve"> etc.</w:t>
      </w:r>
    </w:p>
    <w:p w14:paraId="51EC0BD3" w14:textId="77777777" w:rsidR="009C41BB" w:rsidRDefault="009C41BB" w:rsidP="009C41BB">
      <w:r>
        <w:t>&lt;ESMA_QUESTION_SFDR_18&gt;</w:t>
      </w:r>
    </w:p>
    <w:p w14:paraId="678E8E44" w14:textId="77777777" w:rsidR="009C41BB" w:rsidRDefault="009C41BB" w:rsidP="009C41BB"/>
    <w:p w14:paraId="62F4C721" w14:textId="06F7A607" w:rsidR="009C41BB" w:rsidRPr="00B36180" w:rsidRDefault="009C41BB" w:rsidP="009C41BB">
      <w:pPr>
        <w:pStyle w:val="Questionstyle"/>
      </w:pPr>
      <w:r w:rsidRPr="00B36180">
        <w:t xml:space="preserve">: Do you support the introduction of an optional “safe </w:t>
      </w:r>
      <w:proofErr w:type="spellStart"/>
      <w:r w:rsidRPr="00B36180">
        <w:t>harbour</w:t>
      </w:r>
      <w:proofErr w:type="spellEnd"/>
      <w:r w:rsidRPr="00B36180">
        <w:t>” for environmental DNSH for taxonomy-aligned activities? Please explain your reasoning.</w:t>
      </w:r>
    </w:p>
    <w:p w14:paraId="63882390" w14:textId="77777777" w:rsidR="009C41BB" w:rsidRDefault="009C41BB" w:rsidP="009C41BB">
      <w:r>
        <w:t>&lt;ESMA_QUESTION_SFDR_19&gt;</w:t>
      </w:r>
    </w:p>
    <w:p w14:paraId="1C6CB175" w14:textId="6A4C6259" w:rsidR="009C41BB" w:rsidDel="00664F98" w:rsidRDefault="2D3BA5EE" w:rsidP="009C41BB">
      <w:permStart w:id="403253184" w:edGrp="everyone"/>
      <w:r>
        <w:t>We agree with a safe harbour for taxonomy-aligned activities as they have already undergone a DNSH assessment</w:t>
      </w:r>
      <w:r w:rsidR="79BE81D3">
        <w:t>.</w:t>
      </w:r>
      <w:r w:rsidR="455EBA36">
        <w:t xml:space="preserve"> </w:t>
      </w:r>
      <w:r w:rsidR="254074CC">
        <w:t>However</w:t>
      </w:r>
      <w:r w:rsidR="5F2B50F6">
        <w:t xml:space="preserve">, </w:t>
      </w:r>
      <w:r w:rsidR="254074CC">
        <w:t>this could</w:t>
      </w:r>
      <w:r w:rsidR="45897CE7">
        <w:t xml:space="preserve"> have an impact on comparability</w:t>
      </w:r>
      <w:r w:rsidR="1C8A9C46">
        <w:t>,</w:t>
      </w:r>
      <w:r w:rsidR="45897CE7">
        <w:t xml:space="preserve"> </w:t>
      </w:r>
      <w:r w:rsidR="0E5F3FDD">
        <w:t>and it must be made clear whethe</w:t>
      </w:r>
      <w:r w:rsidR="456ED3A9">
        <w:t>r</w:t>
      </w:r>
      <w:r w:rsidR="0E5F3FDD">
        <w:t xml:space="preserve"> the whole investment would be regarded as a “sustainable” </w:t>
      </w:r>
      <w:r w:rsidR="5F2B50F6">
        <w:t>under</w:t>
      </w:r>
      <w:r w:rsidR="0E5F3FDD">
        <w:t xml:space="preserve"> SFDR or just the proportion that relates to the “taxonomy-aligned activities”</w:t>
      </w:r>
      <w:r w:rsidR="5F2B50F6">
        <w:t>.</w:t>
      </w:r>
      <w:r w:rsidR="62624D70" w:rsidRPr="516B036F">
        <w:rPr>
          <w:rFonts w:ascii="Calibri" w:eastAsia="Calibri" w:hAnsi="Calibri" w:cs="Calibri"/>
        </w:rPr>
        <w:t xml:space="preserve"> With this noted, we believe it is necessary </w:t>
      </w:r>
      <w:r w:rsidR="696CDB8D" w:rsidRPr="516B036F">
        <w:rPr>
          <w:rFonts w:ascii="Calibri" w:eastAsia="Calibri" w:hAnsi="Calibri" w:cs="Calibri"/>
        </w:rPr>
        <w:t xml:space="preserve">to revise Level 1 of the </w:t>
      </w:r>
      <w:r w:rsidR="62624D70" w:rsidRPr="516B036F">
        <w:rPr>
          <w:rFonts w:ascii="Calibri" w:eastAsia="Calibri" w:hAnsi="Calibri" w:cs="Calibri"/>
        </w:rPr>
        <w:t xml:space="preserve">SFDR </w:t>
      </w:r>
      <w:r w:rsidR="7AA0B62D" w:rsidRPr="516B036F">
        <w:rPr>
          <w:rFonts w:ascii="Calibri" w:eastAsia="Calibri" w:hAnsi="Calibri" w:cs="Calibri"/>
        </w:rPr>
        <w:t xml:space="preserve">to </w:t>
      </w:r>
      <w:r w:rsidR="62624D70" w:rsidRPr="516B036F">
        <w:rPr>
          <w:rFonts w:ascii="Calibri" w:eastAsia="Calibri" w:hAnsi="Calibri" w:cs="Calibri"/>
        </w:rPr>
        <w:t>clarif</w:t>
      </w:r>
      <w:r w:rsidR="00B907B0" w:rsidRPr="516B036F">
        <w:rPr>
          <w:rFonts w:ascii="Calibri" w:eastAsia="Calibri" w:hAnsi="Calibri" w:cs="Calibri"/>
        </w:rPr>
        <w:t xml:space="preserve">y </w:t>
      </w:r>
      <w:r w:rsidR="62624D70" w:rsidRPr="516B036F">
        <w:rPr>
          <w:rFonts w:ascii="Calibri" w:eastAsia="Calibri" w:hAnsi="Calibri" w:cs="Calibri"/>
        </w:rPr>
        <w:t xml:space="preserve">the definition of ‘sustainable investment’ by </w:t>
      </w:r>
      <w:r w:rsidR="6840667C" w:rsidRPr="516B036F">
        <w:rPr>
          <w:rFonts w:ascii="Calibri" w:eastAsia="Calibri" w:hAnsi="Calibri" w:cs="Calibri"/>
        </w:rPr>
        <w:t>explicitly</w:t>
      </w:r>
      <w:r w:rsidR="62624D70" w:rsidRPr="516B036F">
        <w:rPr>
          <w:rFonts w:ascii="Calibri" w:eastAsia="Calibri" w:hAnsi="Calibri" w:cs="Calibri"/>
        </w:rPr>
        <w:t xml:space="preserve"> referring to the EU Taxonomy criteria for environmental issues</w:t>
      </w:r>
      <w:r w:rsidR="0CEACF38" w:rsidDel="00E379B7">
        <w:t>.</w:t>
      </w:r>
      <w:r w:rsidR="0CEACF38" w:rsidDel="00970ED5">
        <w:t xml:space="preserve"> </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080061F1" w:rsidR="009C41BB" w:rsidRPr="00C10F79" w:rsidRDefault="009C41BB" w:rsidP="009C41BB">
      <w:pPr>
        <w:pStyle w:val="Questionstyle"/>
      </w:pPr>
      <w:r w:rsidRPr="00C10F79">
        <w:t xml:space="preserve">: </w:t>
      </w:r>
      <w:r w:rsidRPr="00082112">
        <w:t>Do you agree with the longer term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77777777" w:rsidR="009C41BB" w:rsidRDefault="009C41BB" w:rsidP="009C41BB">
      <w:permStart w:id="10765956" w:edGrp="everyone"/>
      <w:r>
        <w:t>TYPE YOUR TEXT HERE</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3DAE736B" w:rsidR="009C41BB" w:rsidRPr="00BC5454" w:rsidRDefault="009C41BB" w:rsidP="009C41BB">
      <w:pPr>
        <w:pStyle w:val="Questionstyle"/>
      </w:pPr>
      <w:r w:rsidRPr="00BC5454">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4473E76A" w14:textId="0E8DCFD2" w:rsidR="003F1E5F" w:rsidRDefault="00607858" w:rsidP="009C41BB">
      <w:permStart w:id="1098926409" w:edGrp="everyone"/>
      <w:r>
        <w:t xml:space="preserve">Greenwashing is an increasing risk to </w:t>
      </w:r>
      <w:r w:rsidR="00B34F1D">
        <w:t>FMPs.</w:t>
      </w:r>
      <w:r w:rsidR="004B380F">
        <w:t xml:space="preserve"> Level 2 of the SFDR </w:t>
      </w:r>
      <w:r w:rsidR="7CD66A19">
        <w:t>was meant to help</w:t>
      </w:r>
      <w:r w:rsidR="005D5439">
        <w:t xml:space="preserve"> reduce </w:t>
      </w:r>
      <w:r w:rsidR="44F67C90">
        <w:t xml:space="preserve">the </w:t>
      </w:r>
      <w:r w:rsidR="005D5439">
        <w:t>risk of greenwashing by requiring FMP</w:t>
      </w:r>
      <w:r w:rsidR="16D92054">
        <w:t>s</w:t>
      </w:r>
      <w:r w:rsidR="005D5439">
        <w:t xml:space="preserve"> to better define funds under specific categories according to their sustainability characteristics</w:t>
      </w:r>
      <w:r w:rsidR="72C52E56">
        <w:t xml:space="preserve">. Additionally, </w:t>
      </w:r>
      <w:r w:rsidR="00A40DE9">
        <w:t>most organisations</w:t>
      </w:r>
      <w:r w:rsidR="00F46339">
        <w:t xml:space="preserve"> required to report under the SDFR are also required to compl</w:t>
      </w:r>
      <w:r w:rsidR="0680C27D">
        <w:t>y</w:t>
      </w:r>
      <w:r w:rsidR="00F46339">
        <w:t xml:space="preserve"> with </w:t>
      </w:r>
      <w:r w:rsidR="005D5439">
        <w:t>the EU Taxonomy</w:t>
      </w:r>
      <w:r w:rsidR="00313401">
        <w:t xml:space="preserve">, which already provides guidance on what constitutes a </w:t>
      </w:r>
      <w:r w:rsidR="1EB51AE3">
        <w:t>sustainable</w:t>
      </w:r>
      <w:r w:rsidR="00313401">
        <w:t xml:space="preserve"> activity</w:t>
      </w:r>
      <w:r w:rsidR="007152F5">
        <w:t xml:space="preserve">. </w:t>
      </w:r>
      <w:r w:rsidR="00091AD7">
        <w:t>However, there is still a lot of room for FMP</w:t>
      </w:r>
      <w:r w:rsidR="007325B0">
        <w:t xml:space="preserve"> discretion. </w:t>
      </w:r>
    </w:p>
    <w:p w14:paraId="523A0AE5" w14:textId="0A5471B0" w:rsidR="004279FB" w:rsidRDefault="008A4263" w:rsidP="009C41BB">
      <w:pPr>
        <w:rPr>
          <w:rStyle w:val="cf01"/>
        </w:rPr>
      </w:pPr>
      <w:r>
        <w:t>We agree that</w:t>
      </w:r>
      <w:r w:rsidR="00AD59AB">
        <w:t xml:space="preserve"> </w:t>
      </w:r>
      <w:r w:rsidR="008C61A4" w:rsidRPr="008C61A4">
        <w:t>current disclosures could also be improved upon to require more granular information</w:t>
      </w:r>
      <w:r w:rsidR="4E89510B">
        <w:t>, as outlined on pg</w:t>
      </w:r>
      <w:r w:rsidR="00762E71">
        <w:t>. 2</w:t>
      </w:r>
      <w:r w:rsidR="4E89510B">
        <w:t xml:space="preserve">5-26 of </w:t>
      </w:r>
      <w:r w:rsidR="003F3056">
        <w:t>the</w:t>
      </w:r>
      <w:r w:rsidR="4E89510B">
        <w:t xml:space="preserve"> Joint Consultation Paper</w:t>
      </w:r>
      <w:r w:rsidR="008C61A4">
        <w:t xml:space="preserve">. </w:t>
      </w:r>
      <w:r>
        <w:t xml:space="preserve">FMPs should </w:t>
      </w:r>
      <w:r w:rsidR="637215EE">
        <w:t xml:space="preserve">be </w:t>
      </w:r>
      <w:r w:rsidR="007152F5">
        <w:t xml:space="preserve">required </w:t>
      </w:r>
      <w:r w:rsidR="637215EE">
        <w:t xml:space="preserve">to </w:t>
      </w:r>
      <w:r w:rsidRPr="008A4263">
        <w:t xml:space="preserve">publish </w:t>
      </w:r>
      <w:r w:rsidR="74B4F894">
        <w:t>further information</w:t>
      </w:r>
      <w:r w:rsidR="1B8411CE">
        <w:t xml:space="preserve"> at product level, including the thresholds for the</w:t>
      </w:r>
      <w:r w:rsidRPr="008A4263">
        <w:t xml:space="preserve"> use of PAI indicators to </w:t>
      </w:r>
      <w:r w:rsidRPr="0088791F">
        <w:rPr>
          <w:rFonts w:cstheme="minorHAnsi"/>
        </w:rPr>
        <w:t xml:space="preserve">determine that their sustainable investments do no significant harm, </w:t>
      </w:r>
      <w:r w:rsidR="00A92BA5" w:rsidRPr="0088791F">
        <w:rPr>
          <w:rFonts w:cstheme="minorHAnsi"/>
        </w:rPr>
        <w:t>to allow for</w:t>
      </w:r>
      <w:r w:rsidRPr="0088791F">
        <w:rPr>
          <w:rFonts w:cstheme="minorHAnsi"/>
        </w:rPr>
        <w:t xml:space="preserve"> better </w:t>
      </w:r>
      <w:r w:rsidR="185EA0D6" w:rsidRPr="0088791F">
        <w:rPr>
          <w:rFonts w:cstheme="minorHAnsi"/>
        </w:rPr>
        <w:t>transparency</w:t>
      </w:r>
      <w:r w:rsidR="007152F5" w:rsidRPr="0088791F">
        <w:rPr>
          <w:rFonts w:cstheme="minorHAnsi"/>
        </w:rPr>
        <w:t xml:space="preserve"> </w:t>
      </w:r>
      <w:r w:rsidRPr="0088791F">
        <w:rPr>
          <w:rFonts w:cstheme="minorHAnsi"/>
        </w:rPr>
        <w:t>and some degree of comparability between financial products.</w:t>
      </w:r>
      <w:r w:rsidR="00A92BA5" w:rsidRPr="0088791F">
        <w:rPr>
          <w:rFonts w:cstheme="minorHAnsi"/>
        </w:rPr>
        <w:t xml:space="preserve"> </w:t>
      </w:r>
      <w:r w:rsidR="00BB63A2" w:rsidRPr="0088791F">
        <w:rPr>
          <w:rStyle w:val="cf01"/>
          <w:rFonts w:asciiTheme="minorHAnsi" w:hAnsiTheme="minorHAnsi" w:cstheme="minorHAnsi"/>
          <w:sz w:val="22"/>
          <w:szCs w:val="22"/>
        </w:rPr>
        <w:t xml:space="preserve">When it comes to emission abatement measures, following </w:t>
      </w:r>
      <w:r w:rsidR="00BF10E6" w:rsidRPr="0088791F">
        <w:rPr>
          <w:rStyle w:val="cf01"/>
          <w:rFonts w:asciiTheme="minorHAnsi" w:hAnsiTheme="minorHAnsi" w:cstheme="minorHAnsi"/>
          <w:sz w:val="22"/>
          <w:szCs w:val="22"/>
        </w:rPr>
        <w:t>quality Measurement, Reporting and Verification</w:t>
      </w:r>
      <w:r w:rsidR="00BB63A2" w:rsidRPr="0088791F">
        <w:rPr>
          <w:rStyle w:val="cf01"/>
          <w:rFonts w:asciiTheme="minorHAnsi" w:hAnsiTheme="minorHAnsi" w:cstheme="minorHAnsi"/>
          <w:sz w:val="22"/>
          <w:szCs w:val="22"/>
        </w:rPr>
        <w:t xml:space="preserve"> </w:t>
      </w:r>
      <w:r w:rsidR="00BF10E6" w:rsidRPr="0088791F">
        <w:rPr>
          <w:rStyle w:val="cf01"/>
          <w:rFonts w:asciiTheme="minorHAnsi" w:hAnsiTheme="minorHAnsi" w:cstheme="minorHAnsi"/>
          <w:sz w:val="22"/>
          <w:szCs w:val="22"/>
        </w:rPr>
        <w:t>(</w:t>
      </w:r>
      <w:r w:rsidR="00BB63A2" w:rsidRPr="0088791F">
        <w:rPr>
          <w:rStyle w:val="cf01"/>
          <w:rFonts w:asciiTheme="minorHAnsi" w:hAnsiTheme="minorHAnsi" w:cstheme="minorHAnsi"/>
          <w:sz w:val="22"/>
          <w:szCs w:val="22"/>
        </w:rPr>
        <w:t>MRV</w:t>
      </w:r>
      <w:r w:rsidR="00BF10E6" w:rsidRPr="0088791F">
        <w:rPr>
          <w:rStyle w:val="cf01"/>
          <w:rFonts w:asciiTheme="minorHAnsi" w:hAnsiTheme="minorHAnsi" w:cstheme="minorHAnsi"/>
          <w:sz w:val="22"/>
          <w:szCs w:val="22"/>
        </w:rPr>
        <w:t>)</w:t>
      </w:r>
      <w:r w:rsidR="00BB63A2" w:rsidRPr="0088791F">
        <w:rPr>
          <w:rStyle w:val="cf01"/>
          <w:rFonts w:asciiTheme="minorHAnsi" w:hAnsiTheme="minorHAnsi" w:cstheme="minorHAnsi"/>
          <w:sz w:val="22"/>
          <w:szCs w:val="22"/>
        </w:rPr>
        <w:t xml:space="preserve"> </w:t>
      </w:r>
      <w:r w:rsidR="00BB63A2" w:rsidRPr="0088791F">
        <w:rPr>
          <w:rStyle w:val="cf01"/>
          <w:rFonts w:asciiTheme="minorHAnsi" w:hAnsiTheme="minorHAnsi" w:cstheme="minorHAnsi"/>
          <w:sz w:val="22"/>
          <w:szCs w:val="22"/>
        </w:rPr>
        <w:lastRenderedPageBreak/>
        <w:t>practices and reporting uncertainty or confidence intervals of emission abatement potential of technologies would be helpful in avoiding greenwashing. For instance, the potential of many nature-based solutions</w:t>
      </w:r>
      <w:r w:rsidR="00F71964" w:rsidRPr="0088791F">
        <w:rPr>
          <w:rStyle w:val="cf01"/>
          <w:rFonts w:asciiTheme="minorHAnsi" w:hAnsiTheme="minorHAnsi" w:cstheme="minorHAnsi"/>
          <w:sz w:val="22"/>
          <w:szCs w:val="22"/>
        </w:rPr>
        <w:t xml:space="preserve"> -</w:t>
      </w:r>
      <w:r w:rsidR="00BB63A2" w:rsidRPr="0088791F">
        <w:rPr>
          <w:rStyle w:val="cf01"/>
          <w:rFonts w:asciiTheme="minorHAnsi" w:hAnsiTheme="minorHAnsi" w:cstheme="minorHAnsi"/>
          <w:sz w:val="22"/>
          <w:szCs w:val="22"/>
        </w:rPr>
        <w:t xml:space="preserve"> such as </w:t>
      </w:r>
      <w:proofErr w:type="spellStart"/>
      <w:r w:rsidR="00BB63A2" w:rsidRPr="0088791F">
        <w:rPr>
          <w:rStyle w:val="cf01"/>
          <w:rFonts w:asciiTheme="minorHAnsi" w:hAnsiTheme="minorHAnsi" w:cstheme="minorHAnsi"/>
          <w:sz w:val="22"/>
          <w:szCs w:val="22"/>
        </w:rPr>
        <w:t>regen</w:t>
      </w:r>
      <w:r w:rsidR="004279FB" w:rsidRPr="0088791F">
        <w:rPr>
          <w:rStyle w:val="cf01"/>
          <w:rFonts w:asciiTheme="minorHAnsi" w:hAnsiTheme="minorHAnsi" w:cstheme="minorHAnsi"/>
          <w:sz w:val="22"/>
          <w:szCs w:val="22"/>
        </w:rPr>
        <w:t>ative</w:t>
      </w:r>
      <w:proofErr w:type="spellEnd"/>
      <w:r w:rsidR="00BB63A2" w:rsidRPr="0088791F">
        <w:rPr>
          <w:rStyle w:val="cf01"/>
          <w:rFonts w:asciiTheme="minorHAnsi" w:hAnsiTheme="minorHAnsi" w:cstheme="minorHAnsi"/>
          <w:sz w:val="22"/>
          <w:szCs w:val="22"/>
        </w:rPr>
        <w:t xml:space="preserve"> ag</w:t>
      </w:r>
      <w:r w:rsidR="004279FB" w:rsidRPr="0088791F">
        <w:rPr>
          <w:rStyle w:val="cf01"/>
          <w:rFonts w:asciiTheme="minorHAnsi" w:hAnsiTheme="minorHAnsi" w:cstheme="minorHAnsi"/>
          <w:sz w:val="22"/>
          <w:szCs w:val="22"/>
        </w:rPr>
        <w:t>riculture</w:t>
      </w:r>
      <w:r w:rsidR="00F71964" w:rsidRPr="0088791F">
        <w:rPr>
          <w:rStyle w:val="cf01"/>
          <w:rFonts w:asciiTheme="minorHAnsi" w:hAnsiTheme="minorHAnsi" w:cstheme="minorHAnsi"/>
          <w:sz w:val="22"/>
          <w:szCs w:val="22"/>
        </w:rPr>
        <w:t xml:space="preserve"> - </w:t>
      </w:r>
      <w:r w:rsidR="00BB63A2" w:rsidRPr="0088791F">
        <w:rPr>
          <w:rStyle w:val="cf01"/>
          <w:rFonts w:asciiTheme="minorHAnsi" w:hAnsiTheme="minorHAnsi" w:cstheme="minorHAnsi"/>
          <w:sz w:val="22"/>
          <w:szCs w:val="22"/>
        </w:rPr>
        <w:t>within the agricultural sector is quite variable and could pose a greenwashing risk. Aligning with disclosure and reporting standards relat</w:t>
      </w:r>
      <w:r w:rsidR="00D86729">
        <w:rPr>
          <w:rStyle w:val="cf01"/>
          <w:rFonts w:asciiTheme="minorHAnsi" w:hAnsiTheme="minorHAnsi" w:cstheme="minorHAnsi"/>
          <w:sz w:val="22"/>
          <w:szCs w:val="22"/>
        </w:rPr>
        <w:t>ed</w:t>
      </w:r>
      <w:r w:rsidR="00BB63A2" w:rsidRPr="0088791F">
        <w:rPr>
          <w:rStyle w:val="cf01"/>
          <w:rFonts w:asciiTheme="minorHAnsi" w:hAnsiTheme="minorHAnsi" w:cstheme="minorHAnsi"/>
          <w:sz w:val="22"/>
          <w:szCs w:val="22"/>
        </w:rPr>
        <w:t xml:space="preserve"> to specific sectors and ESG risks, such as the GHG protocol Scope 3 standard, might be useful. </w:t>
      </w:r>
      <w:r w:rsidR="004279FB" w:rsidRPr="0088791F">
        <w:rPr>
          <w:rStyle w:val="cf01"/>
          <w:rFonts w:asciiTheme="minorHAnsi" w:hAnsiTheme="minorHAnsi" w:cstheme="minorHAnsi"/>
          <w:sz w:val="22"/>
          <w:szCs w:val="22"/>
        </w:rPr>
        <w:t>It would also be ideal to have disclosures on carbon credits v</w:t>
      </w:r>
      <w:r w:rsidR="00F8762E" w:rsidRPr="0088791F">
        <w:rPr>
          <w:rStyle w:val="cf01"/>
          <w:rFonts w:asciiTheme="minorHAnsi" w:hAnsiTheme="minorHAnsi" w:cstheme="minorHAnsi"/>
          <w:sz w:val="22"/>
          <w:szCs w:val="22"/>
        </w:rPr>
        <w:t>ersus</w:t>
      </w:r>
      <w:r w:rsidR="004279FB" w:rsidRPr="0088791F">
        <w:rPr>
          <w:rStyle w:val="cf01"/>
          <w:rFonts w:asciiTheme="minorHAnsi" w:hAnsiTheme="minorHAnsi" w:cstheme="minorHAnsi"/>
          <w:sz w:val="22"/>
          <w:szCs w:val="22"/>
        </w:rPr>
        <w:t xml:space="preserve"> carbon removals</w:t>
      </w:r>
      <w:r w:rsidR="00F8762E" w:rsidRPr="0088791F">
        <w:rPr>
          <w:rStyle w:val="cf01"/>
          <w:rFonts w:asciiTheme="minorHAnsi" w:hAnsiTheme="minorHAnsi" w:cstheme="minorHAnsi"/>
          <w:sz w:val="22"/>
          <w:szCs w:val="22"/>
        </w:rPr>
        <w:t xml:space="preserve">, specifically on </w:t>
      </w:r>
      <w:r w:rsidR="004279FB" w:rsidRPr="0088791F">
        <w:rPr>
          <w:rStyle w:val="cf01"/>
          <w:rFonts w:asciiTheme="minorHAnsi" w:hAnsiTheme="minorHAnsi" w:cstheme="minorHAnsi"/>
          <w:sz w:val="22"/>
          <w:szCs w:val="22"/>
        </w:rPr>
        <w:t>type of removal, additionality, permanence, co-benefits, interdependencies, third-party certification or verification etc.</w:t>
      </w:r>
    </w:p>
    <w:p w14:paraId="3916804B" w14:textId="4F1963B9" w:rsidR="009C41BB" w:rsidRDefault="004279FB" w:rsidP="004279FB">
      <w:r>
        <w:t>It</w:t>
      </w:r>
      <w:r w:rsidR="6F867AE0">
        <w:t xml:space="preserve"> is</w:t>
      </w:r>
      <w:r w:rsidR="006441DF">
        <w:t xml:space="preserve"> also</w:t>
      </w:r>
      <w:r w:rsidR="6F867AE0">
        <w:t xml:space="preserve"> well documented that the availability of environmental data needed for SFDR compliance is challenging to obtain or even non-existent.</w:t>
      </w:r>
      <w:r w:rsidR="00797332">
        <w:t xml:space="preserve"> </w:t>
      </w:r>
      <w:r w:rsidR="000D79F6">
        <w:t xml:space="preserve">To further manage risks, </w:t>
      </w:r>
      <w:r w:rsidR="7278BD34">
        <w:t>focus should be on improving</w:t>
      </w:r>
      <w:r w:rsidR="00902406">
        <w:t xml:space="preserve"> data</w:t>
      </w:r>
      <w:r w:rsidR="03A83558">
        <w:t xml:space="preserve"> collection</w:t>
      </w:r>
      <w:r w:rsidR="00902406">
        <w:t>, which will in turn</w:t>
      </w:r>
      <w:r w:rsidR="00275C3A">
        <w:t xml:space="preserve"> improve </w:t>
      </w:r>
      <w:r w:rsidR="5E1CC055">
        <w:t>how FMPs implement</w:t>
      </w:r>
      <w:r w:rsidR="00275C3A">
        <w:t xml:space="preserve"> SFDR requirements.</w:t>
      </w:r>
      <w:r w:rsidR="25B78635">
        <w:t xml:space="preserve"> </w:t>
      </w:r>
      <w:r w:rsidR="009079AC">
        <w:t xml:space="preserve">The SFDR </w:t>
      </w:r>
      <w:r w:rsidR="0027625A">
        <w:t>should al</w:t>
      </w:r>
      <w:r w:rsidR="00EB70EB">
        <w:t>i</w:t>
      </w:r>
      <w:r w:rsidR="0027625A">
        <w:t xml:space="preserve">gn </w:t>
      </w:r>
      <w:r w:rsidR="1A3C2CD7">
        <w:t xml:space="preserve">requirements around data collection </w:t>
      </w:r>
      <w:r w:rsidR="0027625A">
        <w:t xml:space="preserve">with </w:t>
      </w:r>
      <w:r w:rsidR="1A3C2CD7">
        <w:t>what FMPs can feasibly obtain</w:t>
      </w:r>
      <w:r w:rsidR="00275C3A">
        <w:t>.</w:t>
      </w:r>
      <w:r w:rsidR="204E7DFF">
        <w:t xml:space="preserve"> </w:t>
      </w:r>
      <w:r w:rsidR="00720D7C">
        <w:t xml:space="preserve">We are not suggesting that all FMPs should have the authority to decide </w:t>
      </w:r>
      <w:r w:rsidR="00036C6B">
        <w:t xml:space="preserve">what data to disclose or what investments to disclose on, but that SFDR </w:t>
      </w:r>
      <w:r w:rsidR="00036C6B" w:rsidRPr="00E63065">
        <w:rPr>
          <w:rFonts w:cstheme="minorHAnsi"/>
        </w:rPr>
        <w:t xml:space="preserve">requirements should </w:t>
      </w:r>
      <w:r w:rsidR="008C0C35" w:rsidRPr="00E63065">
        <w:rPr>
          <w:rFonts w:cstheme="minorHAnsi"/>
        </w:rPr>
        <w:t xml:space="preserve">include </w:t>
      </w:r>
      <w:r w:rsidR="001D5B9E" w:rsidRPr="00E63065">
        <w:rPr>
          <w:rFonts w:cstheme="minorHAnsi"/>
        </w:rPr>
        <w:t xml:space="preserve">more due diligence on how data is collected for </w:t>
      </w:r>
      <w:r w:rsidR="00666789" w:rsidRPr="00E63065">
        <w:rPr>
          <w:rFonts w:cstheme="minorHAnsi"/>
        </w:rPr>
        <w:t xml:space="preserve">all indicators and </w:t>
      </w:r>
      <w:r w:rsidR="004A5600" w:rsidRPr="00E63065">
        <w:rPr>
          <w:rFonts w:cstheme="minorHAnsi"/>
        </w:rPr>
        <w:t xml:space="preserve">thresholds </w:t>
      </w:r>
      <w:r w:rsidR="00151739" w:rsidRPr="00E63065">
        <w:rPr>
          <w:rFonts w:cstheme="minorHAnsi"/>
        </w:rPr>
        <w:t xml:space="preserve">and </w:t>
      </w:r>
      <w:r w:rsidR="003E0780" w:rsidRPr="00E63065">
        <w:rPr>
          <w:rFonts w:cstheme="minorHAnsi"/>
        </w:rPr>
        <w:t>provide reference to</w:t>
      </w:r>
      <w:r w:rsidR="00666789" w:rsidRPr="00E63065">
        <w:rPr>
          <w:rFonts w:cstheme="minorHAnsi"/>
        </w:rPr>
        <w:t xml:space="preserve"> best practice for data collection. </w:t>
      </w:r>
      <w:r w:rsidR="00BC4A28" w:rsidRPr="00E63065">
        <w:rPr>
          <w:rFonts w:cstheme="minorHAnsi"/>
        </w:rPr>
        <w:t xml:space="preserve"> </w:t>
      </w:r>
      <w:r w:rsidR="00BC4A28" w:rsidRPr="00E63065">
        <w:rPr>
          <w:rStyle w:val="cf01"/>
          <w:rFonts w:asciiTheme="minorHAnsi" w:hAnsiTheme="minorHAnsi" w:cstheme="minorHAnsi"/>
          <w:sz w:val="22"/>
          <w:szCs w:val="22"/>
        </w:rPr>
        <w:t xml:space="preserve">Disclosures on the data quality (primary or secondary data), methodology, key exclusions, certifications etc., can </w:t>
      </w:r>
      <w:r w:rsidR="00E63065" w:rsidRPr="00E63065">
        <w:rPr>
          <w:rStyle w:val="cf01"/>
          <w:rFonts w:asciiTheme="minorHAnsi" w:hAnsiTheme="minorHAnsi" w:cstheme="minorHAnsi"/>
          <w:sz w:val="22"/>
          <w:szCs w:val="22"/>
        </w:rPr>
        <w:t xml:space="preserve">also </w:t>
      </w:r>
      <w:r w:rsidR="00BC4A28" w:rsidRPr="00E63065">
        <w:rPr>
          <w:rStyle w:val="cf01"/>
          <w:rFonts w:asciiTheme="minorHAnsi" w:hAnsiTheme="minorHAnsi" w:cstheme="minorHAnsi"/>
          <w:sz w:val="22"/>
          <w:szCs w:val="22"/>
        </w:rPr>
        <w:t>help in avoiding greenwashing.</w:t>
      </w:r>
    </w:p>
    <w:p w14:paraId="78590850" w14:textId="03B1DB97" w:rsidR="41346A88" w:rsidRDefault="005E642E" w:rsidP="0088791F">
      <w:r>
        <w:t xml:space="preserve">In addition, </w:t>
      </w:r>
      <w:r w:rsidR="00341A61">
        <w:t xml:space="preserve">it is notable that </w:t>
      </w:r>
      <w:r>
        <w:t>the</w:t>
      </w:r>
      <w:r w:rsidR="0064742C">
        <w:t>re are various technical criteria proposed by the Platform for Sustainable Finance</w:t>
      </w:r>
      <w:r w:rsidR="002A2E96">
        <w:t>,</w:t>
      </w:r>
      <w:r w:rsidR="00341A61">
        <w:t xml:space="preserve"> which have not been turned into a </w:t>
      </w:r>
      <w:r w:rsidR="00C72BEF">
        <w:t>new Taxonomy Delegated Act yet</w:t>
      </w:r>
      <w:r w:rsidR="002A2E96">
        <w:t xml:space="preserve"> including important activities such as manufacture of food products and beverages under the biodiversity objective, as well as forestry and agriculture.</w:t>
      </w:r>
      <w:permEnd w:id="1098926409"/>
    </w:p>
    <w:p w14:paraId="7A9D32E6" w14:textId="77777777" w:rsidR="009C41BB" w:rsidRPr="00BC5454" w:rsidRDefault="009C41BB" w:rsidP="009C41BB">
      <w:r w:rsidRPr="00BC5454">
        <w:t>&lt;ESMA_QUESTION_SFDR_21&gt;</w:t>
      </w:r>
    </w:p>
    <w:p w14:paraId="7BB690BF" w14:textId="77777777" w:rsidR="009C41BB" w:rsidRPr="00BC5454" w:rsidRDefault="009C41BB" w:rsidP="009C41BB"/>
    <w:p w14:paraId="25DBDE82" w14:textId="1F38A243" w:rsidR="009C41BB" w:rsidRPr="00BC5454" w:rsidRDefault="009C41BB" w:rsidP="009C41BB">
      <w:pPr>
        <w:pStyle w:val="Questionstyle"/>
      </w:pPr>
      <w:r w:rsidRPr="00BC5454">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03AA1642" w14:textId="06C4DCAE" w:rsidR="00E91B64" w:rsidRDefault="5E99F92D" w:rsidP="009C41BB">
      <w:permStart w:id="2084635173" w:edGrp="everyone"/>
      <w:r>
        <w:t xml:space="preserve">The ESA proposals </w:t>
      </w:r>
      <w:r w:rsidR="03812B02">
        <w:t>around</w:t>
      </w:r>
      <w:r>
        <w:t xml:space="preserve"> enhanced disclosure at product</w:t>
      </w:r>
      <w:r w:rsidR="009C5A1D">
        <w:t xml:space="preserve"> </w:t>
      </w:r>
      <w:r w:rsidR="0EDFAC04">
        <w:t>level to</w:t>
      </w:r>
      <w:r>
        <w:t xml:space="preserve"> clarify the type and level of </w:t>
      </w:r>
      <w:r w:rsidR="738EFFF2">
        <w:t xml:space="preserve">ESG </w:t>
      </w:r>
      <w:r>
        <w:t xml:space="preserve">commitment the product is making </w:t>
      </w:r>
      <w:r w:rsidR="0273B53A">
        <w:t>is important. Investors need to see that the targets around their investments are feasible and decision-useful</w:t>
      </w:r>
      <w:r w:rsidR="15234644">
        <w:t>, and that includes having access to information on</w:t>
      </w:r>
      <w:r w:rsidR="76688E73">
        <w:t xml:space="preserve"> </w:t>
      </w:r>
      <w:r w:rsidR="2EED3B83">
        <w:t>commitments</w:t>
      </w:r>
      <w:r w:rsidR="15234644">
        <w:t xml:space="preserve"> to divest or </w:t>
      </w:r>
      <w:r w:rsidR="6F6C9B95">
        <w:t xml:space="preserve">reallocate </w:t>
      </w:r>
      <w:r w:rsidR="15234644">
        <w:t>investments according to</w:t>
      </w:r>
      <w:r w:rsidR="7FBD7F9C">
        <w:t xml:space="preserve"> a companies’</w:t>
      </w:r>
      <w:r w:rsidR="15234644">
        <w:t xml:space="preserve"> </w:t>
      </w:r>
      <w:r w:rsidR="2079CAE1">
        <w:t>GHG emissions</w:t>
      </w:r>
      <w:r w:rsidR="00DE1EF0">
        <w:t>,</w:t>
      </w:r>
      <w:r w:rsidR="2F79A69D">
        <w:t xml:space="preserve"> or commitments to achieving reductions by working with investee companies</w:t>
      </w:r>
      <w:r w:rsidR="2079CAE1">
        <w:t>.</w:t>
      </w:r>
      <w:r w:rsidR="3BBA684B">
        <w:t xml:space="preserve"> Again, an important factor here is ensuring that FMPs are able to collect the data required and are provided with best practice and guidelines to </w:t>
      </w:r>
      <w:r w:rsidR="004242A2">
        <w:t xml:space="preserve">do </w:t>
      </w:r>
      <w:r w:rsidR="3BBA684B">
        <w:t>so feasibly and efficiently.</w:t>
      </w:r>
      <w:r w:rsidR="2079CAE1">
        <w:t xml:space="preserve"> </w:t>
      </w:r>
    </w:p>
    <w:p w14:paraId="6D5BB63B" w14:textId="1C04EAA2" w:rsidR="009C41BB" w:rsidRDefault="1FF513FC" w:rsidP="009C41BB">
      <w:r>
        <w:t xml:space="preserve">We agree that requiring the use of the </w:t>
      </w:r>
      <w:hyperlink r:id="rId22" w:history="1">
        <w:r>
          <w:t xml:space="preserve">PCAF’s Standard for the measure of financial product-level </w:t>
        </w:r>
        <w:r w:rsidRPr="6F953ECD">
          <w:rPr>
            <w:rStyle w:val="Hyperlink"/>
          </w:rPr>
          <w:t>baseline financed GHG emissions</w:t>
        </w:r>
      </w:hyperlink>
      <w:r>
        <w:t xml:space="preserve">, when setting and disclosing targets, </w:t>
      </w:r>
      <w:r w:rsidR="2A3C6549">
        <w:t>as it is a global standard</w:t>
      </w:r>
      <w:r w:rsidR="6C6EBC6A">
        <w:t xml:space="preserve"> (despite some limitations when it comes agriculture</w:t>
      </w:r>
      <w:r w:rsidR="78D9B881">
        <w:t>/forestry, which is important to note</w:t>
      </w:r>
      <w:r w:rsidR="6C6EBC6A">
        <w:t>)</w:t>
      </w:r>
      <w:r w:rsidR="2A3C6549">
        <w:t xml:space="preserve"> and </w:t>
      </w:r>
      <w:r w:rsidR="30F605DE">
        <w:t xml:space="preserve">feel it </w:t>
      </w:r>
      <w:r>
        <w:lastRenderedPageBreak/>
        <w:t xml:space="preserve">would </w:t>
      </w:r>
      <w:r w:rsidR="43735906">
        <w:t xml:space="preserve">generally </w:t>
      </w:r>
      <w:r>
        <w:t>support consistency in the way targets are set and progress is measured and reduce the burden on FMPs.</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Pr="00082112" w:rsidRDefault="009C41BB" w:rsidP="009C41BB">
      <w:pPr>
        <w:pStyle w:val="Questionstyle"/>
      </w:pPr>
      <w:r w:rsidRPr="00082112">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688EA2E4" w:rsidR="009C41BB" w:rsidRPr="00BC5454" w:rsidRDefault="009C41BB" w:rsidP="009C41BB">
      <w:pPr>
        <w:pStyle w:val="Questionstyle"/>
      </w:pPr>
      <w:r w:rsidRPr="00BC5454">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36608E97" w14:textId="77777777" w:rsidR="00C42ED0" w:rsidRDefault="38E0C4E6" w:rsidP="009C41BB">
      <w:pPr>
        <w:rPr>
          <w:rFonts w:eastAsiaTheme="minorEastAsia"/>
          <w:color w:val="333333"/>
        </w:rPr>
      </w:pPr>
      <w:permStart w:id="1536640680" w:edGrp="everyone"/>
      <w:r w:rsidRPr="6F953ECD">
        <w:t>W</w:t>
      </w:r>
      <w:r w:rsidRPr="00082112">
        <w:rPr>
          <w:rFonts w:eastAsiaTheme="minorEastAsia"/>
        </w:rPr>
        <w:t xml:space="preserve">e believe that </w:t>
      </w:r>
      <w:r w:rsidRPr="6F953ECD">
        <w:rPr>
          <w:rFonts w:eastAsiaTheme="minorEastAsia"/>
        </w:rPr>
        <w:t xml:space="preserve">this distinction would be useful for investors and </w:t>
      </w:r>
      <w:r w:rsidR="0BEA3CD9" w:rsidRPr="6F953ECD">
        <w:rPr>
          <w:rFonts w:eastAsiaTheme="minorEastAsia"/>
        </w:rPr>
        <w:t>actionable</w:t>
      </w:r>
      <w:r w:rsidRPr="6F953ECD">
        <w:rPr>
          <w:rFonts w:eastAsiaTheme="minorEastAsia"/>
        </w:rPr>
        <w:t xml:space="preserve"> for FMPs. FAIRR </w:t>
      </w:r>
      <w:r w:rsidR="7B40B4F2" w:rsidRPr="6F953ECD">
        <w:rPr>
          <w:rFonts w:eastAsiaTheme="minorEastAsia"/>
        </w:rPr>
        <w:t xml:space="preserve">is of the opinion that </w:t>
      </w:r>
      <w:r w:rsidRPr="00082112">
        <w:rPr>
          <w:rFonts w:eastAsiaTheme="minorEastAsia"/>
          <w:color w:val="333333"/>
        </w:rPr>
        <w:t>engagement</w:t>
      </w:r>
      <w:r w:rsidR="4C144C75" w:rsidRPr="6F953ECD">
        <w:rPr>
          <w:rFonts w:eastAsiaTheme="minorEastAsia"/>
          <w:color w:val="333333"/>
        </w:rPr>
        <w:t xml:space="preserve"> with investee companies on reducing their emissions or developing robust climate transition plans</w:t>
      </w:r>
      <w:r w:rsidRPr="00082112">
        <w:rPr>
          <w:rFonts w:eastAsiaTheme="minorEastAsia"/>
          <w:color w:val="333333"/>
        </w:rPr>
        <w:t xml:space="preserve"> is more useful than divestment</w:t>
      </w:r>
      <w:r w:rsidR="02831E90" w:rsidRPr="6F953ECD">
        <w:rPr>
          <w:rFonts w:eastAsiaTheme="minorEastAsia"/>
          <w:color w:val="333333"/>
        </w:rPr>
        <w:t>.</w:t>
      </w:r>
      <w:r w:rsidR="39FB28BE" w:rsidRPr="6F953ECD">
        <w:rPr>
          <w:rFonts w:eastAsiaTheme="minorEastAsia"/>
          <w:color w:val="333333"/>
        </w:rPr>
        <w:t xml:space="preserve"> This is because more progress can be made by discussing with the leaders of the companies you are invested in and</w:t>
      </w:r>
      <w:r w:rsidR="00923DF8">
        <w:rPr>
          <w:rFonts w:eastAsiaTheme="minorEastAsia"/>
          <w:color w:val="333333"/>
        </w:rPr>
        <w:t xml:space="preserve"> by</w:t>
      </w:r>
      <w:r w:rsidR="39FB28BE" w:rsidRPr="6F953ECD">
        <w:rPr>
          <w:rFonts w:eastAsiaTheme="minorEastAsia"/>
          <w:color w:val="333333"/>
        </w:rPr>
        <w:t xml:space="preserve"> influenc</w:t>
      </w:r>
      <w:r w:rsidR="4061BF22" w:rsidRPr="6F953ECD">
        <w:rPr>
          <w:rFonts w:eastAsiaTheme="minorEastAsia"/>
          <w:color w:val="333333"/>
        </w:rPr>
        <w:t xml:space="preserve">ing corporate behaviour, </w:t>
      </w:r>
      <w:r w:rsidR="49F4842B" w:rsidRPr="6F953ECD">
        <w:rPr>
          <w:rFonts w:eastAsiaTheme="minorEastAsia"/>
          <w:color w:val="333333"/>
        </w:rPr>
        <w:t>as this can ultimately lead to</w:t>
      </w:r>
      <w:r w:rsidR="39FB28BE" w:rsidRPr="6F953ECD">
        <w:rPr>
          <w:rFonts w:eastAsiaTheme="minorEastAsia"/>
          <w:color w:val="333333"/>
        </w:rPr>
        <w:t xml:space="preserve"> positive environmental and social change</w:t>
      </w:r>
      <w:r w:rsidR="6C571349" w:rsidRPr="6F953ECD">
        <w:rPr>
          <w:rFonts w:eastAsiaTheme="minorEastAsia"/>
          <w:color w:val="333333"/>
        </w:rPr>
        <w:t>. Product-level commitments to divest or reallocate funds may still be useful and welcomed by investors but by</w:t>
      </w:r>
      <w:r w:rsidR="3D275763" w:rsidRPr="6F953ECD">
        <w:rPr>
          <w:rFonts w:eastAsiaTheme="minorEastAsia"/>
          <w:color w:val="333333"/>
        </w:rPr>
        <w:t xml:space="preserve"> divesting, </w:t>
      </w:r>
      <w:r w:rsidR="40538608" w:rsidRPr="6F953ECD">
        <w:rPr>
          <w:rFonts w:eastAsiaTheme="minorEastAsia"/>
          <w:color w:val="333333"/>
        </w:rPr>
        <w:t>you are</w:t>
      </w:r>
      <w:r w:rsidR="3D275763" w:rsidRPr="6F953ECD">
        <w:rPr>
          <w:rFonts w:eastAsiaTheme="minorEastAsia"/>
          <w:color w:val="333333"/>
        </w:rPr>
        <w:t xml:space="preserve"> no longer a stakeholder and no longer carr</w:t>
      </w:r>
      <w:r w:rsidR="553C4AEB" w:rsidRPr="6F953ECD">
        <w:rPr>
          <w:rFonts w:eastAsiaTheme="minorEastAsia"/>
          <w:color w:val="333333"/>
        </w:rPr>
        <w:t>y</w:t>
      </w:r>
      <w:r w:rsidR="3D275763" w:rsidRPr="6F953ECD">
        <w:rPr>
          <w:rFonts w:eastAsiaTheme="minorEastAsia"/>
          <w:color w:val="333333"/>
        </w:rPr>
        <w:t xml:space="preserve"> the weight of </w:t>
      </w:r>
      <w:r w:rsidR="006E72CE">
        <w:rPr>
          <w:rFonts w:eastAsiaTheme="minorEastAsia"/>
          <w:color w:val="333333"/>
        </w:rPr>
        <w:t>shareholder</w:t>
      </w:r>
      <w:r w:rsidR="3D275763" w:rsidRPr="6F953ECD">
        <w:rPr>
          <w:rFonts w:eastAsiaTheme="minorEastAsia"/>
          <w:color w:val="333333"/>
        </w:rPr>
        <w:t xml:space="preserve"> interest to</w:t>
      </w:r>
      <w:r w:rsidR="7D85CEF0" w:rsidRPr="6F953ECD">
        <w:rPr>
          <w:rFonts w:eastAsiaTheme="minorEastAsia"/>
          <w:color w:val="333333"/>
        </w:rPr>
        <w:t xml:space="preserve"> help</w:t>
      </w:r>
      <w:r w:rsidR="3D275763" w:rsidRPr="6F953ECD">
        <w:rPr>
          <w:rFonts w:eastAsiaTheme="minorEastAsia"/>
          <w:color w:val="333333"/>
        </w:rPr>
        <w:t xml:space="preserve"> influence change.</w:t>
      </w:r>
      <w:r w:rsidR="00F419EE">
        <w:rPr>
          <w:rFonts w:eastAsiaTheme="minorEastAsia"/>
          <w:color w:val="333333"/>
        </w:rPr>
        <w:t xml:space="preserve"> </w:t>
      </w:r>
    </w:p>
    <w:p w14:paraId="2C9CFD87" w14:textId="5BDF0EB9" w:rsidR="009C41BB" w:rsidRDefault="00A95CF5" w:rsidP="00C42ED0">
      <w:pPr>
        <w:rPr>
          <w:rFonts w:eastAsiaTheme="minorEastAsia"/>
          <w:color w:val="333333"/>
        </w:rPr>
      </w:pPr>
      <w:r>
        <w:rPr>
          <w:rFonts w:eastAsiaTheme="minorEastAsia"/>
          <w:color w:val="333333"/>
        </w:rPr>
        <w:t>D</w:t>
      </w:r>
      <w:r w:rsidR="00403C6C" w:rsidRPr="00403C6C">
        <w:rPr>
          <w:rFonts w:eastAsiaTheme="minorEastAsia"/>
          <w:color w:val="333333"/>
        </w:rPr>
        <w:t xml:space="preserve">ivestment could lead to stranded assets and </w:t>
      </w:r>
      <w:r>
        <w:rPr>
          <w:rFonts w:eastAsiaTheme="minorEastAsia"/>
          <w:color w:val="333333"/>
        </w:rPr>
        <w:t>may</w:t>
      </w:r>
      <w:r w:rsidR="00403C6C" w:rsidRPr="00403C6C">
        <w:rPr>
          <w:rFonts w:eastAsiaTheme="minorEastAsia"/>
          <w:color w:val="333333"/>
        </w:rPr>
        <w:t xml:space="preserve"> also impact </w:t>
      </w:r>
      <w:r>
        <w:rPr>
          <w:rFonts w:eastAsiaTheme="minorEastAsia"/>
          <w:color w:val="333333"/>
        </w:rPr>
        <w:t xml:space="preserve">a </w:t>
      </w:r>
      <w:r w:rsidR="00403C6C" w:rsidRPr="00403C6C">
        <w:rPr>
          <w:rFonts w:eastAsiaTheme="minorEastAsia"/>
          <w:color w:val="333333"/>
        </w:rPr>
        <w:t>just transition</w:t>
      </w:r>
      <w:r>
        <w:rPr>
          <w:rFonts w:eastAsiaTheme="minorEastAsia"/>
          <w:color w:val="333333"/>
        </w:rPr>
        <w:t>.</w:t>
      </w:r>
      <w:r w:rsidR="00403C6C" w:rsidRPr="00403C6C">
        <w:rPr>
          <w:rFonts w:eastAsiaTheme="minorEastAsia"/>
          <w:color w:val="333333"/>
        </w:rPr>
        <w:t xml:space="preserve"> </w:t>
      </w:r>
      <w:r>
        <w:rPr>
          <w:rFonts w:eastAsiaTheme="minorEastAsia"/>
          <w:color w:val="333333"/>
        </w:rPr>
        <w:t xml:space="preserve">A </w:t>
      </w:r>
      <w:r w:rsidR="00403C6C" w:rsidRPr="00403C6C">
        <w:rPr>
          <w:rFonts w:eastAsiaTheme="minorEastAsia"/>
          <w:color w:val="333333"/>
        </w:rPr>
        <w:t xml:space="preserve">credible transition plan to meet net-zero or other credible targets </w:t>
      </w:r>
      <w:r w:rsidR="00C42ED0">
        <w:rPr>
          <w:rFonts w:eastAsiaTheme="minorEastAsia"/>
          <w:color w:val="333333"/>
        </w:rPr>
        <w:t>may</w:t>
      </w:r>
      <w:r w:rsidR="00403C6C" w:rsidRPr="00403C6C">
        <w:rPr>
          <w:rFonts w:eastAsiaTheme="minorEastAsia"/>
          <w:color w:val="333333"/>
        </w:rPr>
        <w:t xml:space="preserve"> be more feasible and impactful than divestment</w:t>
      </w:r>
      <w:r w:rsidR="00C42ED0">
        <w:rPr>
          <w:rFonts w:eastAsiaTheme="minorEastAsia"/>
          <w:color w:val="333333"/>
        </w:rPr>
        <w:t xml:space="preserve">. </w:t>
      </w:r>
      <w:r w:rsidR="00F419EE">
        <w:rPr>
          <w:rFonts w:eastAsiaTheme="minorEastAsia"/>
          <w:color w:val="333333"/>
        </w:rPr>
        <w:t xml:space="preserve">Additionally, </w:t>
      </w:r>
      <w:r w:rsidR="00F419EE" w:rsidRPr="00F419EE">
        <w:rPr>
          <w:rFonts w:eastAsiaTheme="minorEastAsia"/>
          <w:color w:val="333333"/>
        </w:rPr>
        <w:t>the</w:t>
      </w:r>
      <w:r w:rsidR="00B41C05">
        <w:rPr>
          <w:rFonts w:eastAsiaTheme="minorEastAsia"/>
          <w:color w:val="333333"/>
        </w:rPr>
        <w:t xml:space="preserve"> IIGCC’s</w:t>
      </w:r>
      <w:r w:rsidR="00F419EE" w:rsidRPr="00F419EE">
        <w:rPr>
          <w:rFonts w:eastAsiaTheme="minorEastAsia"/>
          <w:color w:val="333333"/>
        </w:rPr>
        <w:t xml:space="preserve"> Net Zero Investment Framework (NZIF)</w:t>
      </w:r>
      <w:r w:rsidR="00B41C05">
        <w:rPr>
          <w:rFonts w:eastAsiaTheme="minorEastAsia"/>
          <w:color w:val="333333"/>
        </w:rPr>
        <w:t>, a leading</w:t>
      </w:r>
      <w:r w:rsidR="002168FA">
        <w:rPr>
          <w:rFonts w:eastAsiaTheme="minorEastAsia"/>
          <w:color w:val="333333"/>
        </w:rPr>
        <w:t xml:space="preserve"> </w:t>
      </w:r>
      <w:r w:rsidR="00D228C7">
        <w:rPr>
          <w:rFonts w:eastAsiaTheme="minorEastAsia"/>
          <w:color w:val="333333"/>
        </w:rPr>
        <w:t>and first-of-its-kind investor framework,</w:t>
      </w:r>
      <w:r w:rsidR="00F419EE">
        <w:rPr>
          <w:rFonts w:eastAsiaTheme="minorEastAsia"/>
          <w:color w:val="333333"/>
        </w:rPr>
        <w:t xml:space="preserve"> </w:t>
      </w:r>
      <w:r w:rsidR="00F419EE" w:rsidRPr="00F419EE">
        <w:rPr>
          <w:rFonts w:eastAsiaTheme="minorEastAsia"/>
          <w:color w:val="333333"/>
        </w:rPr>
        <w:t xml:space="preserve">encourages investors to maintain investments in companies </w:t>
      </w:r>
      <w:r w:rsidR="00F419EE">
        <w:rPr>
          <w:rFonts w:eastAsiaTheme="minorEastAsia"/>
          <w:color w:val="333333"/>
        </w:rPr>
        <w:t>that have credible transition plans</w:t>
      </w:r>
      <w:r w:rsidR="005A0DC3">
        <w:rPr>
          <w:rFonts w:eastAsiaTheme="minorEastAsia"/>
          <w:color w:val="333333"/>
        </w:rPr>
        <w:t>, with divestment only seen as a last resort</w:t>
      </w:r>
      <w:r w:rsidR="00F419EE" w:rsidRPr="00F419EE">
        <w:rPr>
          <w:rFonts w:eastAsiaTheme="minorEastAsia"/>
          <w:color w:val="333333"/>
        </w:rPr>
        <w:t xml:space="preserve">. </w:t>
      </w:r>
      <w:r w:rsidR="00F419EE">
        <w:rPr>
          <w:rFonts w:eastAsiaTheme="minorEastAsia"/>
          <w:color w:val="333333"/>
        </w:rPr>
        <w:t>Through ac</w:t>
      </w:r>
      <w:r w:rsidR="005A0DC3">
        <w:rPr>
          <w:rFonts w:eastAsiaTheme="minorEastAsia"/>
          <w:color w:val="333333"/>
        </w:rPr>
        <w:t>t</w:t>
      </w:r>
      <w:r w:rsidR="00F419EE">
        <w:rPr>
          <w:rFonts w:eastAsiaTheme="minorEastAsia"/>
          <w:color w:val="333333"/>
        </w:rPr>
        <w:t>ive engagement, investors can</w:t>
      </w:r>
      <w:r w:rsidR="00F419EE" w:rsidRPr="00F419EE">
        <w:rPr>
          <w:rFonts w:eastAsiaTheme="minorEastAsia"/>
          <w:color w:val="333333"/>
        </w:rPr>
        <w:t xml:space="preserve"> </w:t>
      </w:r>
      <w:r w:rsidR="00F419EE">
        <w:rPr>
          <w:rFonts w:eastAsiaTheme="minorEastAsia"/>
          <w:color w:val="333333"/>
        </w:rPr>
        <w:t>encourage</w:t>
      </w:r>
      <w:r w:rsidR="00F419EE" w:rsidRPr="00F419EE">
        <w:rPr>
          <w:rFonts w:eastAsiaTheme="minorEastAsia"/>
          <w:color w:val="333333"/>
        </w:rPr>
        <w:t xml:space="preserve"> progress against these plans</w:t>
      </w:r>
      <w:r w:rsidR="005A0DC3">
        <w:rPr>
          <w:rFonts w:eastAsiaTheme="minorEastAsia"/>
          <w:color w:val="333333"/>
        </w:rPr>
        <w:t>.</w:t>
      </w:r>
    </w:p>
    <w:permEnd w:id="1536640680"/>
    <w:p w14:paraId="1DB6EA41" w14:textId="77777777" w:rsidR="009C41BB" w:rsidRDefault="009C41BB" w:rsidP="009C41BB">
      <w:r>
        <w:lastRenderedPageBreak/>
        <w:t>&lt;ESMA_QUESTION_SFDR_24&gt;</w:t>
      </w:r>
    </w:p>
    <w:p w14:paraId="0D457AA9" w14:textId="77777777" w:rsidR="009C41BB" w:rsidRDefault="009C41BB" w:rsidP="009C41BB"/>
    <w:p w14:paraId="3D7F5DF7" w14:textId="751875AD" w:rsidR="009C41BB" w:rsidRPr="00BC5454" w:rsidRDefault="009C41BB" w:rsidP="009C41BB">
      <w:pPr>
        <w:pStyle w:val="Questionstyle"/>
      </w:pPr>
      <w:r w:rsidRPr="00BC5454">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5BD5E07D" w14:textId="63B1FE6D" w:rsidR="00660E3A" w:rsidRDefault="7168EC5B" w:rsidP="00660E3A">
      <w:permStart w:id="1824523423" w:edGrp="everyone"/>
      <w:r>
        <w:t xml:space="preserve">Yes, disclosure on the degree </w:t>
      </w:r>
      <w:r w:rsidR="7E7AF98B">
        <w:t>to which Article 9 products are</w:t>
      </w:r>
      <w:r>
        <w:t xml:space="preserve"> </w:t>
      </w:r>
      <w:r w:rsidR="7E7AF98B">
        <w:t xml:space="preserve">aligned with the Paris Agreement would be useful. </w:t>
      </w:r>
      <w:r w:rsidR="7552F349">
        <w:t xml:space="preserve">However, </w:t>
      </w:r>
      <w:r w:rsidR="3113BB38">
        <w:t>the SFDR</w:t>
      </w:r>
      <w:r w:rsidR="45C4D5AC">
        <w:t xml:space="preserve"> must specify</w:t>
      </w:r>
      <w:r w:rsidR="3FEE429E">
        <w:t xml:space="preserve"> a common</w:t>
      </w:r>
      <w:r w:rsidR="7552F349">
        <w:t xml:space="preserve"> methodology</w:t>
      </w:r>
      <w:r w:rsidR="3FEE429E">
        <w:t xml:space="preserve"> </w:t>
      </w:r>
      <w:r w:rsidR="208AE4D0">
        <w:t xml:space="preserve">that products are expected to </w:t>
      </w:r>
      <w:r w:rsidR="030D788D">
        <w:t>align with</w:t>
      </w:r>
      <w:r w:rsidR="208AE4D0">
        <w:t xml:space="preserve"> </w:t>
      </w:r>
      <w:r w:rsidR="3FEE429E">
        <w:t xml:space="preserve">or FMPs will not be able to ensure </w:t>
      </w:r>
      <w:r w:rsidR="63F4646C">
        <w:t>comparability</w:t>
      </w:r>
      <w:r w:rsidR="3FEE429E">
        <w:t xml:space="preserve"> </w:t>
      </w:r>
      <w:r w:rsidR="5135BEE6">
        <w:t xml:space="preserve">and </w:t>
      </w:r>
      <w:r w:rsidR="6874D610">
        <w:t xml:space="preserve">the level of </w:t>
      </w:r>
      <w:r w:rsidR="64917148">
        <w:t>commitment in Article 9 products’ targets</w:t>
      </w:r>
      <w:r w:rsidR="5135BEE6">
        <w:t>.</w:t>
      </w:r>
      <w:r w:rsidR="7552F349">
        <w:t xml:space="preserve"> </w:t>
      </w:r>
    </w:p>
    <w:p w14:paraId="3AB5BCB1" w14:textId="0B7E7944" w:rsidR="00660E3A" w:rsidRDefault="00232C25" w:rsidP="00660E3A">
      <w:r>
        <w:t xml:space="preserve">There are quite a few methodologies </w:t>
      </w:r>
      <w:r w:rsidR="006E7FB3">
        <w:t>launched by various international organisations that</w:t>
      </w:r>
      <w:r w:rsidR="002402DB">
        <w:t xml:space="preserve"> </w:t>
      </w:r>
      <w:r>
        <w:t>can produce robust assessments</w:t>
      </w:r>
      <w:r w:rsidR="007B574B">
        <w:t xml:space="preserve"> but they all vary in </w:t>
      </w:r>
      <w:r w:rsidR="004D7DBE">
        <w:t>focus and scope (for example, focusing on only quantitative</w:t>
      </w:r>
      <w:r w:rsidR="000238C5">
        <w:t xml:space="preserve"> indicators or more qualitative </w:t>
      </w:r>
      <w:r w:rsidR="00D34656">
        <w:t xml:space="preserve">and quantitative </w:t>
      </w:r>
      <w:r w:rsidR="000238C5">
        <w:t>approaches</w:t>
      </w:r>
      <w:r w:rsidR="00D34656">
        <w:t>)</w:t>
      </w:r>
      <w:r>
        <w:t>. For example,</w:t>
      </w:r>
      <w:r w:rsidR="00660E3A">
        <w:t xml:space="preserve"> </w:t>
      </w:r>
      <w:r>
        <w:t xml:space="preserve">the </w:t>
      </w:r>
      <w:r w:rsidR="00660E3A">
        <w:t xml:space="preserve">EBRD </w:t>
      </w:r>
      <w:r>
        <w:t xml:space="preserve">has </w:t>
      </w:r>
      <w:r w:rsidR="009230A6">
        <w:t>full</w:t>
      </w:r>
      <w:r w:rsidR="006E7FB3">
        <w:t>y</w:t>
      </w:r>
      <w:r w:rsidR="009230A6">
        <w:t xml:space="preserve"> aligned its investments with the Paris agreement since J</w:t>
      </w:r>
      <w:r w:rsidR="006E7FB3">
        <w:t>an</w:t>
      </w:r>
      <w:r w:rsidR="009230A6">
        <w:t>u</w:t>
      </w:r>
      <w:r w:rsidR="006E7FB3">
        <w:t>a</w:t>
      </w:r>
      <w:r w:rsidR="009230A6">
        <w:t xml:space="preserve">ry 2023 and developed </w:t>
      </w:r>
      <w:r>
        <w:t xml:space="preserve">a </w:t>
      </w:r>
      <w:hyperlink r:id="rId23" w:history="1">
        <w:r w:rsidR="009230A6" w:rsidRPr="00841A1D">
          <w:rPr>
            <w:rStyle w:val="Hyperlink"/>
          </w:rPr>
          <w:t>m</w:t>
        </w:r>
        <w:r w:rsidR="00660E3A" w:rsidRPr="00841A1D">
          <w:rPr>
            <w:rStyle w:val="Hyperlink"/>
          </w:rPr>
          <w:t>ethodology</w:t>
        </w:r>
      </w:hyperlink>
      <w:r w:rsidR="00D70E06">
        <w:t xml:space="preserve"> that is both qualitative and</w:t>
      </w:r>
      <w:r w:rsidR="00BF1690">
        <w:t xml:space="preserve"> quantitative in scope and covers mitigation and adaption measures.</w:t>
      </w:r>
      <w:r w:rsidR="00EF310B">
        <w:t xml:space="preserve"> </w:t>
      </w:r>
    </w:p>
    <w:p w14:paraId="27FA270D" w14:textId="1C5EC482" w:rsidR="00660E3A" w:rsidRDefault="0385526F" w:rsidP="01253CED">
      <w:pPr>
        <w:rPr>
          <w:rFonts w:ascii="Calibri" w:eastAsia="Calibri" w:hAnsi="Calibri" w:cs="Calibri"/>
        </w:rPr>
      </w:pPr>
      <w:r>
        <w:t>There is also</w:t>
      </w:r>
      <w:r w:rsidR="5E9D99D5" w:rsidRPr="01253CED">
        <w:rPr>
          <w:rFonts w:ascii="Calibri" w:eastAsia="Calibri" w:hAnsi="Calibri" w:cs="Calibri"/>
        </w:rPr>
        <w:t xml:space="preserve"> the </w:t>
      </w:r>
      <w:hyperlink r:id="rId24" w:history="1">
        <w:r w:rsidR="5E9D99D5" w:rsidRPr="001B49F9">
          <w:rPr>
            <w:rFonts w:ascii="Calibri" w:eastAsia="Calibri" w:hAnsi="Calibri" w:cs="Calibri"/>
          </w:rPr>
          <w:t>Paris Agreement Capital Transition Assessment</w:t>
        </w:r>
        <w:r w:rsidRPr="001B49F9">
          <w:t xml:space="preserve"> </w:t>
        </w:r>
        <w:r w:rsidR="7F2B2264" w:rsidRPr="001B49F9">
          <w:t>(</w:t>
        </w:r>
        <w:r w:rsidRPr="001B49F9">
          <w:t>PACTA</w:t>
        </w:r>
        <w:r w:rsidR="7AED2065" w:rsidRPr="001B49F9">
          <w:rPr>
            <w:rStyle w:val="Hyperlink"/>
            <w:color w:val="auto"/>
            <w:u w:val="none"/>
          </w:rPr>
          <w:t>)</w:t>
        </w:r>
      </w:hyperlink>
      <w:r w:rsidR="7AED2065" w:rsidRPr="001B49F9">
        <w:t>,</w:t>
      </w:r>
      <w:r w:rsidR="7AED2065" w:rsidRPr="00E7547F">
        <w:t xml:space="preserve"> an </w:t>
      </w:r>
      <w:r w:rsidR="7AED2065">
        <w:t xml:space="preserve">open-source methodology that </w:t>
      </w:r>
      <w:r w:rsidR="7AED2065" w:rsidRPr="01253CED">
        <w:rPr>
          <w:rFonts w:ascii="Calibri" w:eastAsia="Calibri" w:hAnsi="Calibri" w:cs="Calibri"/>
        </w:rPr>
        <w:t>measures financial portfolios' alignment with various climate scenarios consistent with the Paris Agreement</w:t>
      </w:r>
      <w:r w:rsidR="1F7BB2E0" w:rsidRPr="01253CED">
        <w:rPr>
          <w:rFonts w:ascii="Calibri" w:eastAsia="Calibri" w:hAnsi="Calibri" w:cs="Calibri"/>
        </w:rPr>
        <w:t xml:space="preserve"> and has been used by thousands of financial institutions worldwide.</w:t>
      </w:r>
    </w:p>
    <w:p w14:paraId="1853FAF0" w14:textId="0DFEE5B2" w:rsidR="00660E3A" w:rsidRDefault="00EF310B" w:rsidP="00660E3A">
      <w:r>
        <w:t>With that said, international consensus around metrics</w:t>
      </w:r>
      <w:r w:rsidR="00CC1A05">
        <w:t xml:space="preserve"> to assess the degree of </w:t>
      </w:r>
      <w:r w:rsidR="00E604C0">
        <w:t>P</w:t>
      </w:r>
      <w:r w:rsidR="00CC1A05">
        <w:t xml:space="preserve">aris </w:t>
      </w:r>
      <w:r w:rsidR="00E604C0">
        <w:t>A</w:t>
      </w:r>
      <w:r w:rsidR="00CC1A05">
        <w:t>lignment for financial products or entities</w:t>
      </w:r>
      <w:r>
        <w:t xml:space="preserve"> is lacking</w:t>
      </w:r>
      <w:r w:rsidR="00F111BB">
        <w:t xml:space="preserve">, </w:t>
      </w:r>
      <w:r w:rsidR="00731731">
        <w:t xml:space="preserve">and therefore, the SFDR needs to ensure </w:t>
      </w:r>
      <w:r w:rsidR="000C4B26">
        <w:t>balance between robust disclosure around Paris</w:t>
      </w:r>
      <w:r w:rsidR="00F10DC2">
        <w:t xml:space="preserve"> A</w:t>
      </w:r>
      <w:r w:rsidR="000C4B26">
        <w:t>lignment and</w:t>
      </w:r>
      <w:r w:rsidR="00DC6BDF">
        <w:t xml:space="preserve"> </w:t>
      </w:r>
      <w:r w:rsidR="003557C8">
        <w:t>the necessity</w:t>
      </w:r>
      <w:r w:rsidR="003B1D65">
        <w:t xml:space="preserve"> </w:t>
      </w:r>
      <w:r w:rsidR="003557C8">
        <w:t>of</w:t>
      </w:r>
      <w:r w:rsidR="003B1D65">
        <w:t xml:space="preserve"> comparability.</w:t>
      </w:r>
    </w:p>
    <w:permEnd w:id="1824523423"/>
    <w:p w14:paraId="1B2A7DBF" w14:textId="77777777" w:rsidR="009C41BB" w:rsidRPr="00660E3A" w:rsidRDefault="009C41BB" w:rsidP="009C41BB">
      <w:pPr>
        <w:rPr>
          <w:lang w:val="es-ES"/>
        </w:rPr>
      </w:pPr>
      <w:r w:rsidRPr="00660E3A">
        <w:rPr>
          <w:lang w:val="es-ES"/>
        </w:rPr>
        <w:t>&lt;ESMA_QUESTION_SFDR_25&gt;</w:t>
      </w:r>
    </w:p>
    <w:p w14:paraId="4826CAD9" w14:textId="77777777" w:rsidR="009C41BB" w:rsidRPr="00660E3A" w:rsidRDefault="009C41BB" w:rsidP="009C41BB">
      <w:pPr>
        <w:rPr>
          <w:lang w:val="es-ES"/>
        </w:rPr>
      </w:pPr>
    </w:p>
    <w:p w14:paraId="1340C518" w14:textId="77777777" w:rsidR="009C41BB" w:rsidRDefault="009C41BB" w:rsidP="009C41BB">
      <w:pPr>
        <w:pStyle w:val="Questionstyle"/>
      </w:pPr>
      <w:r>
        <w:t xml:space="preserve">: </w:t>
      </w:r>
      <w:r w:rsidRPr="00082112">
        <w:t>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2C4E1679" w:rsidR="009C41BB" w:rsidRPr="00D871FA" w:rsidRDefault="009C41BB" w:rsidP="009C41BB">
      <w:pPr>
        <w:pStyle w:val="Questionstyle"/>
      </w:pPr>
      <w:r w:rsidRPr="00D871FA">
        <w:lastRenderedPageBreak/>
        <w:t xml:space="preserve">: </w:t>
      </w:r>
      <w:r w:rsidRPr="00082112">
        <w:t>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w:t>
      </w:r>
      <w:r w:rsidRPr="00D871FA">
        <w:t xml:space="preserve"> </w:t>
      </w:r>
    </w:p>
    <w:p w14:paraId="30DBA1F9" w14:textId="77777777" w:rsidR="009C41BB" w:rsidRDefault="009C41BB" w:rsidP="009C41BB">
      <w:r>
        <w:t>&lt;ESMA_QUESTION_SFDR_27&gt;</w:t>
      </w:r>
    </w:p>
    <w:p w14:paraId="74E19DA1" w14:textId="77777777" w:rsidR="009C41BB" w:rsidRDefault="009C41BB" w:rsidP="009C41BB">
      <w:permStart w:id="324808106" w:edGrp="everyone"/>
      <w:r>
        <w:t>TYPE YOUR TEXT HERE</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430BE88F" w:rsidR="009C41BB" w:rsidRDefault="009C41BB" w:rsidP="009C41BB">
      <w:pPr>
        <w:pStyle w:val="Questionstyle"/>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4AC0DE39" w:rsidR="009C41BB" w:rsidRPr="008E587C" w:rsidRDefault="009C41BB" w:rsidP="009C41BB">
      <w:pPr>
        <w:pStyle w:val="Questionstyle"/>
      </w:pPr>
      <w:r w:rsidRPr="008E587C">
        <w:t xml:space="preserve">: </w:t>
      </w:r>
      <w:r w:rsidRPr="00082112">
        <w:t>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lastRenderedPageBreak/>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641A085F" w:rsidR="009C41BB" w:rsidRPr="00082112" w:rsidRDefault="009C41BB" w:rsidP="009C41BB">
      <w:pPr>
        <w:pStyle w:val="Questionstyle"/>
      </w:pPr>
      <w:r w:rsidRPr="008E587C">
        <w:t xml:space="preserve">: </w:t>
      </w:r>
      <w:r w:rsidRPr="00082112">
        <w:t>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lastRenderedPageBreak/>
        <w:t>&lt;ESMA_QUESTION_SFDR_34&gt;</w:t>
      </w:r>
    </w:p>
    <w:p w14:paraId="6119CB7B" w14:textId="77777777" w:rsidR="009C41BB" w:rsidRDefault="009C41BB" w:rsidP="009C41BB"/>
    <w:p w14:paraId="35A021E6" w14:textId="77777777" w:rsidR="009C41BB" w:rsidRDefault="009C41BB" w:rsidP="009C41BB">
      <w:pPr>
        <w:pStyle w:val="Questionstyle"/>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pPr>
      <w:r>
        <w:t>: Do you have any feedback with regard to the potential criteria for estimates?</w:t>
      </w:r>
    </w:p>
    <w:p w14:paraId="5BB9BA92" w14:textId="77777777" w:rsidR="009C41BB" w:rsidRDefault="009C41BB" w:rsidP="009C41BB">
      <w:r>
        <w:t>&lt;ESMA_QUESTION_SFDR_36&gt;</w:t>
      </w:r>
    </w:p>
    <w:p w14:paraId="7F375438" w14:textId="77777777" w:rsidR="009C41BB" w:rsidRDefault="009C41BB" w:rsidP="009C41BB">
      <w:permStart w:id="1338527016" w:edGrp="everyone"/>
      <w:r>
        <w:t>TYPE YOUR TEXT HERE</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3AE586B9" w:rsidR="009C41BB" w:rsidRPr="00BC5454" w:rsidRDefault="009C41BB" w:rsidP="4D66851E">
      <w:pPr>
        <w:pStyle w:val="Questionstyle"/>
      </w:pPr>
      <w:r w:rsidRPr="00BC5454">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788B6A69" w14:textId="6CCD4C22" w:rsidR="009F0672" w:rsidRDefault="4C33529B" w:rsidP="41346A88">
      <w:permStart w:id="1477927507" w:edGrp="everyone"/>
      <w:r w:rsidRPr="00082112">
        <w:t>A</w:t>
      </w:r>
      <w:r w:rsidR="4743E925" w:rsidRPr="00082112">
        <w:t>s mentioned in our responses to other questions on this consultation,</w:t>
      </w:r>
      <w:r w:rsidRPr="00082112">
        <w:t xml:space="preserve"> </w:t>
      </w:r>
      <w:r w:rsidR="00E42610">
        <w:t xml:space="preserve">a </w:t>
      </w:r>
      <w:r w:rsidRPr="00082112">
        <w:t>specific definition around “key environmental metrics” would first require looking at the quality of the data per metric, as well as fe</w:t>
      </w:r>
      <w:r w:rsidR="75EF72E9" w:rsidRPr="00082112">
        <w:t>asibility in attaining that data. Without standardised and comparable reporting</w:t>
      </w:r>
      <w:r w:rsidR="7673A50B" w:rsidRPr="00082112">
        <w:t xml:space="preserve"> </w:t>
      </w:r>
      <w:r w:rsidR="0EFE919C" w:rsidRPr="00082112">
        <w:t>practices</w:t>
      </w:r>
      <w:r w:rsidR="7673A50B" w:rsidRPr="00082112">
        <w:t xml:space="preserve">, there is a risk of </w:t>
      </w:r>
      <w:r w:rsidR="7035EE2F" w:rsidRPr="00082112">
        <w:t>underreporting</w:t>
      </w:r>
      <w:r w:rsidR="7673A50B" w:rsidRPr="00082112">
        <w:t xml:space="preserve"> or greenwashing </w:t>
      </w:r>
      <w:r w:rsidR="289B848A" w:rsidRPr="00082112">
        <w:t>around</w:t>
      </w:r>
      <w:r w:rsidR="7673A50B" w:rsidRPr="01253CED">
        <w:t xml:space="preserve"> environmental metrics.</w:t>
      </w:r>
      <w:r w:rsidR="1A218BE3" w:rsidRPr="01253CED">
        <w:t xml:space="preserve"> </w:t>
      </w:r>
    </w:p>
    <w:p w14:paraId="1EACFFF9" w14:textId="0AA73E13" w:rsidR="009F4A65" w:rsidRDefault="1A218BE3" w:rsidP="00D54E71">
      <w:r w:rsidRPr="01253CED">
        <w:t>While great</w:t>
      </w:r>
      <w:r w:rsidR="1D4DBA88" w:rsidRPr="01253CED">
        <w:t>er</w:t>
      </w:r>
      <w:r w:rsidRPr="01253CED">
        <w:t xml:space="preserve"> disclosure requirements and clarity around specific </w:t>
      </w:r>
      <w:r w:rsidR="478E0CF8" w:rsidRPr="01253CED">
        <w:t>definitions</w:t>
      </w:r>
      <w:r w:rsidRPr="01253CED">
        <w:t xml:space="preserve"> is needed to ensure transparency and comparability</w:t>
      </w:r>
      <w:r w:rsidR="5EA8D556" w:rsidRPr="01253CED">
        <w:t>, there is a risk of underreporting or greenwashing</w:t>
      </w:r>
      <w:r w:rsidR="5B4F2BB4" w:rsidRPr="01253CED">
        <w:t xml:space="preserve"> data</w:t>
      </w:r>
      <w:r w:rsidR="5EA8D556" w:rsidRPr="01253CED">
        <w:t xml:space="preserve"> </w:t>
      </w:r>
      <w:r w:rsidR="3E30F111" w:rsidRPr="01253CED">
        <w:t>without companies having access to a standardised reporting mechanism</w:t>
      </w:r>
      <w:r w:rsidR="5BEE3875" w:rsidRPr="01253CED">
        <w:t>.</w:t>
      </w:r>
      <w:r w:rsidR="009F4A65">
        <w:t xml:space="preserve"> Metrics are key for comparability, identifying any exclusions, understanding material impacts, informing transition plans and tracking progress. </w:t>
      </w:r>
      <w:r w:rsidR="00DA18F5">
        <w:t xml:space="preserve">Alignment here with the </w:t>
      </w:r>
      <w:hyperlink r:id="rId25" w:history="1">
        <w:r w:rsidR="00DA18F5" w:rsidRPr="00DA18F5">
          <w:rPr>
            <w:rStyle w:val="Hyperlink"/>
          </w:rPr>
          <w:t>newly</w:t>
        </w:r>
        <w:r w:rsidR="009F4A65" w:rsidRPr="00DA18F5">
          <w:rPr>
            <w:rStyle w:val="Hyperlink"/>
          </w:rPr>
          <w:t xml:space="preserve"> released ISSB standards</w:t>
        </w:r>
      </w:hyperlink>
      <w:r w:rsidR="009F4A65" w:rsidRPr="009F4A65">
        <w:t xml:space="preserve"> </w:t>
      </w:r>
      <w:r w:rsidR="00D54E71">
        <w:t>on</w:t>
      </w:r>
      <w:r w:rsidR="009F4A65" w:rsidRPr="009F4A65">
        <w:t xml:space="preserve"> metrics and targets related to climate performance</w:t>
      </w:r>
      <w:r w:rsidR="00DA18F5">
        <w:t xml:space="preserve"> would be ideal.</w:t>
      </w:r>
    </w:p>
    <w:p w14:paraId="6186E95A" w14:textId="7CBEC179" w:rsidR="009C41BB" w:rsidRDefault="009C41BB" w:rsidP="009C41BB">
      <w:r>
        <w:t>&lt;</w:t>
      </w:r>
      <w:permEnd w:id="1477927507"/>
      <w:r>
        <w:t>ESMA_QUESTION_SFDR_37&gt;</w:t>
      </w:r>
    </w:p>
    <w:p w14:paraId="0FB31D55" w14:textId="77777777" w:rsidR="009C41BB" w:rsidRDefault="009C41BB" w:rsidP="009C41BB"/>
    <w:p w14:paraId="6578EE1D" w14:textId="55C01248" w:rsidR="009C41BB" w:rsidRPr="00FB0A17" w:rsidRDefault="009C41BB" w:rsidP="009C41BB">
      <w:pPr>
        <w:pStyle w:val="Questionstyle"/>
      </w:pPr>
      <w:r w:rsidRPr="00FB0A17">
        <w:t xml:space="preserve">: </w:t>
      </w:r>
      <w:r w:rsidRPr="00082112">
        <w:t>Do you see the need to set out specific rules on the calculation of the proportion of sustainable investments of financial products? Please elaborate.</w:t>
      </w:r>
    </w:p>
    <w:p w14:paraId="6B53BD21" w14:textId="77777777" w:rsidR="009C41BB" w:rsidRDefault="009C41BB" w:rsidP="009C41BB">
      <w:r>
        <w:lastRenderedPageBreak/>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t>&lt;ESMA_QUESTION_SFDR_41&gt;</w:t>
      </w:r>
    </w:p>
    <w:p w14:paraId="09B21CC4" w14:textId="77777777" w:rsidR="009C41BB" w:rsidRDefault="009C41BB" w:rsidP="009C41BB"/>
    <w:p w14:paraId="110636F7" w14:textId="77777777" w:rsidR="009C41BB" w:rsidRDefault="009C41BB" w:rsidP="009C41BB">
      <w:pPr>
        <w:pStyle w:val="Questionstyle"/>
      </w:pPr>
      <w:r>
        <w:lastRenderedPageBreak/>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2E7C709A" w14:textId="77777777" w:rsidR="009C41BB" w:rsidRDefault="009C41BB" w:rsidP="009C41BB">
      <w:permStart w:id="1679513234" w:edGrp="everyone"/>
      <w:r>
        <w:t>TYPE YOUR TEXT HERE</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26"/>
      <w:headerReference w:type="default" r:id="rId27"/>
      <w:footerReference w:type="even" r:id="rId28"/>
      <w:footerReference w:type="default" r:id="rId29"/>
      <w:headerReference w:type="first" r:id="rId30"/>
      <w:footerReference w:type="first" r:id="rId31"/>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3EF0" w14:textId="77777777" w:rsidR="00420AA4" w:rsidRDefault="00420AA4" w:rsidP="00707738">
      <w:pPr>
        <w:spacing w:after="0" w:line="240" w:lineRule="auto"/>
      </w:pPr>
      <w:r>
        <w:separator/>
      </w:r>
    </w:p>
  </w:endnote>
  <w:endnote w:type="continuationSeparator" w:id="0">
    <w:p w14:paraId="77441195" w14:textId="77777777" w:rsidR="00420AA4" w:rsidRDefault="00420AA4" w:rsidP="00707738">
      <w:pPr>
        <w:spacing w:after="0" w:line="240" w:lineRule="auto"/>
      </w:pPr>
      <w:r>
        <w:continuationSeparator/>
      </w:r>
    </w:p>
  </w:endnote>
  <w:endnote w:type="continuationNotice" w:id="1">
    <w:p w14:paraId="4762E2B3" w14:textId="77777777" w:rsidR="00420AA4" w:rsidRDefault="00420A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827EB">
          <w:rPr>
            <w:noProof/>
          </w:rPr>
          <w:t>3</w:t>
        </w:r>
        <w:r>
          <w:rPr>
            <w:color w:val="2B579A"/>
            <w:shd w:val="clear" w:color="auto" w:fill="E6E6E6"/>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3411" w14:textId="77777777" w:rsidR="00420AA4" w:rsidRDefault="00420AA4" w:rsidP="00707738">
      <w:pPr>
        <w:spacing w:after="0" w:line="240" w:lineRule="auto"/>
      </w:pPr>
      <w:r>
        <w:separator/>
      </w:r>
    </w:p>
  </w:footnote>
  <w:footnote w:type="continuationSeparator" w:id="0">
    <w:p w14:paraId="4412DD5E" w14:textId="77777777" w:rsidR="00420AA4" w:rsidRDefault="00420AA4" w:rsidP="00707738">
      <w:pPr>
        <w:spacing w:after="0" w:line="240" w:lineRule="auto"/>
      </w:pPr>
      <w:r>
        <w:continuationSeparator/>
      </w:r>
    </w:p>
  </w:footnote>
  <w:footnote w:type="continuationNotice" w:id="1">
    <w:p w14:paraId="373A2A67" w14:textId="77777777" w:rsidR="00420AA4" w:rsidRDefault="00420AA4">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color w:val="2B579A"/>
        <w:shd w:val="clear" w:color="auto" w:fill="E6E6E6"/>
      </w:rPr>
      <mc:AlternateContent>
        <mc:Choice Requires="wpg">
          <w:drawing>
            <wp:anchor distT="0" distB="0" distL="114300" distR="114300" simplePos="0" relativeHeight="251658240"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w14:anchorId="379BD00B">
            <v:group id="Group 2" style="position:absolute;margin-left:0;margin-top:-.05pt;width:424.85pt;height:51.75pt;z-index:251659264;mso-position-horizontal:center;mso-position-horizontal-relative:margin" coordsize="53955,6572" o:spid="_x0000_s1026" w14:anchorId="161CCC8A"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 style="position:absolute;left:41077;top:211;width:12878;height:55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cropleft="48719f" o:title="" r:id="rId3"/>
              </v:shape>
              <v:shape id="Graphic 1" style="position:absolute;width:38290;height:65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o:title="" r:id="rId4"/>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41940C"/>
    <w:multiLevelType w:val="hybridMultilevel"/>
    <w:tmpl w:val="A2D0AB54"/>
    <w:lvl w:ilvl="0" w:tplc="22962F0C">
      <w:start w:val="1"/>
      <w:numFmt w:val="bullet"/>
      <w:lvlText w:val="-"/>
      <w:lvlJc w:val="left"/>
      <w:pPr>
        <w:ind w:left="720" w:hanging="360"/>
      </w:pPr>
      <w:rPr>
        <w:rFonts w:ascii="&quot;Arial&quot;,sans-serif" w:hAnsi="&quot;Arial&quot;,sans-serif" w:hint="default"/>
      </w:rPr>
    </w:lvl>
    <w:lvl w:ilvl="1" w:tplc="6724421C">
      <w:start w:val="1"/>
      <w:numFmt w:val="bullet"/>
      <w:lvlText w:val="o"/>
      <w:lvlJc w:val="left"/>
      <w:pPr>
        <w:ind w:left="1440" w:hanging="360"/>
      </w:pPr>
      <w:rPr>
        <w:rFonts w:ascii="Courier New" w:hAnsi="Courier New" w:hint="default"/>
      </w:rPr>
    </w:lvl>
    <w:lvl w:ilvl="2" w:tplc="B7523B4C">
      <w:start w:val="1"/>
      <w:numFmt w:val="bullet"/>
      <w:lvlText w:val=""/>
      <w:lvlJc w:val="left"/>
      <w:pPr>
        <w:ind w:left="2160" w:hanging="360"/>
      </w:pPr>
      <w:rPr>
        <w:rFonts w:ascii="Wingdings" w:hAnsi="Wingdings" w:hint="default"/>
      </w:rPr>
    </w:lvl>
    <w:lvl w:ilvl="3" w:tplc="4A38CBC0">
      <w:start w:val="1"/>
      <w:numFmt w:val="bullet"/>
      <w:lvlText w:val=""/>
      <w:lvlJc w:val="left"/>
      <w:pPr>
        <w:ind w:left="2880" w:hanging="360"/>
      </w:pPr>
      <w:rPr>
        <w:rFonts w:ascii="Symbol" w:hAnsi="Symbol" w:hint="default"/>
      </w:rPr>
    </w:lvl>
    <w:lvl w:ilvl="4" w:tplc="0646E842">
      <w:start w:val="1"/>
      <w:numFmt w:val="bullet"/>
      <w:lvlText w:val="o"/>
      <w:lvlJc w:val="left"/>
      <w:pPr>
        <w:ind w:left="3600" w:hanging="360"/>
      </w:pPr>
      <w:rPr>
        <w:rFonts w:ascii="Courier New" w:hAnsi="Courier New" w:hint="default"/>
      </w:rPr>
    </w:lvl>
    <w:lvl w:ilvl="5" w:tplc="B4C0B9B0">
      <w:start w:val="1"/>
      <w:numFmt w:val="bullet"/>
      <w:lvlText w:val=""/>
      <w:lvlJc w:val="left"/>
      <w:pPr>
        <w:ind w:left="4320" w:hanging="360"/>
      </w:pPr>
      <w:rPr>
        <w:rFonts w:ascii="Wingdings" w:hAnsi="Wingdings" w:hint="default"/>
      </w:rPr>
    </w:lvl>
    <w:lvl w:ilvl="6" w:tplc="30A814DC">
      <w:start w:val="1"/>
      <w:numFmt w:val="bullet"/>
      <w:lvlText w:val=""/>
      <w:lvlJc w:val="left"/>
      <w:pPr>
        <w:ind w:left="5040" w:hanging="360"/>
      </w:pPr>
      <w:rPr>
        <w:rFonts w:ascii="Symbol" w:hAnsi="Symbol" w:hint="default"/>
      </w:rPr>
    </w:lvl>
    <w:lvl w:ilvl="7" w:tplc="97787D9C">
      <w:start w:val="1"/>
      <w:numFmt w:val="bullet"/>
      <w:lvlText w:val="o"/>
      <w:lvlJc w:val="left"/>
      <w:pPr>
        <w:ind w:left="5760" w:hanging="360"/>
      </w:pPr>
      <w:rPr>
        <w:rFonts w:ascii="Courier New" w:hAnsi="Courier New" w:hint="default"/>
      </w:rPr>
    </w:lvl>
    <w:lvl w:ilvl="8" w:tplc="264EC2AE">
      <w:start w:val="1"/>
      <w:numFmt w:val="bullet"/>
      <w:lvlText w:val=""/>
      <w:lvlJc w:val="left"/>
      <w:pPr>
        <w:ind w:left="6480" w:hanging="360"/>
      </w:pPr>
      <w:rPr>
        <w:rFonts w:ascii="Wingdings" w:hAnsi="Wingdings" w:hint="default"/>
      </w:rPr>
    </w:lvl>
  </w:abstractNum>
  <w:abstractNum w:abstractNumId="21"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44D5B4"/>
    <w:multiLevelType w:val="hybridMultilevel"/>
    <w:tmpl w:val="9708AEB8"/>
    <w:lvl w:ilvl="0" w:tplc="58B0D8C0">
      <w:start w:val="1"/>
      <w:numFmt w:val="bullet"/>
      <w:lvlText w:val="-"/>
      <w:lvlJc w:val="left"/>
      <w:pPr>
        <w:ind w:left="720" w:hanging="360"/>
      </w:pPr>
      <w:rPr>
        <w:rFonts w:ascii="&quot;Arial&quot;,sans-serif" w:hAnsi="&quot;Arial&quot;,sans-serif" w:hint="default"/>
      </w:rPr>
    </w:lvl>
    <w:lvl w:ilvl="1" w:tplc="FDDA2F32">
      <w:start w:val="1"/>
      <w:numFmt w:val="bullet"/>
      <w:lvlText w:val="o"/>
      <w:lvlJc w:val="left"/>
      <w:pPr>
        <w:ind w:left="1440" w:hanging="360"/>
      </w:pPr>
      <w:rPr>
        <w:rFonts w:ascii="Courier New" w:hAnsi="Courier New" w:hint="default"/>
      </w:rPr>
    </w:lvl>
    <w:lvl w:ilvl="2" w:tplc="ECA648C0">
      <w:start w:val="1"/>
      <w:numFmt w:val="bullet"/>
      <w:lvlText w:val=""/>
      <w:lvlJc w:val="left"/>
      <w:pPr>
        <w:ind w:left="2160" w:hanging="360"/>
      </w:pPr>
      <w:rPr>
        <w:rFonts w:ascii="Wingdings" w:hAnsi="Wingdings" w:hint="default"/>
      </w:rPr>
    </w:lvl>
    <w:lvl w:ilvl="3" w:tplc="4F0CD35A">
      <w:start w:val="1"/>
      <w:numFmt w:val="bullet"/>
      <w:lvlText w:val=""/>
      <w:lvlJc w:val="left"/>
      <w:pPr>
        <w:ind w:left="2880" w:hanging="360"/>
      </w:pPr>
      <w:rPr>
        <w:rFonts w:ascii="Symbol" w:hAnsi="Symbol" w:hint="default"/>
      </w:rPr>
    </w:lvl>
    <w:lvl w:ilvl="4" w:tplc="9FC83EE2">
      <w:start w:val="1"/>
      <w:numFmt w:val="bullet"/>
      <w:lvlText w:val="o"/>
      <w:lvlJc w:val="left"/>
      <w:pPr>
        <w:ind w:left="3600" w:hanging="360"/>
      </w:pPr>
      <w:rPr>
        <w:rFonts w:ascii="Courier New" w:hAnsi="Courier New" w:hint="default"/>
      </w:rPr>
    </w:lvl>
    <w:lvl w:ilvl="5" w:tplc="F3545D0A">
      <w:start w:val="1"/>
      <w:numFmt w:val="bullet"/>
      <w:lvlText w:val=""/>
      <w:lvlJc w:val="left"/>
      <w:pPr>
        <w:ind w:left="4320" w:hanging="360"/>
      </w:pPr>
      <w:rPr>
        <w:rFonts w:ascii="Wingdings" w:hAnsi="Wingdings" w:hint="default"/>
      </w:rPr>
    </w:lvl>
    <w:lvl w:ilvl="6" w:tplc="E2F6A6A8">
      <w:start w:val="1"/>
      <w:numFmt w:val="bullet"/>
      <w:lvlText w:val=""/>
      <w:lvlJc w:val="left"/>
      <w:pPr>
        <w:ind w:left="5040" w:hanging="360"/>
      </w:pPr>
      <w:rPr>
        <w:rFonts w:ascii="Symbol" w:hAnsi="Symbol" w:hint="default"/>
      </w:rPr>
    </w:lvl>
    <w:lvl w:ilvl="7" w:tplc="04F6BE30">
      <w:start w:val="1"/>
      <w:numFmt w:val="bullet"/>
      <w:lvlText w:val="o"/>
      <w:lvlJc w:val="left"/>
      <w:pPr>
        <w:ind w:left="5760" w:hanging="360"/>
      </w:pPr>
      <w:rPr>
        <w:rFonts w:ascii="Courier New" w:hAnsi="Courier New" w:hint="default"/>
      </w:rPr>
    </w:lvl>
    <w:lvl w:ilvl="8" w:tplc="B694DFBA">
      <w:start w:val="1"/>
      <w:numFmt w:val="bullet"/>
      <w:lvlText w:val=""/>
      <w:lvlJc w:val="left"/>
      <w:pPr>
        <w:ind w:left="6480" w:hanging="360"/>
      </w:pPr>
      <w:rPr>
        <w:rFonts w:ascii="Wingdings" w:hAnsi="Wingdings" w:hint="default"/>
      </w:rPr>
    </w:lvl>
  </w:abstractNum>
  <w:abstractNum w:abstractNumId="23"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4"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2232B"/>
    <w:multiLevelType w:val="hybridMultilevel"/>
    <w:tmpl w:val="55506168"/>
    <w:lvl w:ilvl="0" w:tplc="2D42ACE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395A51"/>
    <w:multiLevelType w:val="hybridMultilevel"/>
    <w:tmpl w:val="0842295E"/>
    <w:lvl w:ilvl="0" w:tplc="63728BA4">
      <w:start w:val="1"/>
      <w:numFmt w:val="bullet"/>
      <w:lvlText w:val="-"/>
      <w:lvlJc w:val="left"/>
      <w:pPr>
        <w:ind w:left="720" w:hanging="360"/>
      </w:pPr>
      <w:rPr>
        <w:rFonts w:ascii="&quot;Arial&quot;,sans-serif" w:hAnsi="&quot;Arial&quot;,sans-serif" w:hint="default"/>
      </w:rPr>
    </w:lvl>
    <w:lvl w:ilvl="1" w:tplc="74A2CBC0">
      <w:start w:val="1"/>
      <w:numFmt w:val="bullet"/>
      <w:lvlText w:val="o"/>
      <w:lvlJc w:val="left"/>
      <w:pPr>
        <w:ind w:left="1440" w:hanging="360"/>
      </w:pPr>
      <w:rPr>
        <w:rFonts w:ascii="Courier New" w:hAnsi="Courier New" w:hint="default"/>
      </w:rPr>
    </w:lvl>
    <w:lvl w:ilvl="2" w:tplc="0D5AA5AE">
      <w:start w:val="1"/>
      <w:numFmt w:val="bullet"/>
      <w:lvlText w:val=""/>
      <w:lvlJc w:val="left"/>
      <w:pPr>
        <w:ind w:left="2160" w:hanging="360"/>
      </w:pPr>
      <w:rPr>
        <w:rFonts w:ascii="Wingdings" w:hAnsi="Wingdings" w:hint="default"/>
      </w:rPr>
    </w:lvl>
    <w:lvl w:ilvl="3" w:tplc="A7A4C1B4">
      <w:start w:val="1"/>
      <w:numFmt w:val="bullet"/>
      <w:lvlText w:val=""/>
      <w:lvlJc w:val="left"/>
      <w:pPr>
        <w:ind w:left="2880" w:hanging="360"/>
      </w:pPr>
      <w:rPr>
        <w:rFonts w:ascii="Symbol" w:hAnsi="Symbol" w:hint="default"/>
      </w:rPr>
    </w:lvl>
    <w:lvl w:ilvl="4" w:tplc="CD1C5E72">
      <w:start w:val="1"/>
      <w:numFmt w:val="bullet"/>
      <w:lvlText w:val="o"/>
      <w:lvlJc w:val="left"/>
      <w:pPr>
        <w:ind w:left="3600" w:hanging="360"/>
      </w:pPr>
      <w:rPr>
        <w:rFonts w:ascii="Courier New" w:hAnsi="Courier New" w:hint="default"/>
      </w:rPr>
    </w:lvl>
    <w:lvl w:ilvl="5" w:tplc="B3928FAC">
      <w:start w:val="1"/>
      <w:numFmt w:val="bullet"/>
      <w:lvlText w:val=""/>
      <w:lvlJc w:val="left"/>
      <w:pPr>
        <w:ind w:left="4320" w:hanging="360"/>
      </w:pPr>
      <w:rPr>
        <w:rFonts w:ascii="Wingdings" w:hAnsi="Wingdings" w:hint="default"/>
      </w:rPr>
    </w:lvl>
    <w:lvl w:ilvl="6" w:tplc="20F480B2">
      <w:start w:val="1"/>
      <w:numFmt w:val="bullet"/>
      <w:lvlText w:val=""/>
      <w:lvlJc w:val="left"/>
      <w:pPr>
        <w:ind w:left="5040" w:hanging="360"/>
      </w:pPr>
      <w:rPr>
        <w:rFonts w:ascii="Symbol" w:hAnsi="Symbol" w:hint="default"/>
      </w:rPr>
    </w:lvl>
    <w:lvl w:ilvl="7" w:tplc="B65A0880">
      <w:start w:val="1"/>
      <w:numFmt w:val="bullet"/>
      <w:lvlText w:val="o"/>
      <w:lvlJc w:val="left"/>
      <w:pPr>
        <w:ind w:left="5760" w:hanging="360"/>
      </w:pPr>
      <w:rPr>
        <w:rFonts w:ascii="Courier New" w:hAnsi="Courier New" w:hint="default"/>
      </w:rPr>
    </w:lvl>
    <w:lvl w:ilvl="8" w:tplc="6472FDDA">
      <w:start w:val="1"/>
      <w:numFmt w:val="bullet"/>
      <w:lvlText w:val=""/>
      <w:lvlJc w:val="left"/>
      <w:pPr>
        <w:ind w:left="6480" w:hanging="360"/>
      </w:pPr>
      <w:rPr>
        <w:rFonts w:ascii="Wingdings" w:hAnsi="Wingdings" w:hint="default"/>
      </w:rPr>
    </w:lvl>
  </w:abstractNum>
  <w:abstractNum w:abstractNumId="28"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B157314"/>
    <w:multiLevelType w:val="hybridMultilevel"/>
    <w:tmpl w:val="0F98B30C"/>
    <w:lvl w:ilvl="0" w:tplc="684A7526">
      <w:start w:val="1"/>
      <w:numFmt w:val="decimal"/>
      <w:lvlText w:val="%1."/>
      <w:lvlJc w:val="left"/>
      <w:pPr>
        <w:ind w:left="720" w:hanging="360"/>
      </w:pPr>
    </w:lvl>
    <w:lvl w:ilvl="1" w:tplc="D7A2EC00">
      <w:start w:val="1"/>
      <w:numFmt w:val="lowerLetter"/>
      <w:lvlText w:val="%2."/>
      <w:lvlJc w:val="left"/>
      <w:pPr>
        <w:ind w:left="1440" w:hanging="360"/>
      </w:pPr>
    </w:lvl>
    <w:lvl w:ilvl="2" w:tplc="43D81336">
      <w:start w:val="1"/>
      <w:numFmt w:val="lowerRoman"/>
      <w:lvlText w:val="%3."/>
      <w:lvlJc w:val="right"/>
      <w:pPr>
        <w:ind w:left="2160" w:hanging="180"/>
      </w:pPr>
    </w:lvl>
    <w:lvl w:ilvl="3" w:tplc="3EE081F4">
      <w:start w:val="1"/>
      <w:numFmt w:val="decimal"/>
      <w:lvlText w:val="%4."/>
      <w:lvlJc w:val="left"/>
      <w:pPr>
        <w:ind w:left="2880" w:hanging="360"/>
      </w:pPr>
    </w:lvl>
    <w:lvl w:ilvl="4" w:tplc="04AA5768">
      <w:start w:val="1"/>
      <w:numFmt w:val="lowerLetter"/>
      <w:lvlText w:val="%5."/>
      <w:lvlJc w:val="left"/>
      <w:pPr>
        <w:ind w:left="3600" w:hanging="360"/>
      </w:pPr>
    </w:lvl>
    <w:lvl w:ilvl="5" w:tplc="BD98F67E">
      <w:start w:val="1"/>
      <w:numFmt w:val="lowerRoman"/>
      <w:lvlText w:val="%6."/>
      <w:lvlJc w:val="right"/>
      <w:pPr>
        <w:ind w:left="4320" w:hanging="180"/>
      </w:pPr>
    </w:lvl>
    <w:lvl w:ilvl="6" w:tplc="D21878AA">
      <w:start w:val="1"/>
      <w:numFmt w:val="decimal"/>
      <w:lvlText w:val="%7."/>
      <w:lvlJc w:val="left"/>
      <w:pPr>
        <w:ind w:left="5040" w:hanging="360"/>
      </w:pPr>
    </w:lvl>
    <w:lvl w:ilvl="7" w:tplc="85DE2860">
      <w:start w:val="1"/>
      <w:numFmt w:val="lowerLetter"/>
      <w:lvlText w:val="%8."/>
      <w:lvlJc w:val="left"/>
      <w:pPr>
        <w:ind w:left="5760" w:hanging="360"/>
      </w:pPr>
    </w:lvl>
    <w:lvl w:ilvl="8" w:tplc="41EA1B74">
      <w:start w:val="1"/>
      <w:numFmt w:val="lowerRoman"/>
      <w:lvlText w:val="%9."/>
      <w:lvlJc w:val="right"/>
      <w:pPr>
        <w:ind w:left="6480" w:hanging="180"/>
      </w:pPr>
    </w:lvl>
  </w:abstractNum>
  <w:abstractNum w:abstractNumId="31"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4"/>
  </w:num>
  <w:num w:numId="2" w16cid:durableId="1173495345">
    <w:abstractNumId w:val="1"/>
  </w:num>
  <w:num w:numId="3" w16cid:durableId="166870467">
    <w:abstractNumId w:val="7"/>
  </w:num>
  <w:num w:numId="4" w16cid:durableId="1691951035">
    <w:abstractNumId w:val="25"/>
  </w:num>
  <w:num w:numId="5" w16cid:durableId="1011906559">
    <w:abstractNumId w:val="33"/>
  </w:num>
  <w:num w:numId="6" w16cid:durableId="1277104421">
    <w:abstractNumId w:val="35"/>
  </w:num>
  <w:num w:numId="7" w16cid:durableId="242104871">
    <w:abstractNumId w:val="21"/>
  </w:num>
  <w:num w:numId="8" w16cid:durableId="522284696">
    <w:abstractNumId w:val="12"/>
  </w:num>
  <w:num w:numId="9" w16cid:durableId="1250770362">
    <w:abstractNumId w:val="8"/>
  </w:num>
  <w:num w:numId="10" w16cid:durableId="1358701701">
    <w:abstractNumId w:val="39"/>
  </w:num>
  <w:num w:numId="11" w16cid:durableId="1625037795">
    <w:abstractNumId w:val="23"/>
  </w:num>
  <w:num w:numId="12" w16cid:durableId="61487579">
    <w:abstractNumId w:val="44"/>
  </w:num>
  <w:num w:numId="13" w16cid:durableId="856233915">
    <w:abstractNumId w:val="16"/>
  </w:num>
  <w:num w:numId="14" w16cid:durableId="1381858278">
    <w:abstractNumId w:val="37"/>
  </w:num>
  <w:num w:numId="15" w16cid:durableId="402408764">
    <w:abstractNumId w:val="3"/>
  </w:num>
  <w:num w:numId="16" w16cid:durableId="1085760005">
    <w:abstractNumId w:val="32"/>
  </w:num>
  <w:num w:numId="17" w16cid:durableId="633215943">
    <w:abstractNumId w:val="5"/>
  </w:num>
  <w:num w:numId="18" w16cid:durableId="2020691353">
    <w:abstractNumId w:val="28"/>
  </w:num>
  <w:num w:numId="19" w16cid:durableId="1500385072">
    <w:abstractNumId w:val="10"/>
  </w:num>
  <w:num w:numId="20" w16cid:durableId="1520046844">
    <w:abstractNumId w:val="42"/>
  </w:num>
  <w:num w:numId="21" w16cid:durableId="748115910">
    <w:abstractNumId w:val="4"/>
  </w:num>
  <w:num w:numId="22" w16cid:durableId="717703608">
    <w:abstractNumId w:val="38"/>
  </w:num>
  <w:num w:numId="23" w16cid:durableId="600113171">
    <w:abstractNumId w:val="14"/>
  </w:num>
  <w:num w:numId="24" w16cid:durableId="241523878">
    <w:abstractNumId w:val="40"/>
  </w:num>
  <w:num w:numId="25" w16cid:durableId="80297080">
    <w:abstractNumId w:val="9"/>
  </w:num>
  <w:num w:numId="26" w16cid:durableId="576936923">
    <w:abstractNumId w:val="41"/>
  </w:num>
  <w:num w:numId="27" w16cid:durableId="379136238">
    <w:abstractNumId w:val="19"/>
  </w:num>
  <w:num w:numId="28" w16cid:durableId="1234242114">
    <w:abstractNumId w:val="17"/>
  </w:num>
  <w:num w:numId="29" w16cid:durableId="6490979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31"/>
  </w:num>
  <w:num w:numId="33" w16cid:durableId="2059163146">
    <w:abstractNumId w:val="2"/>
  </w:num>
  <w:num w:numId="34" w16cid:durableId="767845549">
    <w:abstractNumId w:val="11"/>
  </w:num>
  <w:num w:numId="35" w16cid:durableId="1295915667">
    <w:abstractNumId w:val="0"/>
  </w:num>
  <w:num w:numId="36" w16cid:durableId="597906997">
    <w:abstractNumId w:val="36"/>
  </w:num>
  <w:num w:numId="37" w16cid:durableId="860432523">
    <w:abstractNumId w:val="29"/>
  </w:num>
  <w:num w:numId="38" w16cid:durableId="1880386777">
    <w:abstractNumId w:val="26"/>
  </w:num>
  <w:num w:numId="39" w16cid:durableId="140314737">
    <w:abstractNumId w:val="6"/>
  </w:num>
  <w:num w:numId="40" w16cid:durableId="399055937">
    <w:abstractNumId w:val="34"/>
  </w:num>
  <w:num w:numId="41" w16cid:durableId="713895999">
    <w:abstractNumId w:val="13"/>
  </w:num>
  <w:num w:numId="42" w16cid:durableId="184565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161687">
    <w:abstractNumId w:val="22"/>
  </w:num>
  <w:num w:numId="44" w16cid:durableId="951518024">
    <w:abstractNumId w:val="27"/>
  </w:num>
  <w:num w:numId="45" w16cid:durableId="496459485">
    <w:abstractNumId w:val="20"/>
  </w:num>
  <w:num w:numId="46" w16cid:durableId="1528366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07CF"/>
    <w:rsid w:val="00002C93"/>
    <w:rsid w:val="00005041"/>
    <w:rsid w:val="0000519F"/>
    <w:rsid w:val="00010643"/>
    <w:rsid w:val="00011399"/>
    <w:rsid w:val="00012092"/>
    <w:rsid w:val="00012894"/>
    <w:rsid w:val="00013E7F"/>
    <w:rsid w:val="0001453A"/>
    <w:rsid w:val="00014682"/>
    <w:rsid w:val="00014D80"/>
    <w:rsid w:val="00014FC1"/>
    <w:rsid w:val="0001738F"/>
    <w:rsid w:val="00017975"/>
    <w:rsid w:val="00017CCB"/>
    <w:rsid w:val="00017E26"/>
    <w:rsid w:val="00020224"/>
    <w:rsid w:val="000210DA"/>
    <w:rsid w:val="00021998"/>
    <w:rsid w:val="00021E10"/>
    <w:rsid w:val="0002382B"/>
    <w:rsid w:val="000238C5"/>
    <w:rsid w:val="00024220"/>
    <w:rsid w:val="0003054A"/>
    <w:rsid w:val="00034BCA"/>
    <w:rsid w:val="00034CD6"/>
    <w:rsid w:val="0003591B"/>
    <w:rsid w:val="00036C6B"/>
    <w:rsid w:val="00041510"/>
    <w:rsid w:val="0004186B"/>
    <w:rsid w:val="000419D7"/>
    <w:rsid w:val="00044243"/>
    <w:rsid w:val="00045DC1"/>
    <w:rsid w:val="00050C64"/>
    <w:rsid w:val="00051BB8"/>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5A1"/>
    <w:rsid w:val="00073F2F"/>
    <w:rsid w:val="00076B4F"/>
    <w:rsid w:val="00082112"/>
    <w:rsid w:val="000852C6"/>
    <w:rsid w:val="0008625B"/>
    <w:rsid w:val="00091187"/>
    <w:rsid w:val="00091AD7"/>
    <w:rsid w:val="0009209F"/>
    <w:rsid w:val="00093282"/>
    <w:rsid w:val="00095CCD"/>
    <w:rsid w:val="00095E45"/>
    <w:rsid w:val="00097757"/>
    <w:rsid w:val="000A14D4"/>
    <w:rsid w:val="000A389E"/>
    <w:rsid w:val="000B1B90"/>
    <w:rsid w:val="000B2D70"/>
    <w:rsid w:val="000B4672"/>
    <w:rsid w:val="000B5823"/>
    <w:rsid w:val="000B64DA"/>
    <w:rsid w:val="000B6506"/>
    <w:rsid w:val="000C2820"/>
    <w:rsid w:val="000C2EBF"/>
    <w:rsid w:val="000C4B26"/>
    <w:rsid w:val="000C76A0"/>
    <w:rsid w:val="000D081D"/>
    <w:rsid w:val="000D274A"/>
    <w:rsid w:val="000D3389"/>
    <w:rsid w:val="000D5B53"/>
    <w:rsid w:val="000D5DA1"/>
    <w:rsid w:val="000D79F6"/>
    <w:rsid w:val="000D7BE0"/>
    <w:rsid w:val="000E09A3"/>
    <w:rsid w:val="000E0F53"/>
    <w:rsid w:val="000E148B"/>
    <w:rsid w:val="000E1C7E"/>
    <w:rsid w:val="000E58B1"/>
    <w:rsid w:val="000E76BC"/>
    <w:rsid w:val="000F0320"/>
    <w:rsid w:val="000F116E"/>
    <w:rsid w:val="000F2312"/>
    <w:rsid w:val="000F2C19"/>
    <w:rsid w:val="000F2E76"/>
    <w:rsid w:val="000F3513"/>
    <w:rsid w:val="000F48C0"/>
    <w:rsid w:val="000F5DF6"/>
    <w:rsid w:val="001009E1"/>
    <w:rsid w:val="0010295A"/>
    <w:rsid w:val="00103CDF"/>
    <w:rsid w:val="001043B5"/>
    <w:rsid w:val="00111EE2"/>
    <w:rsid w:val="00114AE5"/>
    <w:rsid w:val="00115964"/>
    <w:rsid w:val="00117F89"/>
    <w:rsid w:val="00117F8C"/>
    <w:rsid w:val="00121F7F"/>
    <w:rsid w:val="00122C81"/>
    <w:rsid w:val="00124DC9"/>
    <w:rsid w:val="001253B8"/>
    <w:rsid w:val="001275B5"/>
    <w:rsid w:val="001276AF"/>
    <w:rsid w:val="00130308"/>
    <w:rsid w:val="00130890"/>
    <w:rsid w:val="0013460E"/>
    <w:rsid w:val="00134EFB"/>
    <w:rsid w:val="0013601B"/>
    <w:rsid w:val="001363CD"/>
    <w:rsid w:val="001414C8"/>
    <w:rsid w:val="00142894"/>
    <w:rsid w:val="00145AC7"/>
    <w:rsid w:val="001478B9"/>
    <w:rsid w:val="00150EE3"/>
    <w:rsid w:val="00151739"/>
    <w:rsid w:val="00151DA2"/>
    <w:rsid w:val="00152987"/>
    <w:rsid w:val="00154193"/>
    <w:rsid w:val="00155E70"/>
    <w:rsid w:val="00157759"/>
    <w:rsid w:val="00161F7C"/>
    <w:rsid w:val="00163CAA"/>
    <w:rsid w:val="0016650B"/>
    <w:rsid w:val="00166E49"/>
    <w:rsid w:val="00170F29"/>
    <w:rsid w:val="00171CC5"/>
    <w:rsid w:val="00171F52"/>
    <w:rsid w:val="00171F53"/>
    <w:rsid w:val="001732F3"/>
    <w:rsid w:val="0017367A"/>
    <w:rsid w:val="0018095C"/>
    <w:rsid w:val="00180B29"/>
    <w:rsid w:val="00184522"/>
    <w:rsid w:val="001845DA"/>
    <w:rsid w:val="001846C3"/>
    <w:rsid w:val="0018499A"/>
    <w:rsid w:val="00184EE6"/>
    <w:rsid w:val="00185016"/>
    <w:rsid w:val="00185CBB"/>
    <w:rsid w:val="00185FAB"/>
    <w:rsid w:val="0019445C"/>
    <w:rsid w:val="001A057D"/>
    <w:rsid w:val="001A6646"/>
    <w:rsid w:val="001A7191"/>
    <w:rsid w:val="001A7C2A"/>
    <w:rsid w:val="001B1929"/>
    <w:rsid w:val="001B4613"/>
    <w:rsid w:val="001B49F9"/>
    <w:rsid w:val="001B6F96"/>
    <w:rsid w:val="001B78F3"/>
    <w:rsid w:val="001B7B9B"/>
    <w:rsid w:val="001C0B9E"/>
    <w:rsid w:val="001C2449"/>
    <w:rsid w:val="001C39FE"/>
    <w:rsid w:val="001C61BA"/>
    <w:rsid w:val="001C71D5"/>
    <w:rsid w:val="001C78E7"/>
    <w:rsid w:val="001D1D45"/>
    <w:rsid w:val="001D28D2"/>
    <w:rsid w:val="001D3D71"/>
    <w:rsid w:val="001D5B9E"/>
    <w:rsid w:val="001D5DBD"/>
    <w:rsid w:val="001D6744"/>
    <w:rsid w:val="001D6960"/>
    <w:rsid w:val="001D741B"/>
    <w:rsid w:val="001D7E6B"/>
    <w:rsid w:val="001E578E"/>
    <w:rsid w:val="001E7466"/>
    <w:rsid w:val="001F049E"/>
    <w:rsid w:val="001F0D95"/>
    <w:rsid w:val="001F0EE1"/>
    <w:rsid w:val="001F1F4E"/>
    <w:rsid w:val="001F204C"/>
    <w:rsid w:val="001F3FCA"/>
    <w:rsid w:val="001F7A65"/>
    <w:rsid w:val="00204003"/>
    <w:rsid w:val="00205962"/>
    <w:rsid w:val="00206F76"/>
    <w:rsid w:val="0021086D"/>
    <w:rsid w:val="0021224B"/>
    <w:rsid w:val="00214016"/>
    <w:rsid w:val="00214EC3"/>
    <w:rsid w:val="002168FA"/>
    <w:rsid w:val="00221066"/>
    <w:rsid w:val="0022333D"/>
    <w:rsid w:val="0022392F"/>
    <w:rsid w:val="00223C1A"/>
    <w:rsid w:val="002275C7"/>
    <w:rsid w:val="00230846"/>
    <w:rsid w:val="00230D55"/>
    <w:rsid w:val="00232C25"/>
    <w:rsid w:val="00233DA5"/>
    <w:rsid w:val="002372FB"/>
    <w:rsid w:val="00237826"/>
    <w:rsid w:val="00237F7D"/>
    <w:rsid w:val="002402DB"/>
    <w:rsid w:val="002406BE"/>
    <w:rsid w:val="002435C8"/>
    <w:rsid w:val="00243BB5"/>
    <w:rsid w:val="00244DC1"/>
    <w:rsid w:val="002460CE"/>
    <w:rsid w:val="00246810"/>
    <w:rsid w:val="00250338"/>
    <w:rsid w:val="0025034E"/>
    <w:rsid w:val="00251F67"/>
    <w:rsid w:val="00251FEF"/>
    <w:rsid w:val="00253135"/>
    <w:rsid w:val="00254757"/>
    <w:rsid w:val="002554C6"/>
    <w:rsid w:val="00256770"/>
    <w:rsid w:val="00262BC4"/>
    <w:rsid w:val="00263177"/>
    <w:rsid w:val="00270481"/>
    <w:rsid w:val="002724C2"/>
    <w:rsid w:val="002742CC"/>
    <w:rsid w:val="00275C3A"/>
    <w:rsid w:val="0027625A"/>
    <w:rsid w:val="00276971"/>
    <w:rsid w:val="00276D48"/>
    <w:rsid w:val="00281EC6"/>
    <w:rsid w:val="002847FD"/>
    <w:rsid w:val="00285AAD"/>
    <w:rsid w:val="00286684"/>
    <w:rsid w:val="002931C9"/>
    <w:rsid w:val="00294F4A"/>
    <w:rsid w:val="00297997"/>
    <w:rsid w:val="002A2E96"/>
    <w:rsid w:val="002A3A96"/>
    <w:rsid w:val="002A52F1"/>
    <w:rsid w:val="002A7D1F"/>
    <w:rsid w:val="002B74CB"/>
    <w:rsid w:val="002B7CAB"/>
    <w:rsid w:val="002C1765"/>
    <w:rsid w:val="002C32B4"/>
    <w:rsid w:val="002C4CC0"/>
    <w:rsid w:val="002C5816"/>
    <w:rsid w:val="002C6DB7"/>
    <w:rsid w:val="002D1944"/>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0FCA"/>
    <w:rsid w:val="00311609"/>
    <w:rsid w:val="003118A8"/>
    <w:rsid w:val="00312973"/>
    <w:rsid w:val="00312BE1"/>
    <w:rsid w:val="00313401"/>
    <w:rsid w:val="00314878"/>
    <w:rsid w:val="003149D4"/>
    <w:rsid w:val="00314A34"/>
    <w:rsid w:val="003169AC"/>
    <w:rsid w:val="003231B7"/>
    <w:rsid w:val="003246B4"/>
    <w:rsid w:val="00326771"/>
    <w:rsid w:val="00330F6D"/>
    <w:rsid w:val="003339F7"/>
    <w:rsid w:val="00341A52"/>
    <w:rsid w:val="00341A61"/>
    <w:rsid w:val="003450BC"/>
    <w:rsid w:val="003458EC"/>
    <w:rsid w:val="0034665F"/>
    <w:rsid w:val="003478C9"/>
    <w:rsid w:val="00351678"/>
    <w:rsid w:val="00351724"/>
    <w:rsid w:val="00352F26"/>
    <w:rsid w:val="00354021"/>
    <w:rsid w:val="003557C8"/>
    <w:rsid w:val="0035675F"/>
    <w:rsid w:val="00356CA0"/>
    <w:rsid w:val="00362122"/>
    <w:rsid w:val="00362582"/>
    <w:rsid w:val="003635DC"/>
    <w:rsid w:val="003643E0"/>
    <w:rsid w:val="003653C8"/>
    <w:rsid w:val="003661A6"/>
    <w:rsid w:val="003676B6"/>
    <w:rsid w:val="00367B0A"/>
    <w:rsid w:val="00367CD1"/>
    <w:rsid w:val="00367F99"/>
    <w:rsid w:val="003707CB"/>
    <w:rsid w:val="003713E2"/>
    <w:rsid w:val="0037316F"/>
    <w:rsid w:val="00377294"/>
    <w:rsid w:val="00377F18"/>
    <w:rsid w:val="00380BED"/>
    <w:rsid w:val="00384600"/>
    <w:rsid w:val="00384678"/>
    <w:rsid w:val="00390208"/>
    <w:rsid w:val="0039161B"/>
    <w:rsid w:val="00391785"/>
    <w:rsid w:val="00391C7B"/>
    <w:rsid w:val="00397767"/>
    <w:rsid w:val="00397AF5"/>
    <w:rsid w:val="003A61D4"/>
    <w:rsid w:val="003A6AE1"/>
    <w:rsid w:val="003A758F"/>
    <w:rsid w:val="003A7972"/>
    <w:rsid w:val="003B1D65"/>
    <w:rsid w:val="003B7881"/>
    <w:rsid w:val="003C0B83"/>
    <w:rsid w:val="003C3243"/>
    <w:rsid w:val="003C34DE"/>
    <w:rsid w:val="003C42D8"/>
    <w:rsid w:val="003C58CA"/>
    <w:rsid w:val="003D2755"/>
    <w:rsid w:val="003E0780"/>
    <w:rsid w:val="003E3CD5"/>
    <w:rsid w:val="003E6A9E"/>
    <w:rsid w:val="003E6C62"/>
    <w:rsid w:val="003E7FD7"/>
    <w:rsid w:val="003F00E2"/>
    <w:rsid w:val="003F1E5F"/>
    <w:rsid w:val="003F3056"/>
    <w:rsid w:val="003F3691"/>
    <w:rsid w:val="003F6D3C"/>
    <w:rsid w:val="003F6DE9"/>
    <w:rsid w:val="003F781E"/>
    <w:rsid w:val="003F7DF6"/>
    <w:rsid w:val="00400D2F"/>
    <w:rsid w:val="00401B7C"/>
    <w:rsid w:val="00401BA1"/>
    <w:rsid w:val="00403C6C"/>
    <w:rsid w:val="00410097"/>
    <w:rsid w:val="00412F27"/>
    <w:rsid w:val="004151B3"/>
    <w:rsid w:val="00420313"/>
    <w:rsid w:val="00420AA4"/>
    <w:rsid w:val="00422AB6"/>
    <w:rsid w:val="00423C2C"/>
    <w:rsid w:val="00423DE4"/>
    <w:rsid w:val="004242A2"/>
    <w:rsid w:val="00424E4C"/>
    <w:rsid w:val="004253C7"/>
    <w:rsid w:val="00425C62"/>
    <w:rsid w:val="00426F1B"/>
    <w:rsid w:val="004279FB"/>
    <w:rsid w:val="0043036A"/>
    <w:rsid w:val="0043054B"/>
    <w:rsid w:val="0043072F"/>
    <w:rsid w:val="004354C6"/>
    <w:rsid w:val="00435862"/>
    <w:rsid w:val="00435B8B"/>
    <w:rsid w:val="004367EA"/>
    <w:rsid w:val="00436CF3"/>
    <w:rsid w:val="004379A0"/>
    <w:rsid w:val="004415A2"/>
    <w:rsid w:val="00443772"/>
    <w:rsid w:val="00446733"/>
    <w:rsid w:val="00452FA3"/>
    <w:rsid w:val="00454488"/>
    <w:rsid w:val="0045475E"/>
    <w:rsid w:val="00454BF0"/>
    <w:rsid w:val="004567D1"/>
    <w:rsid w:val="00463478"/>
    <w:rsid w:val="00465CAD"/>
    <w:rsid w:val="004678B2"/>
    <w:rsid w:val="00467C68"/>
    <w:rsid w:val="00473535"/>
    <w:rsid w:val="00473C6D"/>
    <w:rsid w:val="0047433B"/>
    <w:rsid w:val="004754FA"/>
    <w:rsid w:val="00476C2B"/>
    <w:rsid w:val="00476C6C"/>
    <w:rsid w:val="00476EF6"/>
    <w:rsid w:val="0048489F"/>
    <w:rsid w:val="00485F2D"/>
    <w:rsid w:val="004862EF"/>
    <w:rsid w:val="004879B9"/>
    <w:rsid w:val="004904E4"/>
    <w:rsid w:val="004916CB"/>
    <w:rsid w:val="004933D4"/>
    <w:rsid w:val="0049373C"/>
    <w:rsid w:val="004957D4"/>
    <w:rsid w:val="00495A99"/>
    <w:rsid w:val="00496D11"/>
    <w:rsid w:val="004970A6"/>
    <w:rsid w:val="00497CEF"/>
    <w:rsid w:val="004A05E0"/>
    <w:rsid w:val="004A3E05"/>
    <w:rsid w:val="004A415A"/>
    <w:rsid w:val="004A4EB1"/>
    <w:rsid w:val="004A5600"/>
    <w:rsid w:val="004A76D1"/>
    <w:rsid w:val="004A7D73"/>
    <w:rsid w:val="004B03A3"/>
    <w:rsid w:val="004B23ED"/>
    <w:rsid w:val="004B380F"/>
    <w:rsid w:val="004B5803"/>
    <w:rsid w:val="004C101A"/>
    <w:rsid w:val="004C1D42"/>
    <w:rsid w:val="004C35E8"/>
    <w:rsid w:val="004C4E78"/>
    <w:rsid w:val="004C5139"/>
    <w:rsid w:val="004D088D"/>
    <w:rsid w:val="004D0D19"/>
    <w:rsid w:val="004D22F3"/>
    <w:rsid w:val="004D41F6"/>
    <w:rsid w:val="004D4404"/>
    <w:rsid w:val="004D4970"/>
    <w:rsid w:val="004D4AF2"/>
    <w:rsid w:val="004D50D4"/>
    <w:rsid w:val="004D5492"/>
    <w:rsid w:val="004D588A"/>
    <w:rsid w:val="004D5890"/>
    <w:rsid w:val="004D7DBE"/>
    <w:rsid w:val="004E494E"/>
    <w:rsid w:val="004E5CE6"/>
    <w:rsid w:val="004F0049"/>
    <w:rsid w:val="004F2A45"/>
    <w:rsid w:val="004F42FC"/>
    <w:rsid w:val="004F4BEB"/>
    <w:rsid w:val="004F586D"/>
    <w:rsid w:val="004F6047"/>
    <w:rsid w:val="004F6D56"/>
    <w:rsid w:val="00500A65"/>
    <w:rsid w:val="00503D9B"/>
    <w:rsid w:val="00504812"/>
    <w:rsid w:val="005072BC"/>
    <w:rsid w:val="005077DE"/>
    <w:rsid w:val="00507F10"/>
    <w:rsid w:val="00510588"/>
    <w:rsid w:val="00514995"/>
    <w:rsid w:val="00514C90"/>
    <w:rsid w:val="00515F4D"/>
    <w:rsid w:val="0051785F"/>
    <w:rsid w:val="005204E8"/>
    <w:rsid w:val="005239A4"/>
    <w:rsid w:val="00526261"/>
    <w:rsid w:val="005266B3"/>
    <w:rsid w:val="00526B2E"/>
    <w:rsid w:val="00526FAE"/>
    <w:rsid w:val="005317A7"/>
    <w:rsid w:val="00534E5F"/>
    <w:rsid w:val="005375B9"/>
    <w:rsid w:val="00537D80"/>
    <w:rsid w:val="00537DC3"/>
    <w:rsid w:val="0054143E"/>
    <w:rsid w:val="005418F4"/>
    <w:rsid w:val="005424CB"/>
    <w:rsid w:val="00542EC9"/>
    <w:rsid w:val="0054375F"/>
    <w:rsid w:val="00544090"/>
    <w:rsid w:val="0054452A"/>
    <w:rsid w:val="00544A57"/>
    <w:rsid w:val="00550083"/>
    <w:rsid w:val="005504F5"/>
    <w:rsid w:val="00552F5B"/>
    <w:rsid w:val="005539D6"/>
    <w:rsid w:val="00553F0A"/>
    <w:rsid w:val="005542F6"/>
    <w:rsid w:val="00560224"/>
    <w:rsid w:val="0056088A"/>
    <w:rsid w:val="00561FA6"/>
    <w:rsid w:val="0056260E"/>
    <w:rsid w:val="00562C26"/>
    <w:rsid w:val="00563B47"/>
    <w:rsid w:val="0056423C"/>
    <w:rsid w:val="00571000"/>
    <w:rsid w:val="00571465"/>
    <w:rsid w:val="00571C29"/>
    <w:rsid w:val="00573440"/>
    <w:rsid w:val="00574C36"/>
    <w:rsid w:val="00575074"/>
    <w:rsid w:val="00584255"/>
    <w:rsid w:val="00584F5F"/>
    <w:rsid w:val="00585C0C"/>
    <w:rsid w:val="005912E3"/>
    <w:rsid w:val="005927C1"/>
    <w:rsid w:val="005943E6"/>
    <w:rsid w:val="00594BC6"/>
    <w:rsid w:val="00594DEE"/>
    <w:rsid w:val="005A00EE"/>
    <w:rsid w:val="005A09F6"/>
    <w:rsid w:val="005A0DC3"/>
    <w:rsid w:val="005A14CA"/>
    <w:rsid w:val="005A29FB"/>
    <w:rsid w:val="005A2F72"/>
    <w:rsid w:val="005A4590"/>
    <w:rsid w:val="005A469A"/>
    <w:rsid w:val="005A494B"/>
    <w:rsid w:val="005A61AC"/>
    <w:rsid w:val="005B6CD1"/>
    <w:rsid w:val="005B7150"/>
    <w:rsid w:val="005C00F1"/>
    <w:rsid w:val="005C068C"/>
    <w:rsid w:val="005C1B6F"/>
    <w:rsid w:val="005C1CB4"/>
    <w:rsid w:val="005C2DDB"/>
    <w:rsid w:val="005C351D"/>
    <w:rsid w:val="005C5EC5"/>
    <w:rsid w:val="005D018B"/>
    <w:rsid w:val="005D0BE0"/>
    <w:rsid w:val="005D136B"/>
    <w:rsid w:val="005D13F5"/>
    <w:rsid w:val="005D15BD"/>
    <w:rsid w:val="005D4906"/>
    <w:rsid w:val="005D5022"/>
    <w:rsid w:val="005D5439"/>
    <w:rsid w:val="005D610D"/>
    <w:rsid w:val="005D7932"/>
    <w:rsid w:val="005E01AE"/>
    <w:rsid w:val="005E1188"/>
    <w:rsid w:val="005E26AC"/>
    <w:rsid w:val="005E48D5"/>
    <w:rsid w:val="005E642E"/>
    <w:rsid w:val="005E65C6"/>
    <w:rsid w:val="005E67FA"/>
    <w:rsid w:val="005E7CFE"/>
    <w:rsid w:val="005F2030"/>
    <w:rsid w:val="005F3295"/>
    <w:rsid w:val="005F75B1"/>
    <w:rsid w:val="005F780B"/>
    <w:rsid w:val="00601E49"/>
    <w:rsid w:val="0060301F"/>
    <w:rsid w:val="006068AC"/>
    <w:rsid w:val="00606D3D"/>
    <w:rsid w:val="00607858"/>
    <w:rsid w:val="0061617E"/>
    <w:rsid w:val="00617FB2"/>
    <w:rsid w:val="00620231"/>
    <w:rsid w:val="006203E8"/>
    <w:rsid w:val="006225D4"/>
    <w:rsid w:val="00622EFB"/>
    <w:rsid w:val="0062470F"/>
    <w:rsid w:val="006248E6"/>
    <w:rsid w:val="0062587F"/>
    <w:rsid w:val="00625B61"/>
    <w:rsid w:val="00626633"/>
    <w:rsid w:val="00633F49"/>
    <w:rsid w:val="006348B4"/>
    <w:rsid w:val="0063709B"/>
    <w:rsid w:val="00637DDA"/>
    <w:rsid w:val="006441DF"/>
    <w:rsid w:val="0064522E"/>
    <w:rsid w:val="0064742C"/>
    <w:rsid w:val="00647457"/>
    <w:rsid w:val="00647BF8"/>
    <w:rsid w:val="006528DD"/>
    <w:rsid w:val="00656701"/>
    <w:rsid w:val="00656753"/>
    <w:rsid w:val="0065755E"/>
    <w:rsid w:val="00657D98"/>
    <w:rsid w:val="00657F93"/>
    <w:rsid w:val="00660E3A"/>
    <w:rsid w:val="00661297"/>
    <w:rsid w:val="00663F03"/>
    <w:rsid w:val="00664F98"/>
    <w:rsid w:val="00666789"/>
    <w:rsid w:val="0067132F"/>
    <w:rsid w:val="00671BA0"/>
    <w:rsid w:val="00671DC9"/>
    <w:rsid w:val="006727C3"/>
    <w:rsid w:val="00672A40"/>
    <w:rsid w:val="00673304"/>
    <w:rsid w:val="00675F2D"/>
    <w:rsid w:val="006769D9"/>
    <w:rsid w:val="00677CA7"/>
    <w:rsid w:val="00677FC6"/>
    <w:rsid w:val="00681B50"/>
    <w:rsid w:val="006822CF"/>
    <w:rsid w:val="00682F93"/>
    <w:rsid w:val="006830F3"/>
    <w:rsid w:val="00683352"/>
    <w:rsid w:val="00683DD4"/>
    <w:rsid w:val="00684098"/>
    <w:rsid w:val="00687BAA"/>
    <w:rsid w:val="006905AA"/>
    <w:rsid w:val="00692152"/>
    <w:rsid w:val="00693305"/>
    <w:rsid w:val="00693B5E"/>
    <w:rsid w:val="00694939"/>
    <w:rsid w:val="00694B6C"/>
    <w:rsid w:val="0069515A"/>
    <w:rsid w:val="00697256"/>
    <w:rsid w:val="0069788F"/>
    <w:rsid w:val="006A0940"/>
    <w:rsid w:val="006A0A3A"/>
    <w:rsid w:val="006A23E6"/>
    <w:rsid w:val="006A56A1"/>
    <w:rsid w:val="006A6429"/>
    <w:rsid w:val="006B095A"/>
    <w:rsid w:val="006B0F95"/>
    <w:rsid w:val="006B3515"/>
    <w:rsid w:val="006B656A"/>
    <w:rsid w:val="006C4483"/>
    <w:rsid w:val="006C4FB1"/>
    <w:rsid w:val="006C523F"/>
    <w:rsid w:val="006C642C"/>
    <w:rsid w:val="006D1042"/>
    <w:rsid w:val="006D3572"/>
    <w:rsid w:val="006D4637"/>
    <w:rsid w:val="006D5390"/>
    <w:rsid w:val="006D609F"/>
    <w:rsid w:val="006D7A3A"/>
    <w:rsid w:val="006E05CD"/>
    <w:rsid w:val="006E1F40"/>
    <w:rsid w:val="006E2139"/>
    <w:rsid w:val="006E31A4"/>
    <w:rsid w:val="006E6CA3"/>
    <w:rsid w:val="006E72CE"/>
    <w:rsid w:val="006E7FB3"/>
    <w:rsid w:val="006F1C44"/>
    <w:rsid w:val="006F1EEE"/>
    <w:rsid w:val="006F1F9C"/>
    <w:rsid w:val="006F3F02"/>
    <w:rsid w:val="006F5051"/>
    <w:rsid w:val="006F6FE7"/>
    <w:rsid w:val="00700DF8"/>
    <w:rsid w:val="00700FF9"/>
    <w:rsid w:val="00702433"/>
    <w:rsid w:val="00702E76"/>
    <w:rsid w:val="00704643"/>
    <w:rsid w:val="00704813"/>
    <w:rsid w:val="00704FE8"/>
    <w:rsid w:val="0070560B"/>
    <w:rsid w:val="00706AA9"/>
    <w:rsid w:val="00707738"/>
    <w:rsid w:val="00710360"/>
    <w:rsid w:val="00710682"/>
    <w:rsid w:val="00711936"/>
    <w:rsid w:val="0071268A"/>
    <w:rsid w:val="00712A4F"/>
    <w:rsid w:val="007130B0"/>
    <w:rsid w:val="00714637"/>
    <w:rsid w:val="00714792"/>
    <w:rsid w:val="00714D3E"/>
    <w:rsid w:val="0071508A"/>
    <w:rsid w:val="007152F5"/>
    <w:rsid w:val="00716AB6"/>
    <w:rsid w:val="00720D7C"/>
    <w:rsid w:val="00722336"/>
    <w:rsid w:val="00722BBA"/>
    <w:rsid w:val="00724DAA"/>
    <w:rsid w:val="00726DD9"/>
    <w:rsid w:val="00731731"/>
    <w:rsid w:val="007317EE"/>
    <w:rsid w:val="007325B0"/>
    <w:rsid w:val="00733747"/>
    <w:rsid w:val="00733B83"/>
    <w:rsid w:val="0074126D"/>
    <w:rsid w:val="0074179A"/>
    <w:rsid w:val="00745400"/>
    <w:rsid w:val="00745A34"/>
    <w:rsid w:val="00746039"/>
    <w:rsid w:val="00746920"/>
    <w:rsid w:val="007477AD"/>
    <w:rsid w:val="007509CE"/>
    <w:rsid w:val="007526CF"/>
    <w:rsid w:val="0075328B"/>
    <w:rsid w:val="00753B77"/>
    <w:rsid w:val="0075425A"/>
    <w:rsid w:val="0075487C"/>
    <w:rsid w:val="00754C2E"/>
    <w:rsid w:val="00754F1C"/>
    <w:rsid w:val="00755641"/>
    <w:rsid w:val="007567A3"/>
    <w:rsid w:val="00756F09"/>
    <w:rsid w:val="00757681"/>
    <w:rsid w:val="00757E92"/>
    <w:rsid w:val="0076021C"/>
    <w:rsid w:val="0076163D"/>
    <w:rsid w:val="00762B89"/>
    <w:rsid w:val="00762E71"/>
    <w:rsid w:val="00764085"/>
    <w:rsid w:val="00767FAE"/>
    <w:rsid w:val="0077256A"/>
    <w:rsid w:val="0077619B"/>
    <w:rsid w:val="00776B13"/>
    <w:rsid w:val="00777271"/>
    <w:rsid w:val="00777F6A"/>
    <w:rsid w:val="00784D4E"/>
    <w:rsid w:val="0078616F"/>
    <w:rsid w:val="0079065E"/>
    <w:rsid w:val="00796439"/>
    <w:rsid w:val="007966C5"/>
    <w:rsid w:val="00797332"/>
    <w:rsid w:val="007976F0"/>
    <w:rsid w:val="007A09F7"/>
    <w:rsid w:val="007A1D4E"/>
    <w:rsid w:val="007A5215"/>
    <w:rsid w:val="007A5DB4"/>
    <w:rsid w:val="007B14E3"/>
    <w:rsid w:val="007B1D04"/>
    <w:rsid w:val="007B1EE9"/>
    <w:rsid w:val="007B2568"/>
    <w:rsid w:val="007B4C9B"/>
    <w:rsid w:val="007B53D4"/>
    <w:rsid w:val="007B574B"/>
    <w:rsid w:val="007B58FA"/>
    <w:rsid w:val="007B5F9D"/>
    <w:rsid w:val="007B6D83"/>
    <w:rsid w:val="007B6FE8"/>
    <w:rsid w:val="007B70CC"/>
    <w:rsid w:val="007C00E1"/>
    <w:rsid w:val="007C0FBC"/>
    <w:rsid w:val="007C1625"/>
    <w:rsid w:val="007C29D6"/>
    <w:rsid w:val="007C3375"/>
    <w:rsid w:val="007C4BA8"/>
    <w:rsid w:val="007D1F5E"/>
    <w:rsid w:val="007D4841"/>
    <w:rsid w:val="007D655B"/>
    <w:rsid w:val="007D656F"/>
    <w:rsid w:val="007D6812"/>
    <w:rsid w:val="007D765D"/>
    <w:rsid w:val="007D7D6A"/>
    <w:rsid w:val="007E09ED"/>
    <w:rsid w:val="007E28F2"/>
    <w:rsid w:val="007E2B69"/>
    <w:rsid w:val="007E666B"/>
    <w:rsid w:val="007F0870"/>
    <w:rsid w:val="007F5298"/>
    <w:rsid w:val="007F620C"/>
    <w:rsid w:val="007F7EEB"/>
    <w:rsid w:val="008002E0"/>
    <w:rsid w:val="00803112"/>
    <w:rsid w:val="0080408D"/>
    <w:rsid w:val="00804246"/>
    <w:rsid w:val="008057FF"/>
    <w:rsid w:val="00807C0E"/>
    <w:rsid w:val="00807F67"/>
    <w:rsid w:val="00811537"/>
    <w:rsid w:val="00811675"/>
    <w:rsid w:val="00812D47"/>
    <w:rsid w:val="00816DE7"/>
    <w:rsid w:val="008171AA"/>
    <w:rsid w:val="00817CA7"/>
    <w:rsid w:val="0082073B"/>
    <w:rsid w:val="00820FB0"/>
    <w:rsid w:val="008231B1"/>
    <w:rsid w:val="00830E33"/>
    <w:rsid w:val="00831CD3"/>
    <w:rsid w:val="00833CF1"/>
    <w:rsid w:val="0083517A"/>
    <w:rsid w:val="008409D8"/>
    <w:rsid w:val="00840B84"/>
    <w:rsid w:val="00841231"/>
    <w:rsid w:val="00841A1D"/>
    <w:rsid w:val="00841C9C"/>
    <w:rsid w:val="00844083"/>
    <w:rsid w:val="00846997"/>
    <w:rsid w:val="00850751"/>
    <w:rsid w:val="00850FB2"/>
    <w:rsid w:val="00852C6B"/>
    <w:rsid w:val="008532C8"/>
    <w:rsid w:val="00853E06"/>
    <w:rsid w:val="00855F28"/>
    <w:rsid w:val="00856495"/>
    <w:rsid w:val="008569CD"/>
    <w:rsid w:val="008630CE"/>
    <w:rsid w:val="00865338"/>
    <w:rsid w:val="008719B0"/>
    <w:rsid w:val="008719FE"/>
    <w:rsid w:val="0087371A"/>
    <w:rsid w:val="00875FB6"/>
    <w:rsid w:val="008836D6"/>
    <w:rsid w:val="00883EB8"/>
    <w:rsid w:val="0088596C"/>
    <w:rsid w:val="0088693B"/>
    <w:rsid w:val="0088791F"/>
    <w:rsid w:val="008928A8"/>
    <w:rsid w:val="00896E56"/>
    <w:rsid w:val="008A1A1B"/>
    <w:rsid w:val="008A4263"/>
    <w:rsid w:val="008A4900"/>
    <w:rsid w:val="008A62FE"/>
    <w:rsid w:val="008A6C4F"/>
    <w:rsid w:val="008A70F0"/>
    <w:rsid w:val="008B2DBA"/>
    <w:rsid w:val="008B3621"/>
    <w:rsid w:val="008B3F2E"/>
    <w:rsid w:val="008B5E48"/>
    <w:rsid w:val="008B7C48"/>
    <w:rsid w:val="008C0188"/>
    <w:rsid w:val="008C0C35"/>
    <w:rsid w:val="008C3EE4"/>
    <w:rsid w:val="008C61A4"/>
    <w:rsid w:val="008C6CED"/>
    <w:rsid w:val="008C7273"/>
    <w:rsid w:val="008C754D"/>
    <w:rsid w:val="008D0372"/>
    <w:rsid w:val="008D4F7C"/>
    <w:rsid w:val="008D5779"/>
    <w:rsid w:val="008D5CFA"/>
    <w:rsid w:val="008D64C2"/>
    <w:rsid w:val="008D6593"/>
    <w:rsid w:val="008D6813"/>
    <w:rsid w:val="008E251C"/>
    <w:rsid w:val="008E38F0"/>
    <w:rsid w:val="008E3D4B"/>
    <w:rsid w:val="008E587C"/>
    <w:rsid w:val="008E6AC7"/>
    <w:rsid w:val="008E70C8"/>
    <w:rsid w:val="008F031E"/>
    <w:rsid w:val="008F034A"/>
    <w:rsid w:val="008F1040"/>
    <w:rsid w:val="008F1D85"/>
    <w:rsid w:val="008F4472"/>
    <w:rsid w:val="008F6E6F"/>
    <w:rsid w:val="00900567"/>
    <w:rsid w:val="009011C8"/>
    <w:rsid w:val="0090216D"/>
    <w:rsid w:val="00902406"/>
    <w:rsid w:val="00903CEE"/>
    <w:rsid w:val="00904222"/>
    <w:rsid w:val="009059A0"/>
    <w:rsid w:val="00905E44"/>
    <w:rsid w:val="0090616B"/>
    <w:rsid w:val="009078E2"/>
    <w:rsid w:val="009079AC"/>
    <w:rsid w:val="009111AD"/>
    <w:rsid w:val="00912242"/>
    <w:rsid w:val="0091244E"/>
    <w:rsid w:val="009139A3"/>
    <w:rsid w:val="0091430E"/>
    <w:rsid w:val="00914500"/>
    <w:rsid w:val="00915AB2"/>
    <w:rsid w:val="00915B9C"/>
    <w:rsid w:val="0091A1E4"/>
    <w:rsid w:val="009230A6"/>
    <w:rsid w:val="00923DDC"/>
    <w:rsid w:val="00923DF8"/>
    <w:rsid w:val="00924ADE"/>
    <w:rsid w:val="009256F5"/>
    <w:rsid w:val="00925DDA"/>
    <w:rsid w:val="00926FED"/>
    <w:rsid w:val="0093007F"/>
    <w:rsid w:val="00936132"/>
    <w:rsid w:val="00937307"/>
    <w:rsid w:val="0093779B"/>
    <w:rsid w:val="0094111F"/>
    <w:rsid w:val="009424AD"/>
    <w:rsid w:val="0094706D"/>
    <w:rsid w:val="0095140E"/>
    <w:rsid w:val="00951748"/>
    <w:rsid w:val="009525E3"/>
    <w:rsid w:val="0095451A"/>
    <w:rsid w:val="00954FFB"/>
    <w:rsid w:val="00955632"/>
    <w:rsid w:val="009579D5"/>
    <w:rsid w:val="00957F57"/>
    <w:rsid w:val="009604A0"/>
    <w:rsid w:val="00960E9C"/>
    <w:rsid w:val="00961920"/>
    <w:rsid w:val="00962745"/>
    <w:rsid w:val="00962CF5"/>
    <w:rsid w:val="00965447"/>
    <w:rsid w:val="00965995"/>
    <w:rsid w:val="0096626E"/>
    <w:rsid w:val="009706BB"/>
    <w:rsid w:val="00970C96"/>
    <w:rsid w:val="00970ED5"/>
    <w:rsid w:val="009712AE"/>
    <w:rsid w:val="00971A2F"/>
    <w:rsid w:val="00971D94"/>
    <w:rsid w:val="00975140"/>
    <w:rsid w:val="00975CCF"/>
    <w:rsid w:val="009773FC"/>
    <w:rsid w:val="00981634"/>
    <w:rsid w:val="00982B6A"/>
    <w:rsid w:val="00983E12"/>
    <w:rsid w:val="00984BE6"/>
    <w:rsid w:val="0098679C"/>
    <w:rsid w:val="00987DE5"/>
    <w:rsid w:val="009905EF"/>
    <w:rsid w:val="00992820"/>
    <w:rsid w:val="00994DA0"/>
    <w:rsid w:val="00995987"/>
    <w:rsid w:val="00996335"/>
    <w:rsid w:val="009A1850"/>
    <w:rsid w:val="009A2509"/>
    <w:rsid w:val="009A3551"/>
    <w:rsid w:val="009A4B25"/>
    <w:rsid w:val="009A56EC"/>
    <w:rsid w:val="009A6579"/>
    <w:rsid w:val="009A65FD"/>
    <w:rsid w:val="009A7D59"/>
    <w:rsid w:val="009B0613"/>
    <w:rsid w:val="009B0E34"/>
    <w:rsid w:val="009B262B"/>
    <w:rsid w:val="009B271D"/>
    <w:rsid w:val="009B31FD"/>
    <w:rsid w:val="009B37E5"/>
    <w:rsid w:val="009B4F2A"/>
    <w:rsid w:val="009B6E02"/>
    <w:rsid w:val="009C08AC"/>
    <w:rsid w:val="009C0C3E"/>
    <w:rsid w:val="009C311F"/>
    <w:rsid w:val="009C41BB"/>
    <w:rsid w:val="009C50B0"/>
    <w:rsid w:val="009C5A1D"/>
    <w:rsid w:val="009C63BD"/>
    <w:rsid w:val="009D47B6"/>
    <w:rsid w:val="009D48A7"/>
    <w:rsid w:val="009D5692"/>
    <w:rsid w:val="009E545A"/>
    <w:rsid w:val="009E6B2F"/>
    <w:rsid w:val="009E7CF6"/>
    <w:rsid w:val="009F0672"/>
    <w:rsid w:val="009F0CD6"/>
    <w:rsid w:val="009F1DFD"/>
    <w:rsid w:val="009F3D64"/>
    <w:rsid w:val="009F4A65"/>
    <w:rsid w:val="009F4FA5"/>
    <w:rsid w:val="009F5660"/>
    <w:rsid w:val="00A000D9"/>
    <w:rsid w:val="00A017EB"/>
    <w:rsid w:val="00A02A9C"/>
    <w:rsid w:val="00A05373"/>
    <w:rsid w:val="00A064DA"/>
    <w:rsid w:val="00A0770D"/>
    <w:rsid w:val="00A11D13"/>
    <w:rsid w:val="00A15416"/>
    <w:rsid w:val="00A15F68"/>
    <w:rsid w:val="00A17913"/>
    <w:rsid w:val="00A20B8C"/>
    <w:rsid w:val="00A23BC4"/>
    <w:rsid w:val="00A2572D"/>
    <w:rsid w:val="00A26050"/>
    <w:rsid w:val="00A27407"/>
    <w:rsid w:val="00A2782D"/>
    <w:rsid w:val="00A30BDC"/>
    <w:rsid w:val="00A30C51"/>
    <w:rsid w:val="00A35174"/>
    <w:rsid w:val="00A37BEC"/>
    <w:rsid w:val="00A403D9"/>
    <w:rsid w:val="00A409B8"/>
    <w:rsid w:val="00A40DE9"/>
    <w:rsid w:val="00A41B8D"/>
    <w:rsid w:val="00A423ED"/>
    <w:rsid w:val="00A43364"/>
    <w:rsid w:val="00A43398"/>
    <w:rsid w:val="00A43DFA"/>
    <w:rsid w:val="00A443ED"/>
    <w:rsid w:val="00A466B1"/>
    <w:rsid w:val="00A509B8"/>
    <w:rsid w:val="00A51BCA"/>
    <w:rsid w:val="00A520DD"/>
    <w:rsid w:val="00A54E20"/>
    <w:rsid w:val="00A5588F"/>
    <w:rsid w:val="00A55A7E"/>
    <w:rsid w:val="00A60204"/>
    <w:rsid w:val="00A60F87"/>
    <w:rsid w:val="00A62138"/>
    <w:rsid w:val="00A623F8"/>
    <w:rsid w:val="00A630E2"/>
    <w:rsid w:val="00A73E4E"/>
    <w:rsid w:val="00A773FB"/>
    <w:rsid w:val="00A8089C"/>
    <w:rsid w:val="00A80C70"/>
    <w:rsid w:val="00A80FCD"/>
    <w:rsid w:val="00A822CD"/>
    <w:rsid w:val="00A8348C"/>
    <w:rsid w:val="00A83ED5"/>
    <w:rsid w:val="00A9023A"/>
    <w:rsid w:val="00A92500"/>
    <w:rsid w:val="00A92BA5"/>
    <w:rsid w:val="00A94E8C"/>
    <w:rsid w:val="00A95CF5"/>
    <w:rsid w:val="00AA3FE3"/>
    <w:rsid w:val="00AA40EB"/>
    <w:rsid w:val="00AA4339"/>
    <w:rsid w:val="00AA4DF4"/>
    <w:rsid w:val="00AA5041"/>
    <w:rsid w:val="00AA64EE"/>
    <w:rsid w:val="00AA7786"/>
    <w:rsid w:val="00AB0622"/>
    <w:rsid w:val="00AB1537"/>
    <w:rsid w:val="00AB1BC4"/>
    <w:rsid w:val="00AB4E10"/>
    <w:rsid w:val="00AB4E96"/>
    <w:rsid w:val="00AB676D"/>
    <w:rsid w:val="00AC3B99"/>
    <w:rsid w:val="00AC46DD"/>
    <w:rsid w:val="00AC4997"/>
    <w:rsid w:val="00AC61DA"/>
    <w:rsid w:val="00AD1D92"/>
    <w:rsid w:val="00AD2088"/>
    <w:rsid w:val="00AD2439"/>
    <w:rsid w:val="00AD32BC"/>
    <w:rsid w:val="00AD3633"/>
    <w:rsid w:val="00AD3EEC"/>
    <w:rsid w:val="00AD59AB"/>
    <w:rsid w:val="00AD5DC0"/>
    <w:rsid w:val="00AD69A3"/>
    <w:rsid w:val="00AD6C14"/>
    <w:rsid w:val="00AE19BE"/>
    <w:rsid w:val="00AE2A8B"/>
    <w:rsid w:val="00AE2BEA"/>
    <w:rsid w:val="00AE3958"/>
    <w:rsid w:val="00AE4470"/>
    <w:rsid w:val="00AE48EE"/>
    <w:rsid w:val="00AE653F"/>
    <w:rsid w:val="00AE6A16"/>
    <w:rsid w:val="00AE72D6"/>
    <w:rsid w:val="00AE779B"/>
    <w:rsid w:val="00AF0623"/>
    <w:rsid w:val="00AF1CCB"/>
    <w:rsid w:val="00AF247C"/>
    <w:rsid w:val="00AF2DF7"/>
    <w:rsid w:val="00AF3E9F"/>
    <w:rsid w:val="00AF7348"/>
    <w:rsid w:val="00B00142"/>
    <w:rsid w:val="00B013DD"/>
    <w:rsid w:val="00B023CC"/>
    <w:rsid w:val="00B04229"/>
    <w:rsid w:val="00B0621B"/>
    <w:rsid w:val="00B067E8"/>
    <w:rsid w:val="00B073CC"/>
    <w:rsid w:val="00B127E1"/>
    <w:rsid w:val="00B14E19"/>
    <w:rsid w:val="00B150DB"/>
    <w:rsid w:val="00B15CE6"/>
    <w:rsid w:val="00B2293E"/>
    <w:rsid w:val="00B2323A"/>
    <w:rsid w:val="00B2344E"/>
    <w:rsid w:val="00B26885"/>
    <w:rsid w:val="00B303F8"/>
    <w:rsid w:val="00B31141"/>
    <w:rsid w:val="00B31E1B"/>
    <w:rsid w:val="00B329F8"/>
    <w:rsid w:val="00B32E19"/>
    <w:rsid w:val="00B32FA4"/>
    <w:rsid w:val="00B34F1D"/>
    <w:rsid w:val="00B35570"/>
    <w:rsid w:val="00B36180"/>
    <w:rsid w:val="00B41C05"/>
    <w:rsid w:val="00B46FC9"/>
    <w:rsid w:val="00B4705A"/>
    <w:rsid w:val="00B53150"/>
    <w:rsid w:val="00B54016"/>
    <w:rsid w:val="00B55EEB"/>
    <w:rsid w:val="00B60A46"/>
    <w:rsid w:val="00B63E25"/>
    <w:rsid w:val="00B65791"/>
    <w:rsid w:val="00B66A6F"/>
    <w:rsid w:val="00B767FA"/>
    <w:rsid w:val="00B808A5"/>
    <w:rsid w:val="00B80B73"/>
    <w:rsid w:val="00B847FA"/>
    <w:rsid w:val="00B8584A"/>
    <w:rsid w:val="00B9019E"/>
    <w:rsid w:val="00B907B0"/>
    <w:rsid w:val="00B91640"/>
    <w:rsid w:val="00B93E4A"/>
    <w:rsid w:val="00B95F6B"/>
    <w:rsid w:val="00B9720A"/>
    <w:rsid w:val="00BA02A0"/>
    <w:rsid w:val="00BA0488"/>
    <w:rsid w:val="00BA0B00"/>
    <w:rsid w:val="00BA3D80"/>
    <w:rsid w:val="00BA60BB"/>
    <w:rsid w:val="00BB19BC"/>
    <w:rsid w:val="00BB1BBB"/>
    <w:rsid w:val="00BB250D"/>
    <w:rsid w:val="00BB2C9E"/>
    <w:rsid w:val="00BB3433"/>
    <w:rsid w:val="00BB34AA"/>
    <w:rsid w:val="00BB63A2"/>
    <w:rsid w:val="00BB6547"/>
    <w:rsid w:val="00BB751F"/>
    <w:rsid w:val="00BC11F1"/>
    <w:rsid w:val="00BC1560"/>
    <w:rsid w:val="00BC1FCB"/>
    <w:rsid w:val="00BC27ED"/>
    <w:rsid w:val="00BC3352"/>
    <w:rsid w:val="00BC4A28"/>
    <w:rsid w:val="00BC5454"/>
    <w:rsid w:val="00BC678A"/>
    <w:rsid w:val="00BC7AE8"/>
    <w:rsid w:val="00BC7FEF"/>
    <w:rsid w:val="00BD0A63"/>
    <w:rsid w:val="00BD1C7B"/>
    <w:rsid w:val="00BD57D2"/>
    <w:rsid w:val="00BD6737"/>
    <w:rsid w:val="00BD7ECE"/>
    <w:rsid w:val="00BE01D0"/>
    <w:rsid w:val="00BE3997"/>
    <w:rsid w:val="00BE4416"/>
    <w:rsid w:val="00BE5499"/>
    <w:rsid w:val="00BE5623"/>
    <w:rsid w:val="00BE6794"/>
    <w:rsid w:val="00BE79CD"/>
    <w:rsid w:val="00BF10E6"/>
    <w:rsid w:val="00BF1308"/>
    <w:rsid w:val="00BF149F"/>
    <w:rsid w:val="00BF1690"/>
    <w:rsid w:val="00BF4812"/>
    <w:rsid w:val="00BF4A3D"/>
    <w:rsid w:val="00BF567B"/>
    <w:rsid w:val="00BF5BCA"/>
    <w:rsid w:val="00C036D3"/>
    <w:rsid w:val="00C03E79"/>
    <w:rsid w:val="00C04D3B"/>
    <w:rsid w:val="00C10F79"/>
    <w:rsid w:val="00C11311"/>
    <w:rsid w:val="00C11913"/>
    <w:rsid w:val="00C16FE3"/>
    <w:rsid w:val="00C2027E"/>
    <w:rsid w:val="00C206BA"/>
    <w:rsid w:val="00C219F0"/>
    <w:rsid w:val="00C21A1E"/>
    <w:rsid w:val="00C24FB8"/>
    <w:rsid w:val="00C25FC7"/>
    <w:rsid w:val="00C2621B"/>
    <w:rsid w:val="00C27973"/>
    <w:rsid w:val="00C31686"/>
    <w:rsid w:val="00C319F4"/>
    <w:rsid w:val="00C3248B"/>
    <w:rsid w:val="00C328BC"/>
    <w:rsid w:val="00C3516A"/>
    <w:rsid w:val="00C36F65"/>
    <w:rsid w:val="00C36FE1"/>
    <w:rsid w:val="00C37190"/>
    <w:rsid w:val="00C3760E"/>
    <w:rsid w:val="00C37AE1"/>
    <w:rsid w:val="00C4155A"/>
    <w:rsid w:val="00C421FE"/>
    <w:rsid w:val="00C429C1"/>
    <w:rsid w:val="00C42ED0"/>
    <w:rsid w:val="00C45713"/>
    <w:rsid w:val="00C47814"/>
    <w:rsid w:val="00C502B6"/>
    <w:rsid w:val="00C52105"/>
    <w:rsid w:val="00C52159"/>
    <w:rsid w:val="00C536C6"/>
    <w:rsid w:val="00C559C0"/>
    <w:rsid w:val="00C578D1"/>
    <w:rsid w:val="00C57ADF"/>
    <w:rsid w:val="00C6132C"/>
    <w:rsid w:val="00C62050"/>
    <w:rsid w:val="00C67260"/>
    <w:rsid w:val="00C67EAE"/>
    <w:rsid w:val="00C702A7"/>
    <w:rsid w:val="00C70884"/>
    <w:rsid w:val="00C728F3"/>
    <w:rsid w:val="00C72BEF"/>
    <w:rsid w:val="00C733E6"/>
    <w:rsid w:val="00C767F9"/>
    <w:rsid w:val="00C80A49"/>
    <w:rsid w:val="00C813E6"/>
    <w:rsid w:val="00C8199E"/>
    <w:rsid w:val="00C830DE"/>
    <w:rsid w:val="00C8459A"/>
    <w:rsid w:val="00C84A02"/>
    <w:rsid w:val="00C867F5"/>
    <w:rsid w:val="00C905FA"/>
    <w:rsid w:val="00C91E56"/>
    <w:rsid w:val="00C936AF"/>
    <w:rsid w:val="00C94533"/>
    <w:rsid w:val="00C95343"/>
    <w:rsid w:val="00C95666"/>
    <w:rsid w:val="00C95BE9"/>
    <w:rsid w:val="00CA0715"/>
    <w:rsid w:val="00CA1322"/>
    <w:rsid w:val="00CA2EC0"/>
    <w:rsid w:val="00CA4703"/>
    <w:rsid w:val="00CA5826"/>
    <w:rsid w:val="00CB1755"/>
    <w:rsid w:val="00CB299B"/>
    <w:rsid w:val="00CB5319"/>
    <w:rsid w:val="00CB53B6"/>
    <w:rsid w:val="00CB65B3"/>
    <w:rsid w:val="00CB66DC"/>
    <w:rsid w:val="00CB696C"/>
    <w:rsid w:val="00CC1A05"/>
    <w:rsid w:val="00CC26BC"/>
    <w:rsid w:val="00CC270C"/>
    <w:rsid w:val="00CC4277"/>
    <w:rsid w:val="00CC5015"/>
    <w:rsid w:val="00CC740F"/>
    <w:rsid w:val="00CD4A39"/>
    <w:rsid w:val="00CD4F4D"/>
    <w:rsid w:val="00CD7391"/>
    <w:rsid w:val="00CE283F"/>
    <w:rsid w:val="00CE39D5"/>
    <w:rsid w:val="00CE39E2"/>
    <w:rsid w:val="00CE618F"/>
    <w:rsid w:val="00CF0CE5"/>
    <w:rsid w:val="00CF1D8A"/>
    <w:rsid w:val="00CF372A"/>
    <w:rsid w:val="00CF45ED"/>
    <w:rsid w:val="00CF6129"/>
    <w:rsid w:val="00D00BA4"/>
    <w:rsid w:val="00D00F60"/>
    <w:rsid w:val="00D010BF"/>
    <w:rsid w:val="00D01230"/>
    <w:rsid w:val="00D04ED7"/>
    <w:rsid w:val="00D050F1"/>
    <w:rsid w:val="00D1325D"/>
    <w:rsid w:val="00D144F9"/>
    <w:rsid w:val="00D14A10"/>
    <w:rsid w:val="00D14EF0"/>
    <w:rsid w:val="00D1594B"/>
    <w:rsid w:val="00D16555"/>
    <w:rsid w:val="00D1763F"/>
    <w:rsid w:val="00D179A2"/>
    <w:rsid w:val="00D21915"/>
    <w:rsid w:val="00D228C7"/>
    <w:rsid w:val="00D22A20"/>
    <w:rsid w:val="00D263C1"/>
    <w:rsid w:val="00D265EA"/>
    <w:rsid w:val="00D2745E"/>
    <w:rsid w:val="00D32E53"/>
    <w:rsid w:val="00D34656"/>
    <w:rsid w:val="00D34BA7"/>
    <w:rsid w:val="00D36C8C"/>
    <w:rsid w:val="00D36E67"/>
    <w:rsid w:val="00D37034"/>
    <w:rsid w:val="00D42D22"/>
    <w:rsid w:val="00D44A37"/>
    <w:rsid w:val="00D4EF11"/>
    <w:rsid w:val="00D51661"/>
    <w:rsid w:val="00D52662"/>
    <w:rsid w:val="00D54E71"/>
    <w:rsid w:val="00D601D8"/>
    <w:rsid w:val="00D6323C"/>
    <w:rsid w:val="00D6418A"/>
    <w:rsid w:val="00D64526"/>
    <w:rsid w:val="00D6662D"/>
    <w:rsid w:val="00D669AC"/>
    <w:rsid w:val="00D671D2"/>
    <w:rsid w:val="00D67246"/>
    <w:rsid w:val="00D70E06"/>
    <w:rsid w:val="00D711D8"/>
    <w:rsid w:val="00D73445"/>
    <w:rsid w:val="00D75CA8"/>
    <w:rsid w:val="00D77B76"/>
    <w:rsid w:val="00D81C73"/>
    <w:rsid w:val="00D82D32"/>
    <w:rsid w:val="00D8367C"/>
    <w:rsid w:val="00D85ECF"/>
    <w:rsid w:val="00D86729"/>
    <w:rsid w:val="00D871FA"/>
    <w:rsid w:val="00D904F8"/>
    <w:rsid w:val="00D91440"/>
    <w:rsid w:val="00D92A85"/>
    <w:rsid w:val="00D92EB8"/>
    <w:rsid w:val="00D953C7"/>
    <w:rsid w:val="00DA0134"/>
    <w:rsid w:val="00DA18F5"/>
    <w:rsid w:val="00DA343D"/>
    <w:rsid w:val="00DA461A"/>
    <w:rsid w:val="00DA546B"/>
    <w:rsid w:val="00DB2253"/>
    <w:rsid w:val="00DB2D57"/>
    <w:rsid w:val="00DB30B7"/>
    <w:rsid w:val="00DB3CC7"/>
    <w:rsid w:val="00DC0197"/>
    <w:rsid w:val="00DC6506"/>
    <w:rsid w:val="00DC6669"/>
    <w:rsid w:val="00DC6BDF"/>
    <w:rsid w:val="00DC7BFE"/>
    <w:rsid w:val="00DD1E52"/>
    <w:rsid w:val="00DD4200"/>
    <w:rsid w:val="00DD6007"/>
    <w:rsid w:val="00DD704B"/>
    <w:rsid w:val="00DD726A"/>
    <w:rsid w:val="00DD72E6"/>
    <w:rsid w:val="00DD7F25"/>
    <w:rsid w:val="00DE1EF0"/>
    <w:rsid w:val="00DE2362"/>
    <w:rsid w:val="00DE238B"/>
    <w:rsid w:val="00DE2578"/>
    <w:rsid w:val="00DE49E6"/>
    <w:rsid w:val="00DE6C37"/>
    <w:rsid w:val="00DF1F65"/>
    <w:rsid w:val="00DF248F"/>
    <w:rsid w:val="00DF3E01"/>
    <w:rsid w:val="00DF6920"/>
    <w:rsid w:val="00E00516"/>
    <w:rsid w:val="00E02A2C"/>
    <w:rsid w:val="00E05480"/>
    <w:rsid w:val="00E06CEF"/>
    <w:rsid w:val="00E1024B"/>
    <w:rsid w:val="00E14891"/>
    <w:rsid w:val="00E16240"/>
    <w:rsid w:val="00E22CDC"/>
    <w:rsid w:val="00E23ADF"/>
    <w:rsid w:val="00E25B0B"/>
    <w:rsid w:val="00E30723"/>
    <w:rsid w:val="00E30B93"/>
    <w:rsid w:val="00E31454"/>
    <w:rsid w:val="00E319E4"/>
    <w:rsid w:val="00E33074"/>
    <w:rsid w:val="00E33D90"/>
    <w:rsid w:val="00E33FF8"/>
    <w:rsid w:val="00E34862"/>
    <w:rsid w:val="00E34B27"/>
    <w:rsid w:val="00E3533D"/>
    <w:rsid w:val="00E379B7"/>
    <w:rsid w:val="00E4033D"/>
    <w:rsid w:val="00E42610"/>
    <w:rsid w:val="00E4289F"/>
    <w:rsid w:val="00E44073"/>
    <w:rsid w:val="00E451FD"/>
    <w:rsid w:val="00E459A3"/>
    <w:rsid w:val="00E50375"/>
    <w:rsid w:val="00E50968"/>
    <w:rsid w:val="00E50CA5"/>
    <w:rsid w:val="00E54F56"/>
    <w:rsid w:val="00E55896"/>
    <w:rsid w:val="00E57C4C"/>
    <w:rsid w:val="00E57E3F"/>
    <w:rsid w:val="00E57E7B"/>
    <w:rsid w:val="00E602AE"/>
    <w:rsid w:val="00E604C0"/>
    <w:rsid w:val="00E62551"/>
    <w:rsid w:val="00E63065"/>
    <w:rsid w:val="00E64E95"/>
    <w:rsid w:val="00E65663"/>
    <w:rsid w:val="00E65C88"/>
    <w:rsid w:val="00E679A9"/>
    <w:rsid w:val="00E72AA1"/>
    <w:rsid w:val="00E7306F"/>
    <w:rsid w:val="00E7310B"/>
    <w:rsid w:val="00E7547F"/>
    <w:rsid w:val="00E827EB"/>
    <w:rsid w:val="00E82F67"/>
    <w:rsid w:val="00E84BB2"/>
    <w:rsid w:val="00E86552"/>
    <w:rsid w:val="00E86C6B"/>
    <w:rsid w:val="00E87D26"/>
    <w:rsid w:val="00E90515"/>
    <w:rsid w:val="00E9189B"/>
    <w:rsid w:val="00E91A26"/>
    <w:rsid w:val="00E91B64"/>
    <w:rsid w:val="00E94684"/>
    <w:rsid w:val="00E95285"/>
    <w:rsid w:val="00E972E1"/>
    <w:rsid w:val="00EA1644"/>
    <w:rsid w:val="00EA3468"/>
    <w:rsid w:val="00EA372E"/>
    <w:rsid w:val="00EA75E6"/>
    <w:rsid w:val="00EA7761"/>
    <w:rsid w:val="00EB0062"/>
    <w:rsid w:val="00EB3981"/>
    <w:rsid w:val="00EB4721"/>
    <w:rsid w:val="00EB6835"/>
    <w:rsid w:val="00EB6F0F"/>
    <w:rsid w:val="00EB70EB"/>
    <w:rsid w:val="00EC1ED4"/>
    <w:rsid w:val="00EC432D"/>
    <w:rsid w:val="00EC5699"/>
    <w:rsid w:val="00ED36BD"/>
    <w:rsid w:val="00EE1EEC"/>
    <w:rsid w:val="00EE3B66"/>
    <w:rsid w:val="00EE5FCA"/>
    <w:rsid w:val="00EE6889"/>
    <w:rsid w:val="00EF1CB9"/>
    <w:rsid w:val="00EF310B"/>
    <w:rsid w:val="00EF3BCF"/>
    <w:rsid w:val="00EF524C"/>
    <w:rsid w:val="00EF5255"/>
    <w:rsid w:val="00EF55D4"/>
    <w:rsid w:val="00EF5D6A"/>
    <w:rsid w:val="00EF7641"/>
    <w:rsid w:val="00F001CD"/>
    <w:rsid w:val="00F00963"/>
    <w:rsid w:val="00F0225F"/>
    <w:rsid w:val="00F02D78"/>
    <w:rsid w:val="00F02F98"/>
    <w:rsid w:val="00F03390"/>
    <w:rsid w:val="00F06436"/>
    <w:rsid w:val="00F07316"/>
    <w:rsid w:val="00F07CD8"/>
    <w:rsid w:val="00F07ED0"/>
    <w:rsid w:val="00F10DC2"/>
    <w:rsid w:val="00F110CD"/>
    <w:rsid w:val="00F111BB"/>
    <w:rsid w:val="00F11863"/>
    <w:rsid w:val="00F11A29"/>
    <w:rsid w:val="00F13EDB"/>
    <w:rsid w:val="00F16AFC"/>
    <w:rsid w:val="00F2033E"/>
    <w:rsid w:val="00F20E0E"/>
    <w:rsid w:val="00F22352"/>
    <w:rsid w:val="00F22DC2"/>
    <w:rsid w:val="00F241F4"/>
    <w:rsid w:val="00F2442C"/>
    <w:rsid w:val="00F24515"/>
    <w:rsid w:val="00F278BA"/>
    <w:rsid w:val="00F3341C"/>
    <w:rsid w:val="00F34C4D"/>
    <w:rsid w:val="00F3765D"/>
    <w:rsid w:val="00F4128A"/>
    <w:rsid w:val="00F4150B"/>
    <w:rsid w:val="00F419EE"/>
    <w:rsid w:val="00F435CD"/>
    <w:rsid w:val="00F4469F"/>
    <w:rsid w:val="00F455DC"/>
    <w:rsid w:val="00F46339"/>
    <w:rsid w:val="00F528C8"/>
    <w:rsid w:val="00F533AE"/>
    <w:rsid w:val="00F56427"/>
    <w:rsid w:val="00F634A4"/>
    <w:rsid w:val="00F63F39"/>
    <w:rsid w:val="00F65CBF"/>
    <w:rsid w:val="00F714DB"/>
    <w:rsid w:val="00F71964"/>
    <w:rsid w:val="00F71B71"/>
    <w:rsid w:val="00F74076"/>
    <w:rsid w:val="00F75823"/>
    <w:rsid w:val="00F7785F"/>
    <w:rsid w:val="00F80196"/>
    <w:rsid w:val="00F8055A"/>
    <w:rsid w:val="00F80707"/>
    <w:rsid w:val="00F80DA2"/>
    <w:rsid w:val="00F8243B"/>
    <w:rsid w:val="00F84512"/>
    <w:rsid w:val="00F871C8"/>
    <w:rsid w:val="00F8762E"/>
    <w:rsid w:val="00F87743"/>
    <w:rsid w:val="00F90DA1"/>
    <w:rsid w:val="00F9116B"/>
    <w:rsid w:val="00F91BA1"/>
    <w:rsid w:val="00F9382E"/>
    <w:rsid w:val="00F94191"/>
    <w:rsid w:val="00F94B5B"/>
    <w:rsid w:val="00F96412"/>
    <w:rsid w:val="00F966F6"/>
    <w:rsid w:val="00FA07D4"/>
    <w:rsid w:val="00FA2209"/>
    <w:rsid w:val="00FA2704"/>
    <w:rsid w:val="00FA360E"/>
    <w:rsid w:val="00FA49EE"/>
    <w:rsid w:val="00FA7132"/>
    <w:rsid w:val="00FA7397"/>
    <w:rsid w:val="00FB0A17"/>
    <w:rsid w:val="00FB16B4"/>
    <w:rsid w:val="00FB2E54"/>
    <w:rsid w:val="00FB7F5C"/>
    <w:rsid w:val="00FC0A38"/>
    <w:rsid w:val="00FC154E"/>
    <w:rsid w:val="00FC15E9"/>
    <w:rsid w:val="00FC3D04"/>
    <w:rsid w:val="00FC51D6"/>
    <w:rsid w:val="00FC53C2"/>
    <w:rsid w:val="00FC5D67"/>
    <w:rsid w:val="00FC70BE"/>
    <w:rsid w:val="00FD1BCF"/>
    <w:rsid w:val="00FD262D"/>
    <w:rsid w:val="00FD650A"/>
    <w:rsid w:val="00FD65EC"/>
    <w:rsid w:val="00FE273D"/>
    <w:rsid w:val="00FE3EF4"/>
    <w:rsid w:val="00FE4D8E"/>
    <w:rsid w:val="00FE6121"/>
    <w:rsid w:val="00FE62C5"/>
    <w:rsid w:val="00FE74CC"/>
    <w:rsid w:val="00FF052F"/>
    <w:rsid w:val="00FF1034"/>
    <w:rsid w:val="00FF1332"/>
    <w:rsid w:val="00FF4980"/>
    <w:rsid w:val="00FF787C"/>
    <w:rsid w:val="01153106"/>
    <w:rsid w:val="01253CED"/>
    <w:rsid w:val="0180522C"/>
    <w:rsid w:val="0216225E"/>
    <w:rsid w:val="022039F8"/>
    <w:rsid w:val="0273B53A"/>
    <w:rsid w:val="02831E90"/>
    <w:rsid w:val="02AF82D3"/>
    <w:rsid w:val="030D788D"/>
    <w:rsid w:val="032CF9A5"/>
    <w:rsid w:val="03428049"/>
    <w:rsid w:val="03812B02"/>
    <w:rsid w:val="0385526F"/>
    <w:rsid w:val="039D834F"/>
    <w:rsid w:val="03A83558"/>
    <w:rsid w:val="03AE0148"/>
    <w:rsid w:val="03C942A6"/>
    <w:rsid w:val="03ED39F7"/>
    <w:rsid w:val="044E5D11"/>
    <w:rsid w:val="045BD2C2"/>
    <w:rsid w:val="04A25BB3"/>
    <w:rsid w:val="04BA00E1"/>
    <w:rsid w:val="04BCEB51"/>
    <w:rsid w:val="04D65C02"/>
    <w:rsid w:val="05C764FF"/>
    <w:rsid w:val="0650CE2C"/>
    <w:rsid w:val="0680C27D"/>
    <w:rsid w:val="06C1CA9B"/>
    <w:rsid w:val="06CCF113"/>
    <w:rsid w:val="073B06A0"/>
    <w:rsid w:val="073FE042"/>
    <w:rsid w:val="07D9FC75"/>
    <w:rsid w:val="07F48C13"/>
    <w:rsid w:val="087CDCE2"/>
    <w:rsid w:val="088393BF"/>
    <w:rsid w:val="08C4DAD5"/>
    <w:rsid w:val="08F984C8"/>
    <w:rsid w:val="0A03E384"/>
    <w:rsid w:val="0A1D42CC"/>
    <w:rsid w:val="0A8E3701"/>
    <w:rsid w:val="0A9D1E2D"/>
    <w:rsid w:val="0ABE8FAE"/>
    <w:rsid w:val="0B953BBE"/>
    <w:rsid w:val="0BA68CC0"/>
    <w:rsid w:val="0BEA3CD9"/>
    <w:rsid w:val="0C914F64"/>
    <w:rsid w:val="0CEACF38"/>
    <w:rsid w:val="0D310C1F"/>
    <w:rsid w:val="0D7C67FE"/>
    <w:rsid w:val="0DB4444B"/>
    <w:rsid w:val="0DC5D7C3"/>
    <w:rsid w:val="0E046672"/>
    <w:rsid w:val="0E5F3FDD"/>
    <w:rsid w:val="0E68CE96"/>
    <w:rsid w:val="0ECCDC80"/>
    <w:rsid w:val="0EDFAC04"/>
    <w:rsid w:val="0EFE919C"/>
    <w:rsid w:val="0F21F581"/>
    <w:rsid w:val="0FADF924"/>
    <w:rsid w:val="108B56F5"/>
    <w:rsid w:val="10E8D9CA"/>
    <w:rsid w:val="1131DC37"/>
    <w:rsid w:val="129EB56B"/>
    <w:rsid w:val="12A6D3E7"/>
    <w:rsid w:val="1380E27D"/>
    <w:rsid w:val="13F4FC35"/>
    <w:rsid w:val="146A37A8"/>
    <w:rsid w:val="15234644"/>
    <w:rsid w:val="155FF573"/>
    <w:rsid w:val="1655B71F"/>
    <w:rsid w:val="1688EB81"/>
    <w:rsid w:val="16991E94"/>
    <w:rsid w:val="16D92054"/>
    <w:rsid w:val="177F1998"/>
    <w:rsid w:val="181A986F"/>
    <w:rsid w:val="184CDF5F"/>
    <w:rsid w:val="185EA0D6"/>
    <w:rsid w:val="19E0A3FF"/>
    <w:rsid w:val="1A218BE3"/>
    <w:rsid w:val="1A357F97"/>
    <w:rsid w:val="1A3C2CD7"/>
    <w:rsid w:val="1B29428A"/>
    <w:rsid w:val="1B7C7460"/>
    <w:rsid w:val="1B8411CE"/>
    <w:rsid w:val="1BEE9BA2"/>
    <w:rsid w:val="1C8A9C46"/>
    <w:rsid w:val="1C9AC35A"/>
    <w:rsid w:val="1CC87D15"/>
    <w:rsid w:val="1D28227E"/>
    <w:rsid w:val="1D4DBA88"/>
    <w:rsid w:val="1DE5AFFC"/>
    <w:rsid w:val="1E193D79"/>
    <w:rsid w:val="1EB51AE3"/>
    <w:rsid w:val="1F66F0D8"/>
    <w:rsid w:val="1F7BB2E0"/>
    <w:rsid w:val="1FE9F74D"/>
    <w:rsid w:val="1FF513FC"/>
    <w:rsid w:val="204E7DFF"/>
    <w:rsid w:val="2079CAE1"/>
    <w:rsid w:val="208AE4D0"/>
    <w:rsid w:val="2097A4C4"/>
    <w:rsid w:val="21EE36E5"/>
    <w:rsid w:val="224751F5"/>
    <w:rsid w:val="22719D1B"/>
    <w:rsid w:val="2334546F"/>
    <w:rsid w:val="23496C27"/>
    <w:rsid w:val="236A4543"/>
    <w:rsid w:val="24F005FB"/>
    <w:rsid w:val="250586B1"/>
    <w:rsid w:val="2525D7A7"/>
    <w:rsid w:val="254074CC"/>
    <w:rsid w:val="2583E969"/>
    <w:rsid w:val="25B78635"/>
    <w:rsid w:val="263007B9"/>
    <w:rsid w:val="27424D4C"/>
    <w:rsid w:val="279FB398"/>
    <w:rsid w:val="2807AB4A"/>
    <w:rsid w:val="2862E4EE"/>
    <w:rsid w:val="289B848A"/>
    <w:rsid w:val="2A215280"/>
    <w:rsid w:val="2A3C6549"/>
    <w:rsid w:val="2A6386A3"/>
    <w:rsid w:val="2B1975E4"/>
    <w:rsid w:val="2BAB9C15"/>
    <w:rsid w:val="2BC96545"/>
    <w:rsid w:val="2C332947"/>
    <w:rsid w:val="2D09EB91"/>
    <w:rsid w:val="2D101B83"/>
    <w:rsid w:val="2D3BA5EE"/>
    <w:rsid w:val="2D6535A6"/>
    <w:rsid w:val="2DB9EFCB"/>
    <w:rsid w:val="2DCCE0A7"/>
    <w:rsid w:val="2EED3B83"/>
    <w:rsid w:val="2F010607"/>
    <w:rsid w:val="2F5E134D"/>
    <w:rsid w:val="2F79A69D"/>
    <w:rsid w:val="2FE47526"/>
    <w:rsid w:val="30144873"/>
    <w:rsid w:val="302ABAB9"/>
    <w:rsid w:val="30F605DE"/>
    <w:rsid w:val="3107FB2D"/>
    <w:rsid w:val="3113BB38"/>
    <w:rsid w:val="31BE6632"/>
    <w:rsid w:val="32514B79"/>
    <w:rsid w:val="32618F72"/>
    <w:rsid w:val="32791759"/>
    <w:rsid w:val="32CEE478"/>
    <w:rsid w:val="332C0515"/>
    <w:rsid w:val="334E9B86"/>
    <w:rsid w:val="338702B3"/>
    <w:rsid w:val="33A59795"/>
    <w:rsid w:val="34012BFB"/>
    <w:rsid w:val="3424B43D"/>
    <w:rsid w:val="3424F887"/>
    <w:rsid w:val="34593E7B"/>
    <w:rsid w:val="34A8A1F1"/>
    <w:rsid w:val="3575420E"/>
    <w:rsid w:val="358E8345"/>
    <w:rsid w:val="35ABD953"/>
    <w:rsid w:val="3708D9E3"/>
    <w:rsid w:val="37F80F17"/>
    <w:rsid w:val="381EDECE"/>
    <w:rsid w:val="382CA6FF"/>
    <w:rsid w:val="383CFDA5"/>
    <w:rsid w:val="384FFBB2"/>
    <w:rsid w:val="38BA3A96"/>
    <w:rsid w:val="38E0C4E6"/>
    <w:rsid w:val="39607D39"/>
    <w:rsid w:val="398B0FD7"/>
    <w:rsid w:val="39FB28BE"/>
    <w:rsid w:val="3A945453"/>
    <w:rsid w:val="3B15BE2E"/>
    <w:rsid w:val="3B423646"/>
    <w:rsid w:val="3BBA684B"/>
    <w:rsid w:val="3BDBB853"/>
    <w:rsid w:val="3C1D6854"/>
    <w:rsid w:val="3C300A6C"/>
    <w:rsid w:val="3CC2B4D0"/>
    <w:rsid w:val="3CD35795"/>
    <w:rsid w:val="3D275763"/>
    <w:rsid w:val="3DA604A5"/>
    <w:rsid w:val="3E30F111"/>
    <w:rsid w:val="3E55FF99"/>
    <w:rsid w:val="3E6F27F6"/>
    <w:rsid w:val="3EFBDE49"/>
    <w:rsid w:val="3F87A6A1"/>
    <w:rsid w:val="3FDC0D2F"/>
    <w:rsid w:val="3FEE429E"/>
    <w:rsid w:val="40276C7B"/>
    <w:rsid w:val="40538608"/>
    <w:rsid w:val="4061BF22"/>
    <w:rsid w:val="407C7A8C"/>
    <w:rsid w:val="41346A88"/>
    <w:rsid w:val="418DA05B"/>
    <w:rsid w:val="41E8722E"/>
    <w:rsid w:val="42F5190F"/>
    <w:rsid w:val="432970BC"/>
    <w:rsid w:val="43599202"/>
    <w:rsid w:val="43735906"/>
    <w:rsid w:val="437BD944"/>
    <w:rsid w:val="43CB39E3"/>
    <w:rsid w:val="44F67C90"/>
    <w:rsid w:val="4519EFAF"/>
    <w:rsid w:val="455EBA36"/>
    <w:rsid w:val="456ED3A9"/>
    <w:rsid w:val="45897CE7"/>
    <w:rsid w:val="45C4D5AC"/>
    <w:rsid w:val="45CCEEA5"/>
    <w:rsid w:val="45F29318"/>
    <w:rsid w:val="466C811E"/>
    <w:rsid w:val="473CE069"/>
    <w:rsid w:val="4743E925"/>
    <w:rsid w:val="474C33C8"/>
    <w:rsid w:val="47799029"/>
    <w:rsid w:val="477AAA99"/>
    <w:rsid w:val="478E0CF8"/>
    <w:rsid w:val="480790F1"/>
    <w:rsid w:val="4818AA4A"/>
    <w:rsid w:val="486BB8AC"/>
    <w:rsid w:val="48B0401A"/>
    <w:rsid w:val="48D5A684"/>
    <w:rsid w:val="49225BAF"/>
    <w:rsid w:val="49BEA2B0"/>
    <w:rsid w:val="49E20CDF"/>
    <w:rsid w:val="49F4842B"/>
    <w:rsid w:val="4A3FD328"/>
    <w:rsid w:val="4A8C04F9"/>
    <w:rsid w:val="4AB24B5B"/>
    <w:rsid w:val="4AFBEF1E"/>
    <w:rsid w:val="4B5A7311"/>
    <w:rsid w:val="4B6DC2CC"/>
    <w:rsid w:val="4C144C75"/>
    <w:rsid w:val="4C33529B"/>
    <w:rsid w:val="4C98427C"/>
    <w:rsid w:val="4CA3E8DB"/>
    <w:rsid w:val="4CA94BA3"/>
    <w:rsid w:val="4D055C3F"/>
    <w:rsid w:val="4D462114"/>
    <w:rsid w:val="4D66851E"/>
    <w:rsid w:val="4D6799A8"/>
    <w:rsid w:val="4DC3A5BB"/>
    <w:rsid w:val="4DEA0665"/>
    <w:rsid w:val="4DF00956"/>
    <w:rsid w:val="4E5E8485"/>
    <w:rsid w:val="4E80BEB4"/>
    <w:rsid w:val="4E89510B"/>
    <w:rsid w:val="4EAEFB3F"/>
    <w:rsid w:val="4F5F761C"/>
    <w:rsid w:val="4F73FC9A"/>
    <w:rsid w:val="4F85BC7E"/>
    <w:rsid w:val="4F9455FB"/>
    <w:rsid w:val="50EB13F2"/>
    <w:rsid w:val="5135BEE6"/>
    <w:rsid w:val="516B036F"/>
    <w:rsid w:val="517077CF"/>
    <w:rsid w:val="52E18501"/>
    <w:rsid w:val="534A4398"/>
    <w:rsid w:val="537D6838"/>
    <w:rsid w:val="545947E9"/>
    <w:rsid w:val="54639287"/>
    <w:rsid w:val="54DD7DE8"/>
    <w:rsid w:val="553C2E35"/>
    <w:rsid w:val="553C4AEB"/>
    <w:rsid w:val="558E3792"/>
    <w:rsid w:val="562DBA3F"/>
    <w:rsid w:val="56518140"/>
    <w:rsid w:val="57607067"/>
    <w:rsid w:val="5790CE63"/>
    <w:rsid w:val="57B6BD28"/>
    <w:rsid w:val="58D34EB8"/>
    <w:rsid w:val="58F84F51"/>
    <w:rsid w:val="590A19A6"/>
    <w:rsid w:val="59694386"/>
    <w:rsid w:val="59CEC11F"/>
    <w:rsid w:val="5A2061B7"/>
    <w:rsid w:val="5A941FB2"/>
    <w:rsid w:val="5B4F2BB4"/>
    <w:rsid w:val="5BA309BB"/>
    <w:rsid w:val="5BEE3875"/>
    <w:rsid w:val="5C7BBD2A"/>
    <w:rsid w:val="5CA752B7"/>
    <w:rsid w:val="5D244A7E"/>
    <w:rsid w:val="5E1CC055"/>
    <w:rsid w:val="5E8A2920"/>
    <w:rsid w:val="5E99F92D"/>
    <w:rsid w:val="5E9D99D5"/>
    <w:rsid w:val="5EA8D556"/>
    <w:rsid w:val="5F20E42C"/>
    <w:rsid w:val="5F2B50F6"/>
    <w:rsid w:val="5FA96BB0"/>
    <w:rsid w:val="603C92D8"/>
    <w:rsid w:val="608888C0"/>
    <w:rsid w:val="6172CE45"/>
    <w:rsid w:val="619E181B"/>
    <w:rsid w:val="61BE2167"/>
    <w:rsid w:val="621226E8"/>
    <w:rsid w:val="621DCD80"/>
    <w:rsid w:val="62221D3F"/>
    <w:rsid w:val="62624D70"/>
    <w:rsid w:val="629F3197"/>
    <w:rsid w:val="62A112FA"/>
    <w:rsid w:val="637215EE"/>
    <w:rsid w:val="63F4646C"/>
    <w:rsid w:val="641DD16D"/>
    <w:rsid w:val="6429B931"/>
    <w:rsid w:val="6438406C"/>
    <w:rsid w:val="6456290E"/>
    <w:rsid w:val="64917148"/>
    <w:rsid w:val="65031154"/>
    <w:rsid w:val="65232F0C"/>
    <w:rsid w:val="654B464C"/>
    <w:rsid w:val="65654020"/>
    <w:rsid w:val="65D410CD"/>
    <w:rsid w:val="65ECC8F0"/>
    <w:rsid w:val="66C0310D"/>
    <w:rsid w:val="66E5BC62"/>
    <w:rsid w:val="67161987"/>
    <w:rsid w:val="68014DD4"/>
    <w:rsid w:val="6840667C"/>
    <w:rsid w:val="686C9D2E"/>
    <w:rsid w:val="6874D610"/>
    <w:rsid w:val="68C95D84"/>
    <w:rsid w:val="6956561C"/>
    <w:rsid w:val="696CDB8D"/>
    <w:rsid w:val="6A36C8AF"/>
    <w:rsid w:val="6AA0A36D"/>
    <w:rsid w:val="6ABAE41C"/>
    <w:rsid w:val="6AC1CDAA"/>
    <w:rsid w:val="6BB92D85"/>
    <w:rsid w:val="6C47073C"/>
    <w:rsid w:val="6C4E0163"/>
    <w:rsid w:val="6C571349"/>
    <w:rsid w:val="6C5D9E0B"/>
    <w:rsid w:val="6C6D71F7"/>
    <w:rsid w:val="6C6EBC6A"/>
    <w:rsid w:val="6CE1781B"/>
    <w:rsid w:val="6CEDFC89"/>
    <w:rsid w:val="6CEE3776"/>
    <w:rsid w:val="6D2FF332"/>
    <w:rsid w:val="6D3394B2"/>
    <w:rsid w:val="6D9E03E0"/>
    <w:rsid w:val="6DDF22B2"/>
    <w:rsid w:val="6DF96E6C"/>
    <w:rsid w:val="6E3FFB0D"/>
    <w:rsid w:val="6EA92F19"/>
    <w:rsid w:val="6F4A428E"/>
    <w:rsid w:val="6F6C9B95"/>
    <w:rsid w:val="6F867AE0"/>
    <w:rsid w:val="6F953ECD"/>
    <w:rsid w:val="7035EE2F"/>
    <w:rsid w:val="703675D4"/>
    <w:rsid w:val="70A008AB"/>
    <w:rsid w:val="713986EE"/>
    <w:rsid w:val="7168EC5B"/>
    <w:rsid w:val="71E51163"/>
    <w:rsid w:val="7278BD34"/>
    <w:rsid w:val="72BD42E7"/>
    <w:rsid w:val="72C52E56"/>
    <w:rsid w:val="72D88445"/>
    <w:rsid w:val="72FF855D"/>
    <w:rsid w:val="7315F8F4"/>
    <w:rsid w:val="738576ED"/>
    <w:rsid w:val="738EFFF2"/>
    <w:rsid w:val="740DFE71"/>
    <w:rsid w:val="741F790E"/>
    <w:rsid w:val="744E6436"/>
    <w:rsid w:val="74B4F894"/>
    <w:rsid w:val="7552F349"/>
    <w:rsid w:val="75EF72E9"/>
    <w:rsid w:val="762382E4"/>
    <w:rsid w:val="765060B3"/>
    <w:rsid w:val="7657C4E8"/>
    <w:rsid w:val="76656BF1"/>
    <w:rsid w:val="76688E73"/>
    <w:rsid w:val="7673A50B"/>
    <w:rsid w:val="76E67D22"/>
    <w:rsid w:val="77D67AC2"/>
    <w:rsid w:val="77ED3604"/>
    <w:rsid w:val="788675B6"/>
    <w:rsid w:val="78D9B881"/>
    <w:rsid w:val="78F91285"/>
    <w:rsid w:val="7987C1CD"/>
    <w:rsid w:val="79BE81D3"/>
    <w:rsid w:val="79C5AA91"/>
    <w:rsid w:val="7AA0B62D"/>
    <w:rsid w:val="7AC854CC"/>
    <w:rsid w:val="7AD74B13"/>
    <w:rsid w:val="7AD8308F"/>
    <w:rsid w:val="7AED2065"/>
    <w:rsid w:val="7B40B4F2"/>
    <w:rsid w:val="7B906428"/>
    <w:rsid w:val="7C116296"/>
    <w:rsid w:val="7CD66A19"/>
    <w:rsid w:val="7D2ACA72"/>
    <w:rsid w:val="7D2C3489"/>
    <w:rsid w:val="7D42B13A"/>
    <w:rsid w:val="7D85CEF0"/>
    <w:rsid w:val="7DFFF58E"/>
    <w:rsid w:val="7E06CC5D"/>
    <w:rsid w:val="7E1B86FD"/>
    <w:rsid w:val="7E7AF98B"/>
    <w:rsid w:val="7EC804EA"/>
    <w:rsid w:val="7F2B2264"/>
    <w:rsid w:val="7F8DCD41"/>
    <w:rsid w:val="7F9BC5EF"/>
    <w:rsid w:val="7FBD05FC"/>
    <w:rsid w:val="7FBD7F9C"/>
    <w:rsid w:val="7FC975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15F75CA8-0776-45C1-87E8-64B91C2D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B35570"/>
    <w:pPr>
      <w:numPr>
        <w:numId w:val="38"/>
      </w:num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FB0A17"/>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Mention">
    <w:name w:val="Mention"/>
    <w:basedOn w:val="DefaultParagraphFont"/>
    <w:uiPriority w:val="99"/>
    <w:unhideWhenUsed/>
    <w:rsid w:val="00326771"/>
    <w:rPr>
      <w:color w:val="2B579A"/>
      <w:shd w:val="clear" w:color="auto" w:fill="E6E6E6"/>
    </w:rPr>
  </w:style>
  <w:style w:type="character" w:customStyle="1" w:styleId="cf01">
    <w:name w:val="cf01"/>
    <w:basedOn w:val="DefaultParagraphFont"/>
    <w:rsid w:val="00903C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49659326">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opa.europa.eu/Pages/Links/Legal-notice.aspx" TargetMode="External"/><Relationship Id="rId18" Type="http://schemas.openxmlformats.org/officeDocument/2006/relationships/hyperlink" Target="https://www.fairr.org/engagements/working-condition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ciencebasedtargetsnetwork.org/wp-content/uploads/2022/02/Sectoral-Materiality-Tool_UNEP-WCMC_January-2022.xlsx" TargetMode="Externa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hyperlink" Target="https://www.ilo.org/wcmsp5/groups/public/---ed_dialogue/---sector/documents/normativeinstrument/wcms_873895.pdf" TargetMode="External"/><Relationship Id="rId25" Type="http://schemas.openxmlformats.org/officeDocument/2006/relationships/hyperlink" Target="https://www.ifrs.org/content/dam/ifrs/publications/pdf-standards-issb/english/2023/issued/part-a/issb-2023-a-ifrs-s2-climate-related-disclosures.pdf?bypass=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bank.org/en/research/dime/brief/agriculture" TargetMode="External"/><Relationship Id="rId20" Type="http://schemas.openxmlformats.org/officeDocument/2006/relationships/hyperlink" Target="https://www.ilo.org/wcmsp5/groups/public/---ed_dialogue/---sector/documents/normativeinstrument/wcms_87389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24" Type="http://schemas.openxmlformats.org/officeDocument/2006/relationships/hyperlink" Target="https://2degrees-investing.org/resource/pact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irr.org/resources/reports/working-conditions-phase-2-update-report" TargetMode="External"/><Relationship Id="rId23" Type="http://schemas.openxmlformats.org/officeDocument/2006/relationships/hyperlink" Target="https://www.ebrd.com/paris-agreement-methodology.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orldbank.org/en/research/dime/brief/agricultur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hyperlink" Target="https://carbonaccountingfinancials.com/files/downloads/PCAF-Global-GHG-Standard.pdf"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43a6ed-3ec8-4889-9add-24ae3074e41e" xsi:nil="true"/>
    <CristianStoian xmlns="85ecf9ee-2751-4663-980d-8207ef657bc2" xsi:nil="true"/>
    <lcf76f155ced4ddcb4097134ff3c332f xmlns="27057789-f22c-4899-b935-d76e05e00086" xsi:nil="true"/>
    <lcf76f155ced4ddcb4097134ff3c332f xmlns="85ecf9ee-2751-4663-980d-8207ef657b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6936F6D3B5BB4598A2AFD4EC704275" ma:contentTypeVersion="5" ma:contentTypeDescription="Create a new document." ma:contentTypeScope="" ma:versionID="36a9ea31a3784cb12fa05752e7f3e095">
  <xsd:schema xmlns:xsd="http://www.w3.org/2001/XMLSchema" xmlns:xs="http://www.w3.org/2001/XMLSchema" xmlns:p="http://schemas.microsoft.com/office/2006/metadata/properties" xmlns:ns2="85ecf9ee-2751-4663-980d-8207ef657bc2" xmlns:ns3="2843a6ed-3ec8-4889-9add-24ae3074e41e" xmlns:ns4="27057789-f22c-4899-b935-d76e05e00086" targetNamespace="http://schemas.microsoft.com/office/2006/metadata/properties" ma:root="true" ma:fieldsID="5b1590e2e331bbeb0c1152c22add4ace" ns2:_="" ns3:_="" ns4:_="">
    <xsd:import namespace="85ecf9ee-2751-4663-980d-8207ef657bc2"/>
    <xsd:import namespace="2843a6ed-3ec8-4889-9add-24ae3074e41e"/>
    <xsd:import namespace="27057789-f22c-4899-b935-d76e05e00086"/>
    <xsd:element name="properties">
      <xsd:complexType>
        <xsd:sequence>
          <xsd:element name="documentManagement">
            <xsd:complexType>
              <xsd:all>
                <xsd:element ref="ns2:lcf76f155ced4ddcb4097134ff3c332f" minOccurs="0"/>
                <xsd:element ref="ns3:TaxCatchAll" minOccurs="0"/>
                <xsd:element ref="ns4:lcf76f155ced4ddcb4097134ff3c332f" minOccurs="0"/>
                <xsd:element ref="ns2:CristianSto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cf9ee-2751-4663-980d-8207ef657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0" ma:taxonomyFieldName="MediaServiceImageTags" ma:displayName="Image Tags" ma:readOnly="false" ma:fieldId="{5cf76f15-5ced-4ddc-b409-7134ff3c332f}" ma:taxonomyMulti="true" ma:sspId="dff0ad9e-0f9f-434a-97b2-2bbbdf48b248" ma:termSetId="09814cd3-568e-fe90-9814-8d621ff8fb84" ma:anchorId="fba54fb3-c3e1-fe81-a776-ca4b69148c4d" ma:open="true" ma:isKeyword="false">
      <xsd:complexType>
        <xsd:sequence>
          <xsd:element ref="pc:Terms" minOccurs="0" maxOccurs="1"/>
        </xsd:sequence>
      </xsd:complexType>
    </xsd:element>
    <xsd:element name="CristianStoian" ma:index="12" nillable="true" ma:displayName="Cristian Stoian" ma:description="Canadian Pork Excellence PigCARE" ma:format="Dropdown" ma:internalName="CristianStoia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3a6ed-3ec8-4889-9add-24ae3074e41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7ddcc0-2847-46b8-9891-f07271ca3992}" ma:internalName="TaxCatchAll" ma:showField="CatchAllData" ma:web="2843a6ed-3ec8-4889-9add-24ae3074e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57789-f22c-4899-b935-d76e05e00086"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2843a6ed-3ec8-4889-9add-24ae3074e41e"/>
    <ds:schemaRef ds:uri="85ecf9ee-2751-4663-980d-8207ef657bc2"/>
    <ds:schemaRef ds:uri="27057789-f22c-4899-b935-d76e05e00086"/>
  </ds:schemaRefs>
</ds:datastoreItem>
</file>

<file path=customXml/itemProps2.xml><?xml version="1.0" encoding="utf-8"?>
<ds:datastoreItem xmlns:ds="http://schemas.openxmlformats.org/officeDocument/2006/customXml" ds:itemID="{9313C57F-28C3-4727-A0B3-F49FC3134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cf9ee-2751-4663-980d-8207ef657bc2"/>
    <ds:schemaRef ds:uri="2843a6ed-3ec8-4889-9add-24ae3074e41e"/>
    <ds:schemaRef ds:uri="27057789-f22c-4899-b935-d76e05e00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19</Pages>
  <Words>5087</Words>
  <Characters>29001</Characters>
  <Application>Microsoft Office Word</Application>
  <DocSecurity>0</DocSecurity>
  <Lines>241</Lines>
  <Paragraphs>68</Paragraphs>
  <ScaleCrop>false</ScaleCrop>
  <Company>HP</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Keenya Hofmaier</cp:lastModifiedBy>
  <cp:revision>247</cp:revision>
  <cp:lastPrinted>2022-02-14T21:26:00Z</cp:lastPrinted>
  <dcterms:created xsi:type="dcterms:W3CDTF">2023-04-06T23:24:00Z</dcterms:created>
  <dcterms:modified xsi:type="dcterms:W3CDTF">2023-07-17T10:59:00Z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0x010100206936F6D3B5BB4598A2AFD4EC704275</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ediaServiceImageTags">
    <vt:lpwstr/>
  </property>
  <property fmtid="{D5CDD505-2E9C-101B-9397-08002B2CF9AE}" pid="33" name="GrammarlyDocumentId">
    <vt:lpwstr>9e5c65b1a3b38d7c04e4c62906b9ab4f17c2d5bc61f37880bccbecafbd0d4deb</vt:lpwstr>
  </property>
</Properties>
</file>