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4D0CFDD2" w:rsidR="005418F4" w:rsidRPr="005418F4" w:rsidRDefault="003E401F" w:rsidP="005418F4">
                <w:pPr>
                  <w:spacing w:after="250"/>
                  <w:rPr>
                    <w:rFonts w:ascii="Arial" w:eastAsiaTheme="minorEastAsia" w:hAnsi="Arial" w:cs="Arial"/>
                    <w:color w:val="808080"/>
                    <w:szCs w:val="20"/>
                  </w:rPr>
                </w:pPr>
                <w:r>
                  <w:rPr>
                    <w:rFonts w:ascii="Arial" w:eastAsiaTheme="minorEastAsia" w:hAnsi="Arial" w:cs="Arial"/>
                    <w:color w:val="808080"/>
                    <w:szCs w:val="20"/>
                  </w:rPr>
                  <w:t>Longevity Partners</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BDC9C51"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E401F">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5AC4639F" w:rsidR="005418F4" w:rsidRPr="005418F4" w:rsidRDefault="003E401F"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UK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w:t>
      </w:r>
      <w:r>
        <w:lastRenderedPageBreak/>
        <w:t>applicable to the DNSH of the climate change mitigation objective under the climate change adaptation objective?</w:t>
      </w:r>
    </w:p>
    <w:bookmarkEnd w:id="6"/>
    <w:p w14:paraId="7DF73432" w14:textId="77777777" w:rsidR="009C41BB" w:rsidRDefault="009C41BB" w:rsidP="009C41BB">
      <w:r>
        <w:t>&lt;ESMA_QUESTION_SFDR_7&gt;</w:t>
      </w:r>
    </w:p>
    <w:p w14:paraId="195A60D1"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permStart w:id="1335120249" w:edGrp="everyone"/>
      <w:r>
        <w:rPr>
          <w:rStyle w:val="normaltextrun"/>
          <w:rFonts w:ascii="Calibri" w:hAnsi="Calibri" w:cs="Calibri"/>
          <w:sz w:val="22"/>
          <w:szCs w:val="22"/>
        </w:rPr>
        <w:t>The consultation asks whether the PAI definition of “inefficient real estate assets built before 31 December 2020” should be expanded to align with the EU Taxonomy Criteria designed for climate change mitigation by meeting both of the following requirements:</w:t>
      </w:r>
      <w:r>
        <w:rPr>
          <w:rStyle w:val="eop"/>
          <w:rFonts w:ascii="Calibri" w:hAnsi="Calibri" w:cs="Calibri"/>
          <w:sz w:val="22"/>
          <w:szCs w:val="22"/>
        </w:rPr>
        <w:t> </w:t>
      </w:r>
    </w:p>
    <w:p w14:paraId="3B40E88D" w14:textId="77777777" w:rsidR="008E1982" w:rsidRDefault="008E1982" w:rsidP="008E1982">
      <w:pPr>
        <w:pStyle w:val="paragraph"/>
        <w:spacing w:before="0" w:beforeAutospacing="0" w:after="0" w:afterAutospacing="0"/>
        <w:textAlignment w:val="baseline"/>
        <w:rPr>
          <w:rFonts w:ascii="Segoe UI" w:hAnsi="Segoe UI" w:cs="Segoe UI"/>
          <w:sz w:val="18"/>
          <w:szCs w:val="18"/>
        </w:rPr>
      </w:pPr>
    </w:p>
    <w:p w14:paraId="44262CA8" w14:textId="77777777" w:rsidR="008E1982" w:rsidRDefault="008E1982" w:rsidP="008E19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a building has an Energy Performance Certificate (EPC) below C; and also</w:t>
      </w:r>
      <w:r>
        <w:rPr>
          <w:rStyle w:val="eop"/>
          <w:rFonts w:ascii="Calibri" w:hAnsi="Calibri" w:cs="Calibri"/>
          <w:sz w:val="22"/>
          <w:szCs w:val="22"/>
        </w:rPr>
        <w:t> </w:t>
      </w:r>
    </w:p>
    <w:p w14:paraId="078C1528"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 is not within the top 30% of the national or regional building stock expressed as operational primary energy demand.</w:t>
      </w:r>
      <w:r>
        <w:rPr>
          <w:rStyle w:val="eop"/>
          <w:rFonts w:ascii="Calibri" w:hAnsi="Calibri" w:cs="Calibri"/>
          <w:sz w:val="22"/>
          <w:szCs w:val="22"/>
        </w:rPr>
        <w:t> </w:t>
      </w:r>
    </w:p>
    <w:p w14:paraId="24145721"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p>
    <w:p w14:paraId="3B5F5E49"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We see merit in adjusting the definition as proposed.</w:t>
      </w:r>
    </w:p>
    <w:p w14:paraId="54B0F36E"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p>
    <w:p w14:paraId="2377A5CB"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Firstly, EPC methodologies and ratings are not harmonised across the EU, nor do comparable standards uniformly exist outside of the EU jurisdiction. This means that it is difficult to aggregate the level of inefficiency across a fund where the assets are located in different member states, or outside the EU.</w:t>
      </w:r>
    </w:p>
    <w:p w14:paraId="402026A0"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p>
    <w:p w14:paraId="2C76A5B6"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r w:rsidRPr="562A2F79">
        <w:rPr>
          <w:rStyle w:val="eop"/>
          <w:rFonts w:ascii="Calibri" w:hAnsi="Calibri" w:cs="Calibri"/>
          <w:sz w:val="22"/>
          <w:szCs w:val="22"/>
        </w:rPr>
        <w:t>Secondly, EPCs are a measure of a theoretical level of energy efficiency</w:t>
      </w:r>
      <w:r w:rsidRPr="42F4AD42">
        <w:rPr>
          <w:rStyle w:val="eop"/>
          <w:rFonts w:ascii="Calibri" w:hAnsi="Calibri" w:cs="Calibri"/>
          <w:sz w:val="22"/>
          <w:szCs w:val="22"/>
        </w:rPr>
        <w:t>.</w:t>
      </w:r>
      <w:r w:rsidRPr="7A5F100A">
        <w:rPr>
          <w:rStyle w:val="eop"/>
          <w:rFonts w:ascii="Calibri" w:hAnsi="Calibri" w:cs="Calibri"/>
          <w:sz w:val="22"/>
          <w:szCs w:val="22"/>
        </w:rPr>
        <w:t xml:space="preserve"> </w:t>
      </w:r>
      <w:r w:rsidRPr="0AC899A6">
        <w:rPr>
          <w:rStyle w:val="eop"/>
          <w:rFonts w:ascii="Calibri" w:hAnsi="Calibri" w:cs="Calibri"/>
          <w:sz w:val="22"/>
          <w:szCs w:val="22"/>
        </w:rPr>
        <w:t>B</w:t>
      </w:r>
      <w:r w:rsidRPr="7A5F100A">
        <w:rPr>
          <w:rStyle w:val="eop"/>
          <w:rFonts w:ascii="Calibri" w:hAnsi="Calibri" w:cs="Calibri"/>
          <w:sz w:val="22"/>
          <w:szCs w:val="22"/>
        </w:rPr>
        <w:t>ased</w:t>
      </w:r>
      <w:r w:rsidRPr="562A2F79">
        <w:rPr>
          <w:rStyle w:val="eop"/>
          <w:rFonts w:ascii="Calibri" w:hAnsi="Calibri" w:cs="Calibri"/>
          <w:sz w:val="22"/>
          <w:szCs w:val="22"/>
        </w:rPr>
        <w:t xml:space="preserve"> on the building </w:t>
      </w:r>
      <w:proofErr w:type="gramStart"/>
      <w:r w:rsidRPr="562A2F79">
        <w:rPr>
          <w:rStyle w:val="eop"/>
          <w:rFonts w:ascii="Calibri" w:hAnsi="Calibri" w:cs="Calibri"/>
          <w:sz w:val="22"/>
          <w:szCs w:val="22"/>
        </w:rPr>
        <w:t>type</w:t>
      </w:r>
      <w:r w:rsidRPr="7C433CDF">
        <w:rPr>
          <w:rStyle w:val="eop"/>
          <w:rFonts w:ascii="Calibri" w:hAnsi="Calibri" w:cs="Calibri"/>
          <w:sz w:val="22"/>
          <w:szCs w:val="22"/>
        </w:rPr>
        <w:t>,</w:t>
      </w:r>
      <w:r w:rsidRPr="562A2F79">
        <w:rPr>
          <w:rStyle w:val="eop"/>
          <w:rFonts w:ascii="Calibri" w:hAnsi="Calibri" w:cs="Calibri"/>
          <w:sz w:val="22"/>
          <w:szCs w:val="22"/>
        </w:rPr>
        <w:t xml:space="preserve"> </w:t>
      </w:r>
      <w:r w:rsidRPr="7A5F100A">
        <w:rPr>
          <w:rStyle w:val="eop"/>
          <w:rFonts w:ascii="Calibri" w:hAnsi="Calibri" w:cs="Calibri"/>
          <w:sz w:val="22"/>
          <w:szCs w:val="22"/>
        </w:rPr>
        <w:t xml:space="preserve"> </w:t>
      </w:r>
      <w:r w:rsidRPr="562A2F79">
        <w:rPr>
          <w:rStyle w:val="eop"/>
          <w:rFonts w:ascii="Calibri" w:hAnsi="Calibri" w:cs="Calibri"/>
          <w:sz w:val="22"/>
          <w:szCs w:val="22"/>
        </w:rPr>
        <w:t>they</w:t>
      </w:r>
      <w:proofErr w:type="gramEnd"/>
      <w:r w:rsidRPr="562A2F79">
        <w:rPr>
          <w:rStyle w:val="eop"/>
          <w:rFonts w:ascii="Calibri" w:hAnsi="Calibri" w:cs="Calibri"/>
          <w:sz w:val="22"/>
          <w:szCs w:val="22"/>
        </w:rPr>
        <w:t xml:space="preserve"> measure the specification of the building as opposed to the operation of the building. A more </w:t>
      </w:r>
      <w:r>
        <w:rPr>
          <w:rStyle w:val="eop"/>
          <w:rFonts w:ascii="Calibri" w:hAnsi="Calibri" w:cs="Calibri"/>
          <w:sz w:val="22"/>
          <w:szCs w:val="22"/>
        </w:rPr>
        <w:t>useful</w:t>
      </w:r>
      <w:commentRangeStart w:id="7"/>
      <w:r w:rsidRPr="562A2F79">
        <w:rPr>
          <w:rStyle w:val="eop"/>
          <w:rFonts w:ascii="Calibri" w:hAnsi="Calibri" w:cs="Calibri"/>
          <w:sz w:val="22"/>
          <w:szCs w:val="22"/>
        </w:rPr>
        <w:t xml:space="preserve"> </w:t>
      </w:r>
      <w:commentRangeEnd w:id="7"/>
      <w:r>
        <w:rPr>
          <w:rStyle w:val="CommentReference"/>
        </w:rPr>
        <w:commentReference w:id="7"/>
      </w:r>
      <w:r w:rsidRPr="562A2F79">
        <w:rPr>
          <w:rStyle w:val="eop"/>
          <w:rFonts w:ascii="Calibri" w:hAnsi="Calibri" w:cs="Calibri"/>
          <w:sz w:val="22"/>
          <w:szCs w:val="22"/>
        </w:rPr>
        <w:t>way to rate energy efficiency would be to measure the in-use operational emissions – this would be captured by the operational PED figure which would be adopted from the EU Taxonomy criteria.</w:t>
      </w:r>
    </w:p>
    <w:p w14:paraId="5EC00BEF"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p>
    <w:p w14:paraId="0896C158"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r w:rsidRPr="562A2F79">
        <w:rPr>
          <w:rStyle w:val="eop"/>
          <w:rFonts w:ascii="Calibri" w:hAnsi="Calibri" w:cs="Calibri"/>
          <w:sz w:val="22"/>
          <w:szCs w:val="22"/>
        </w:rPr>
        <w:t>As such, we are broadly in favour of expanding the definition to encapsulate operational emissions for their enhanced interoperability, and because they are a more accurate measure of energy efficiency than EPCs.</w:t>
      </w:r>
    </w:p>
    <w:p w14:paraId="1A840791"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p>
    <w:p w14:paraId="5622FACD"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Outside of the specific question being asked in this section, we believe that this PAI indicator needs a more fundamental redesign to </w:t>
      </w:r>
      <w:proofErr w:type="gramStart"/>
      <w:r>
        <w:rPr>
          <w:rStyle w:val="eop"/>
          <w:rFonts w:ascii="Calibri" w:hAnsi="Calibri" w:cs="Calibri"/>
          <w:sz w:val="22"/>
          <w:szCs w:val="22"/>
        </w:rPr>
        <w:t>more closely reflect the nature of real estate ownership</w:t>
      </w:r>
      <w:proofErr w:type="gramEnd"/>
      <w:r>
        <w:rPr>
          <w:rStyle w:val="eop"/>
          <w:rFonts w:ascii="Calibri" w:hAnsi="Calibri" w:cs="Calibri"/>
          <w:sz w:val="22"/>
          <w:szCs w:val="22"/>
        </w:rPr>
        <w:t xml:space="preserve">. </w:t>
      </w:r>
    </w:p>
    <w:p w14:paraId="16FC5BFF" w14:textId="77777777" w:rsidR="008E1982" w:rsidRDefault="008E1982" w:rsidP="008E1982">
      <w:pPr>
        <w:pStyle w:val="paragraph"/>
        <w:spacing w:before="0" w:beforeAutospacing="0" w:after="0" w:afterAutospacing="0"/>
        <w:textAlignment w:val="baseline"/>
        <w:rPr>
          <w:rStyle w:val="eop"/>
          <w:rFonts w:ascii="Calibri" w:hAnsi="Calibri" w:cs="Calibri"/>
          <w:sz w:val="22"/>
          <w:szCs w:val="22"/>
        </w:rPr>
      </w:pPr>
    </w:p>
    <w:p w14:paraId="6A621116" w14:textId="77777777" w:rsidR="008E1982" w:rsidRPr="003B6F68" w:rsidRDefault="008E1982" w:rsidP="008E198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At present, the binary approach to ‘efficient’ and ‘inefficient’ encourages the disposal of buildings at a time when conscientious stewardship is required to renovate our global building stock at the pace and depth required to ensure we stay with the global warming limits set by the Paris Agreement. </w:t>
      </w:r>
      <w:commentRangeStart w:id="8"/>
      <w:r w:rsidRPr="4BB2A716">
        <w:rPr>
          <w:rStyle w:val="eop"/>
          <w:rFonts w:ascii="Calibri" w:hAnsi="Calibri" w:cs="Calibri"/>
          <w:sz w:val="22"/>
          <w:szCs w:val="22"/>
        </w:rPr>
        <w:t>One</w:t>
      </w:r>
      <w:commentRangeEnd w:id="8"/>
      <w:r>
        <w:rPr>
          <w:rStyle w:val="CommentReference"/>
        </w:rPr>
        <w:commentReference w:id="8"/>
      </w:r>
      <w:r w:rsidRPr="4BB2A716">
        <w:rPr>
          <w:rStyle w:val="eop"/>
          <w:rFonts w:ascii="Calibri" w:hAnsi="Calibri" w:cs="Calibri"/>
          <w:sz w:val="22"/>
          <w:szCs w:val="22"/>
        </w:rPr>
        <w:t xml:space="preserve"> option to </w:t>
      </w:r>
      <w:r w:rsidRPr="003B6F68">
        <w:rPr>
          <w:rStyle w:val="eop"/>
          <w:rFonts w:ascii="Calibri" w:hAnsi="Calibri" w:cs="Calibri"/>
          <w:sz w:val="22"/>
          <w:szCs w:val="22"/>
        </w:rPr>
        <w:t xml:space="preserve">remediate this </w:t>
      </w:r>
      <w:proofErr w:type="gramStart"/>
      <w:r w:rsidRPr="003B6F68">
        <w:rPr>
          <w:rStyle w:val="eop"/>
          <w:rFonts w:ascii="Calibri" w:hAnsi="Calibri" w:cs="Calibri"/>
          <w:sz w:val="22"/>
          <w:szCs w:val="22"/>
        </w:rPr>
        <w:t>issue  that</w:t>
      </w:r>
      <w:proofErr w:type="gramEnd"/>
      <w:r w:rsidRPr="003B6F68">
        <w:rPr>
          <w:rStyle w:val="eop"/>
          <w:rFonts w:ascii="Calibri" w:hAnsi="Calibri" w:cs="Calibri"/>
          <w:sz w:val="22"/>
          <w:szCs w:val="22"/>
        </w:rPr>
        <w:t xml:space="preserve"> has been discussed within the industry</w:t>
      </w:r>
      <w:r>
        <w:rPr>
          <w:rStyle w:val="eop"/>
          <w:rFonts w:ascii="Calibri" w:hAnsi="Calibri" w:cs="Calibri"/>
          <w:sz w:val="22"/>
          <w:szCs w:val="22"/>
        </w:rPr>
        <w:t>,</w:t>
      </w:r>
      <w:r w:rsidRPr="003B6F68">
        <w:rPr>
          <w:rStyle w:val="eop"/>
          <w:rFonts w:ascii="Calibri" w:hAnsi="Calibri" w:cs="Calibri"/>
          <w:sz w:val="22"/>
          <w:szCs w:val="22"/>
        </w:rPr>
        <w:t xml:space="preserve"> and that we support</w:t>
      </w:r>
      <w:r>
        <w:rPr>
          <w:rStyle w:val="eop"/>
          <w:rFonts w:ascii="Calibri" w:hAnsi="Calibri" w:cs="Calibri"/>
          <w:sz w:val="22"/>
          <w:szCs w:val="22"/>
        </w:rPr>
        <w:t>,</w:t>
      </w:r>
      <w:r w:rsidRPr="003B6F68">
        <w:rPr>
          <w:rStyle w:val="eop"/>
          <w:rFonts w:ascii="Calibri" w:hAnsi="Calibri" w:cs="Calibri"/>
          <w:sz w:val="22"/>
          <w:szCs w:val="22"/>
        </w:rPr>
        <w:t xml:space="preserve"> is to define</w:t>
      </w:r>
      <w:r>
        <w:rPr>
          <w:rStyle w:val="eop"/>
          <w:rFonts w:ascii="Calibri" w:hAnsi="Calibri" w:cs="Calibri"/>
          <w:sz w:val="22"/>
          <w:szCs w:val="22"/>
        </w:rPr>
        <w:t xml:space="preserve"> an</w:t>
      </w:r>
      <w:r w:rsidRPr="003B6F68">
        <w:rPr>
          <w:rStyle w:val="eop"/>
          <w:rFonts w:ascii="Calibri" w:hAnsi="Calibri" w:cs="Calibri"/>
          <w:sz w:val="22"/>
          <w:szCs w:val="22"/>
        </w:rPr>
        <w:t xml:space="preserve"> </w:t>
      </w:r>
      <w:r>
        <w:rPr>
          <w:rStyle w:val="eop"/>
          <w:rFonts w:ascii="Calibri" w:hAnsi="Calibri" w:cs="Calibri"/>
          <w:sz w:val="22"/>
          <w:szCs w:val="22"/>
        </w:rPr>
        <w:t>‘</w:t>
      </w:r>
      <w:r w:rsidRPr="003B6F68">
        <w:rPr>
          <w:rStyle w:val="eop"/>
          <w:rFonts w:ascii="Calibri" w:hAnsi="Calibri" w:cs="Calibri"/>
          <w:sz w:val="22"/>
          <w:szCs w:val="22"/>
        </w:rPr>
        <w:t xml:space="preserve">energy inefficient’ real estate asset based on a suitable CRREM pathway stranding year. </w:t>
      </w:r>
    </w:p>
    <w:p w14:paraId="4F3675D2" w14:textId="77777777" w:rsidR="008E1982" w:rsidRPr="003B6F68" w:rsidRDefault="008E1982" w:rsidP="008E1982">
      <w:pPr>
        <w:pStyle w:val="paragraph"/>
        <w:spacing w:before="0" w:beforeAutospacing="0" w:after="0" w:afterAutospacing="0"/>
        <w:textAlignment w:val="baseline"/>
        <w:rPr>
          <w:rStyle w:val="eop"/>
          <w:rFonts w:ascii="Calibri" w:hAnsi="Calibri" w:cs="Calibri"/>
          <w:sz w:val="22"/>
          <w:szCs w:val="22"/>
        </w:rPr>
      </w:pPr>
    </w:p>
    <w:p w14:paraId="7752EAA7" w14:textId="77777777" w:rsidR="008E1982" w:rsidRPr="003B6F68" w:rsidRDefault="008E1982" w:rsidP="008E1982">
      <w:pPr>
        <w:pStyle w:val="paragraph"/>
        <w:spacing w:before="0" w:beforeAutospacing="0" w:after="0" w:afterAutospacing="0"/>
        <w:textAlignment w:val="baseline"/>
        <w:rPr>
          <w:rStyle w:val="eop"/>
          <w:rFonts w:ascii="Calibri" w:hAnsi="Calibri" w:cs="Calibri"/>
          <w:sz w:val="22"/>
          <w:szCs w:val="22"/>
        </w:rPr>
      </w:pPr>
      <w:r w:rsidRPr="003B6F68">
        <w:rPr>
          <w:rStyle w:val="eop"/>
          <w:rFonts w:ascii="Calibri" w:hAnsi="Calibri" w:cs="Calibri"/>
          <w:sz w:val="22"/>
          <w:szCs w:val="22"/>
        </w:rPr>
        <w:t>CRREM is more accurate as it is based on actual consumption, it aligns with the SBTi and Paris Agreement, and it is translatable internationally. We believe EPCs should be used as a secondary metric, due to the weak correlation between EPC rating and energy efficiency in practice.</w:t>
      </w:r>
    </w:p>
    <w:p w14:paraId="7CC74667" w14:textId="674D3E42" w:rsidR="005C2103" w:rsidRPr="003B6F68" w:rsidRDefault="005C2103" w:rsidP="008E1982">
      <w:pPr>
        <w:pStyle w:val="paragraph"/>
        <w:spacing w:before="0" w:beforeAutospacing="0" w:after="0" w:afterAutospacing="0"/>
        <w:textAlignment w:val="baseline"/>
        <w:rPr>
          <w:rStyle w:val="eop"/>
          <w:rFonts w:ascii="Calibri" w:hAnsi="Calibri" w:cs="Calibri"/>
          <w:sz w:val="22"/>
          <w:szCs w:val="22"/>
        </w:rPr>
      </w:pPr>
    </w:p>
    <w:p w14:paraId="5F8AC3C5" w14:textId="77777777" w:rsidR="00E05241" w:rsidRDefault="00E05241" w:rsidP="00E05241">
      <w:pPr>
        <w:pStyle w:val="paragraph"/>
        <w:spacing w:before="0" w:beforeAutospacing="0" w:after="0" w:afterAutospacing="0"/>
        <w:textAlignment w:val="baseline"/>
        <w:rPr>
          <w:rStyle w:val="eop"/>
          <w:rFonts w:ascii="Calibri" w:hAnsi="Calibri" w:cs="Calibri"/>
          <w:sz w:val="22"/>
          <w:szCs w:val="22"/>
        </w:rPr>
      </w:pPr>
    </w:p>
    <w:p w14:paraId="6576B1A7" w14:textId="25C10543" w:rsidR="00332718" w:rsidRDefault="00332718" w:rsidP="00742C4E">
      <w:pPr>
        <w:pStyle w:val="paragraph"/>
        <w:spacing w:before="0" w:beforeAutospacing="0" w:after="0" w:afterAutospacing="0"/>
        <w:textAlignment w:val="baseline"/>
        <w:rPr>
          <w:rStyle w:val="eop"/>
          <w:rFonts w:ascii="Calibri" w:hAnsi="Calibri" w:cs="Calibri"/>
          <w:sz w:val="22"/>
          <w:szCs w:val="22"/>
        </w:rPr>
      </w:pPr>
    </w:p>
    <w:p w14:paraId="7117A4DC" w14:textId="77777777" w:rsidR="00332718" w:rsidRDefault="00332718" w:rsidP="00742C4E">
      <w:pPr>
        <w:pStyle w:val="paragraph"/>
        <w:spacing w:before="0" w:beforeAutospacing="0" w:after="0" w:afterAutospacing="0"/>
        <w:textAlignment w:val="baseline"/>
        <w:rPr>
          <w:rFonts w:ascii="Segoe UI" w:hAnsi="Segoe UI" w:cs="Segoe UI"/>
          <w:sz w:val="18"/>
          <w:szCs w:val="18"/>
        </w:rPr>
      </w:pPr>
    </w:p>
    <w:p w14:paraId="0F9A5495" w14:textId="77777777" w:rsidR="009C41BB" w:rsidRDefault="009C41BB" w:rsidP="009C41BB">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9" w:name="_Hlk131609837"/>
      <w:r>
        <w:t>: Do you see any challenges in the interaction between the definition ‘enterprise value’ and ‘current value of investment’ for the calculation of the PAI indicators?</w:t>
      </w:r>
    </w:p>
    <w:bookmarkEnd w:id="9"/>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10" w:name="_Hlk131609838"/>
      <w:r>
        <w:t xml:space="preserve">: Do you have any comments or proposed adjustments to the new formulae suggested in Annex I?  </w:t>
      </w:r>
    </w:p>
    <w:bookmarkEnd w:id="10"/>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397A47A4" w:rsidR="009C41BB" w:rsidRDefault="009C41BB" w:rsidP="009C41BB">
      <w:pPr>
        <w:pStyle w:val="Questionstyle"/>
        <w:numPr>
          <w:ilvl w:val="0"/>
          <w:numId w:val="42"/>
        </w:numPr>
      </w:pPr>
      <w:bookmarkStart w:id="11"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1"/>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2" w:name="_Hlk131609841"/>
      <w:r>
        <w:t>: Do you agree with the proposal to require the disclosure of the share of information for the PAI indicators for which the financial market participant relies on information directly from investee companies?</w:t>
      </w:r>
    </w:p>
    <w:bookmarkEnd w:id="12"/>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xml:space="preserve">: What is your view on the approach taken in this consultation paper to define ‘all investments’? What are the advantages and drawbacks you identify? </w:t>
      </w:r>
      <w:r>
        <w:lastRenderedPageBreak/>
        <w:t>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lastRenderedPageBreak/>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lastRenderedPageBreak/>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w:t>
      </w:r>
      <w:r>
        <w:lastRenderedPageBreak/>
        <w:t xml:space="preserve">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lastRenderedPageBreak/>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lastRenderedPageBreak/>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lastRenderedPageBreak/>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20"/>
      <w:headerReference w:type="default" r:id="rId21"/>
      <w:footerReference w:type="even" r:id="rId22"/>
      <w:footerReference w:type="default" r:id="rId23"/>
      <w:headerReference w:type="first" r:id="rId24"/>
      <w:footerReference w:type="first" r:id="rId25"/>
      <w:pgSz w:w="11906" w:h="16838"/>
      <w:pgMar w:top="1956"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 Wealend" w:date="2023-07-04T08:01:00Z" w:initials="EW">
    <w:p w14:paraId="4301020D" w14:textId="77777777" w:rsidR="008E1982" w:rsidRDefault="008E1982" w:rsidP="008E1982">
      <w:r>
        <w:t>useful?</w:t>
      </w:r>
      <w:r>
        <w:annotationRef/>
      </w:r>
      <w:r>
        <w:rPr>
          <w:rStyle w:val="CommentReference"/>
        </w:rPr>
        <w:annotationRef/>
      </w:r>
    </w:p>
  </w:comment>
  <w:comment w:id="8" w:author="Agathe Kuhn" w:date="2023-07-04T16:42:00Z" w:initials="AK">
    <w:p w14:paraId="18B89074" w14:textId="77777777" w:rsidR="008E1982" w:rsidRDefault="008E1982" w:rsidP="008E1982">
      <w:pPr>
        <w:pStyle w:val="CommentText"/>
      </w:pPr>
      <w:r>
        <w:t>Stop here and add a sentence along the lines of what I am suggesting?</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01020D" w15:done="1"/>
  <w15:commentEx w15:paraId="18B890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511CE8" w16cex:dateUtc="2023-07-04T07:01:00Z"/>
  <w16cex:commentExtensible w16cex:durableId="4DBE72ED" w16cex:dateUtc="2023-07-04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1020D" w16cid:durableId="17511CE8"/>
  <w16cid:commentId w16cid:paraId="18B89074" w16cid:durableId="4DBE72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4EAA" w14:textId="77777777" w:rsidR="00077434" w:rsidRDefault="00077434" w:rsidP="00707738">
      <w:pPr>
        <w:spacing w:after="0" w:line="240" w:lineRule="auto"/>
      </w:pPr>
      <w:r>
        <w:separator/>
      </w:r>
    </w:p>
  </w:endnote>
  <w:endnote w:type="continuationSeparator" w:id="0">
    <w:p w14:paraId="38408700" w14:textId="77777777" w:rsidR="00077434" w:rsidRDefault="00077434"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E43A" w14:textId="77777777" w:rsidR="00077434" w:rsidRDefault="00077434" w:rsidP="00707738">
      <w:pPr>
        <w:spacing w:after="0" w:line="240" w:lineRule="auto"/>
      </w:pPr>
      <w:r>
        <w:separator/>
      </w:r>
    </w:p>
  </w:footnote>
  <w:footnote w:type="continuationSeparator" w:id="0">
    <w:p w14:paraId="40511503" w14:textId="77777777" w:rsidR="00077434" w:rsidRDefault="00077434"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with regard to the processing of personal data by the Union institutions, bodies, </w:t>
      </w:r>
      <w:proofErr w:type="gramStart"/>
      <w:r w:rsidRPr="00010A39">
        <w:t>offices</w:t>
      </w:r>
      <w:proofErr w:type="gramEnd"/>
      <w:r w:rsidRPr="00010A39">
        <w:t xml:space="preserve">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 Wealend">
    <w15:presenceInfo w15:providerId="AD" w15:userId="S::ed@longevity.co.uk::47cd2c1b-00c4-4b1f-a4a0-2b00ef098fa4"/>
  </w15:person>
  <w15:person w15:author="Agathe Kuhn">
    <w15:presenceInfo w15:providerId="AD" w15:userId="S::ak@longevity.co.uk::e79872e2-036d-4961-84c3-c01965e15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77434"/>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3C4"/>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32718"/>
    <w:rsid w:val="00341A52"/>
    <w:rsid w:val="003450BC"/>
    <w:rsid w:val="003458EC"/>
    <w:rsid w:val="0034665F"/>
    <w:rsid w:val="003478C9"/>
    <w:rsid w:val="00351678"/>
    <w:rsid w:val="00351724"/>
    <w:rsid w:val="00352F26"/>
    <w:rsid w:val="00354021"/>
    <w:rsid w:val="003566A4"/>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401F"/>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4A67"/>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103"/>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1E1E"/>
    <w:rsid w:val="00742C4E"/>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1982"/>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B691E"/>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1E7F"/>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241"/>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customStyle="1" w:styleId="paragraph">
    <w:name w:val="paragraph"/>
    <w:basedOn w:val="Normal"/>
    <w:rsid w:val="00742C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2C4E"/>
  </w:style>
  <w:style w:type="character" w:customStyle="1" w:styleId="eop">
    <w:name w:val="eop"/>
    <w:basedOn w:val="DefaultParagraphFont"/>
    <w:rsid w:val="0074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855924065">
      <w:bodyDiv w:val="1"/>
      <w:marLeft w:val="0"/>
      <w:marRight w:val="0"/>
      <w:marTop w:val="0"/>
      <w:marBottom w:val="0"/>
      <w:divBdr>
        <w:top w:val="none" w:sz="0" w:space="0" w:color="auto"/>
        <w:left w:val="none" w:sz="0" w:space="0" w:color="auto"/>
        <w:bottom w:val="none" w:sz="0" w:space="0" w:color="auto"/>
        <w:right w:val="none" w:sz="0" w:space="0" w:color="auto"/>
      </w:divBdr>
      <w:divsChild>
        <w:div w:id="1961956944">
          <w:marLeft w:val="0"/>
          <w:marRight w:val="0"/>
          <w:marTop w:val="0"/>
          <w:marBottom w:val="0"/>
          <w:divBdr>
            <w:top w:val="none" w:sz="0" w:space="0" w:color="auto"/>
            <w:left w:val="none" w:sz="0" w:space="0" w:color="auto"/>
            <w:bottom w:val="none" w:sz="0" w:space="0" w:color="auto"/>
            <w:right w:val="none" w:sz="0" w:space="0" w:color="auto"/>
          </w:divBdr>
        </w:div>
        <w:div w:id="2138641868">
          <w:marLeft w:val="0"/>
          <w:marRight w:val="0"/>
          <w:marTop w:val="0"/>
          <w:marBottom w:val="0"/>
          <w:divBdr>
            <w:top w:val="none" w:sz="0" w:space="0" w:color="auto"/>
            <w:left w:val="none" w:sz="0" w:space="0" w:color="auto"/>
            <w:bottom w:val="none" w:sz="0" w:space="0" w:color="auto"/>
            <w:right w:val="none" w:sz="0" w:space="0" w:color="auto"/>
          </w:divBdr>
        </w:div>
        <w:div w:id="1029254930">
          <w:marLeft w:val="0"/>
          <w:marRight w:val="0"/>
          <w:marTop w:val="0"/>
          <w:marBottom w:val="0"/>
          <w:divBdr>
            <w:top w:val="none" w:sz="0" w:space="0" w:color="auto"/>
            <w:left w:val="none" w:sz="0" w:space="0" w:color="auto"/>
            <w:bottom w:val="none" w:sz="0" w:space="0" w:color="auto"/>
            <w:right w:val="none" w:sz="0" w:space="0" w:color="auto"/>
          </w:divBdr>
        </w:div>
      </w:divsChild>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4.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8EF864-A2BC-4D23-8318-F4CA46A99F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20</TotalTime>
  <Pages>16</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Patrick Rogers</cp:lastModifiedBy>
  <cp:revision>4</cp:revision>
  <cp:lastPrinted>2022-02-14T13:26:00Z</cp:lastPrinted>
  <dcterms:created xsi:type="dcterms:W3CDTF">2023-07-04T13:44:00Z</dcterms:created>
  <dcterms:modified xsi:type="dcterms:W3CDTF">2023-07-04T15:08:00Z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