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2C3C9A49" w:rsidR="005418F4" w:rsidRPr="005418F4" w:rsidRDefault="00FB0A11" w:rsidP="005418F4">
                <w:pPr>
                  <w:spacing w:after="250"/>
                  <w:rPr>
                    <w:rFonts w:ascii="Arial" w:eastAsiaTheme="minorEastAsia" w:hAnsi="Arial" w:cs="Arial"/>
                    <w:color w:val="808080"/>
                    <w:szCs w:val="20"/>
                  </w:rPr>
                </w:pPr>
                <w:r>
                  <w:rPr>
                    <w:rFonts w:ascii="Arial" w:eastAsiaTheme="minorEastAsia" w:hAnsi="Arial" w:cs="Arial"/>
                    <w:color w:val="808080"/>
                    <w:szCs w:val="20"/>
                  </w:rPr>
                  <w:t>Institutional Shareholder Services</w:t>
                </w:r>
                <w:r w:rsidR="008230CB">
                  <w:rPr>
                    <w:rFonts w:ascii="Arial" w:eastAsiaTheme="minorEastAsia" w:hAnsi="Arial" w:cs="Arial"/>
                    <w:color w:val="808080"/>
                    <w:szCs w:val="20"/>
                  </w:rPr>
                  <w:t xml:space="preserve"> Inc.</w:t>
                </w:r>
                <w:r>
                  <w:rPr>
                    <w:rFonts w:ascii="Arial" w:eastAsiaTheme="minorEastAsia" w:hAnsi="Arial" w:cs="Arial"/>
                    <w:color w:val="808080"/>
                    <w:szCs w:val="20"/>
                  </w:rPr>
                  <w:t xml:space="preserve"> (ISS)</w:t>
                </w:r>
              </w:p>
            </w:tc>
          </w:sdtContent>
        </w:sdt>
      </w:tr>
      <w:tr w:rsidR="005418F4" w:rsidRPr="005418F4" w14:paraId="1994CDD1" w14:textId="77777777">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1A65768E"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B0A11">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2ED6781F" w:rsidR="005418F4" w:rsidRPr="005418F4" w:rsidRDefault="00FB0A11"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Europe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1348034591" w:edGrp="everyone"/>
    </w:p>
    <w:p w14:paraId="50897728" w14:textId="1F2CFFBA" w:rsidR="00FB0A11" w:rsidRPr="007654AC" w:rsidRDefault="00FB0A11" w:rsidP="00FB0A11">
      <w:pPr>
        <w:rPr>
          <w:rFonts w:ascii="Times New Roman" w:hAnsi="Times New Roman" w:cs="Times New Roman"/>
        </w:rPr>
      </w:pPr>
      <w:r>
        <w:rPr>
          <w:rFonts w:ascii="Times New Roman" w:hAnsi="Times New Roman" w:cs="Times New Roman"/>
        </w:rPr>
        <w:t xml:space="preserve"> </w:t>
      </w:r>
      <w:r w:rsidRPr="007654AC">
        <w:rPr>
          <w:rFonts w:ascii="Times New Roman" w:hAnsi="Times New Roman" w:cs="Times New Roman"/>
        </w:rPr>
        <w:t>The additional social and governance related PAI indicators proposed by the ESAs would be pertinent to sustainability-oriented investors who wish to understand the impacts of the companies to which they have exposure</w:t>
      </w:r>
      <w:r>
        <w:rPr>
          <w:rFonts w:ascii="Times New Roman" w:hAnsi="Times New Roman" w:cs="Times New Roman"/>
        </w:rPr>
        <w:t xml:space="preserve"> through investment products</w:t>
      </w:r>
      <w:r w:rsidRPr="007654AC">
        <w:rPr>
          <w:rFonts w:ascii="Times New Roman" w:hAnsi="Times New Roman" w:cs="Times New Roman"/>
        </w:rPr>
        <w:t xml:space="preserve">. </w:t>
      </w:r>
    </w:p>
    <w:p w14:paraId="44AD2B6C" w14:textId="77777777" w:rsidR="00FB0A11" w:rsidRPr="007654AC" w:rsidRDefault="00FB0A11" w:rsidP="00FB0A11">
      <w:pPr>
        <w:rPr>
          <w:rFonts w:ascii="Times New Roman" w:hAnsi="Times New Roman" w:cs="Times New Roman"/>
        </w:rPr>
      </w:pPr>
    </w:p>
    <w:p w14:paraId="4267ABAC" w14:textId="77777777" w:rsidR="00FB0A11" w:rsidRPr="007654AC" w:rsidRDefault="00FB0A11" w:rsidP="00FB0A11">
      <w:pPr>
        <w:rPr>
          <w:rFonts w:ascii="Times New Roman" w:hAnsi="Times New Roman" w:cs="Times New Roman"/>
        </w:rPr>
      </w:pPr>
      <w:r w:rsidRPr="007654AC">
        <w:rPr>
          <w:rFonts w:ascii="Times New Roman" w:hAnsi="Times New Roman" w:cs="Times New Roman"/>
        </w:rPr>
        <w:t xml:space="preserve">Nevertheless, we believe that the ESAs should only introduce additional social indicators as optional rather than mandatory. Particularly in view of the first set of draft European Sustainability Reporting Standards (ESRS) proposed by the European Commission, according to which reporting against PAIs will be subject to a materiality assessment for companies. Alignment between the PAIs and the information that companies subject to the Corporate Sustainability Reporting Directive (CSRD) will be required to disclose under the ESRS is an important prerequisite for FMPs to be able to report. Alternatively, the PAI indicators could correspond to commonly collected data points or metrics. However, this is not universally the case for the additional PAIs proposed by the ESAs. </w:t>
      </w:r>
    </w:p>
    <w:p w14:paraId="1E31AC5E" w14:textId="77777777" w:rsidR="00FB0A11" w:rsidRPr="007654AC" w:rsidRDefault="00FB0A11" w:rsidP="00FB0A11">
      <w:pPr>
        <w:rPr>
          <w:rFonts w:ascii="Times New Roman" w:hAnsi="Times New Roman" w:cs="Times New Roman"/>
        </w:rPr>
      </w:pPr>
    </w:p>
    <w:p w14:paraId="72AE658A" w14:textId="77777777" w:rsidR="00FB0A11" w:rsidRPr="007654AC" w:rsidRDefault="00FB0A11" w:rsidP="00FB0A11">
      <w:pPr>
        <w:rPr>
          <w:rFonts w:ascii="Times New Roman" w:hAnsi="Times New Roman" w:cs="Times New Roman"/>
        </w:rPr>
      </w:pPr>
      <w:r w:rsidRPr="007654AC">
        <w:rPr>
          <w:rFonts w:ascii="Times New Roman" w:hAnsi="Times New Roman" w:cs="Times New Roman"/>
        </w:rPr>
        <w:t>For instance, the amount of accumulated earnings in non-cooperative tax jurisdictions for undertakings whose turnover exceeds EUR 750 million. Accordingly, this information may be difficult for FMPs to obtain.</w:t>
      </w:r>
    </w:p>
    <w:p w14:paraId="277A65B5" w14:textId="77777777" w:rsidR="00FB0A11" w:rsidRPr="007654AC" w:rsidRDefault="00FB0A11" w:rsidP="00FB0A11">
      <w:pPr>
        <w:rPr>
          <w:rFonts w:ascii="Times New Roman" w:hAnsi="Times New Roman" w:cs="Times New Roman"/>
        </w:rPr>
      </w:pPr>
    </w:p>
    <w:p w14:paraId="4A55641A" w14:textId="19D70E1B" w:rsidR="009C41BB" w:rsidRDefault="00FB0A11" w:rsidP="00FB0A11">
      <w:r w:rsidRPr="007654AC">
        <w:rPr>
          <w:rFonts w:ascii="Times New Roman" w:hAnsi="Times New Roman" w:cs="Times New Roman"/>
        </w:rPr>
        <w:lastRenderedPageBreak/>
        <w:t xml:space="preserve">More broadly, we understand that the ESAs’ proposals </w:t>
      </w:r>
      <w:proofErr w:type="spellStart"/>
      <w:r w:rsidRPr="007654AC">
        <w:rPr>
          <w:rFonts w:ascii="Times New Roman" w:hAnsi="Times New Roman" w:cs="Times New Roman"/>
        </w:rPr>
        <w:t>fulfill</w:t>
      </w:r>
      <w:proofErr w:type="spellEnd"/>
      <w:r w:rsidRPr="007654AC">
        <w:rPr>
          <w:rFonts w:ascii="Times New Roman" w:hAnsi="Times New Roman" w:cs="Times New Roman"/>
        </w:rPr>
        <w:t xml:space="preserve"> the mandate received from the European Commission in May 2022. However, since then, the latter has committed to review the Level 1 of the SFDR. The review process may imply significant changes to the SFDR framework and, accordingly, we believe that introducing too many changes, albeit of a technical nature, at this juncture will create further implementation challenges for FMPs and </w:t>
      </w:r>
      <w:r>
        <w:rPr>
          <w:rFonts w:ascii="Times New Roman" w:hAnsi="Times New Roman" w:cs="Times New Roman"/>
        </w:rPr>
        <w:t xml:space="preserve">may </w:t>
      </w:r>
      <w:r w:rsidRPr="007654AC">
        <w:rPr>
          <w:rFonts w:ascii="Times New Roman" w:hAnsi="Times New Roman" w:cs="Times New Roman"/>
        </w:rPr>
        <w:t>create inconsistencies with the framework as applied until now.</w:t>
      </w:r>
      <w:r>
        <w:rPr>
          <w:rFonts w:ascii="Times New Roman" w:hAnsi="Times New Roman" w:cs="Times New Roman"/>
        </w:rPr>
        <w:t xml:space="preserve"> </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60FDF193" w:rsidR="009C41BB" w:rsidRPr="00FB0A11" w:rsidRDefault="00FB0A11" w:rsidP="00FB0A11">
      <w:pPr>
        <w:jc w:val="both"/>
        <w:rPr>
          <w:rFonts w:ascii="Times New Roman" w:hAnsi="Times New Roman" w:cs="Times New Roman"/>
        </w:rPr>
      </w:pPr>
      <w:permStart w:id="1140268191" w:edGrp="everyone"/>
      <w:r w:rsidRPr="00FB0A11">
        <w:rPr>
          <w:rFonts w:ascii="Times New Roman" w:hAnsi="Times New Roman" w:cs="Times New Roman"/>
        </w:rPr>
        <w:t xml:space="preserve"> </w:t>
      </w:r>
      <w:r w:rsidRPr="007654AC">
        <w:rPr>
          <w:rFonts w:ascii="Times New Roman" w:hAnsi="Times New Roman" w:cs="Times New Roman"/>
        </w:rPr>
        <w:t xml:space="preserve">With respect to interference in the formation of trade unions or election of worker representatives, the proposed PAIs </w:t>
      </w:r>
      <w:r>
        <w:rPr>
          <w:rFonts w:ascii="Times New Roman" w:hAnsi="Times New Roman" w:cs="Times New Roman"/>
        </w:rPr>
        <w:t>would better</w:t>
      </w:r>
      <w:r w:rsidRPr="007654AC">
        <w:rPr>
          <w:rFonts w:ascii="Times New Roman" w:hAnsi="Times New Roman" w:cs="Times New Roman"/>
        </w:rPr>
        <w:t xml:space="preserve"> align with existing PAIs </w:t>
      </w:r>
      <w:r>
        <w:rPr>
          <w:rFonts w:ascii="Times New Roman" w:hAnsi="Times New Roman" w:cs="Times New Roman"/>
        </w:rPr>
        <w:t>if</w:t>
      </w:r>
      <w:r w:rsidRPr="007654AC">
        <w:rPr>
          <w:rFonts w:ascii="Times New Roman" w:hAnsi="Times New Roman" w:cs="Times New Roman"/>
        </w:rPr>
        <w:t xml:space="preserve"> </w:t>
      </w:r>
      <w:r>
        <w:rPr>
          <w:rFonts w:ascii="Times New Roman" w:hAnsi="Times New Roman" w:cs="Times New Roman"/>
        </w:rPr>
        <w:t xml:space="preserve">it </w:t>
      </w:r>
      <w:r w:rsidRPr="007654AC">
        <w:rPr>
          <w:rFonts w:ascii="Times New Roman" w:hAnsi="Times New Roman" w:cs="Times New Roman"/>
        </w:rPr>
        <w:t>ask</w:t>
      </w:r>
      <w:r>
        <w:rPr>
          <w:rFonts w:ascii="Times New Roman" w:hAnsi="Times New Roman" w:cs="Times New Roman"/>
        </w:rPr>
        <w:t>ed</w:t>
      </w:r>
      <w:r w:rsidRPr="007654AC">
        <w:rPr>
          <w:rFonts w:ascii="Times New Roman" w:hAnsi="Times New Roman" w:cs="Times New Roman"/>
        </w:rPr>
        <w:t xml:space="preserve"> about investments in companies without a policy rather than without a commitment.</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11D4CCAB" w:rsidR="009C41BB" w:rsidRDefault="00FB0A11" w:rsidP="009C41BB">
      <w:permStart w:id="1930569352" w:edGrp="everyone"/>
      <w:r>
        <w:rPr>
          <w:rFonts w:ascii="Times New Roman" w:hAnsi="Times New Roman" w:cs="Times New Roman"/>
        </w:rPr>
        <w:t xml:space="preserve"> </w:t>
      </w:r>
      <w:r w:rsidRPr="007654AC">
        <w:rPr>
          <w:rFonts w:ascii="Times New Roman" w:hAnsi="Times New Roman" w:cs="Times New Roman"/>
        </w:rPr>
        <w:t>The proposed opt-in social indicators could be reported by companies subject to the CSRD, and, as such, used by FMPs for the purposes of their disclosures</w:t>
      </w:r>
      <w:r>
        <w:rPr>
          <w:rFonts w:ascii="Times New Roman" w:hAnsi="Times New Roman" w:cs="Times New Roman"/>
        </w:rPr>
        <w:t>. Accordingly, we believe they could be included in Annex I, Table III.</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lastRenderedPageBreak/>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50191056" w14:textId="24134653" w:rsidR="00FB0A11" w:rsidRPr="007654AC" w:rsidRDefault="00FB0A11" w:rsidP="00FB0A11">
      <w:pPr>
        <w:rPr>
          <w:rFonts w:ascii="Times New Roman" w:hAnsi="Times New Roman" w:cs="Times New Roman"/>
        </w:rPr>
      </w:pPr>
      <w:permStart w:id="1288714632" w:edGrp="everyone"/>
      <w:r w:rsidRPr="007654AC">
        <w:rPr>
          <w:rFonts w:ascii="Times New Roman" w:hAnsi="Times New Roman" w:cs="Times New Roman"/>
        </w:rPr>
        <w:t xml:space="preserve">We have encountered </w:t>
      </w:r>
      <w:r>
        <w:rPr>
          <w:rFonts w:ascii="Times New Roman" w:hAnsi="Times New Roman" w:cs="Times New Roman"/>
        </w:rPr>
        <w:t>major challenges</w:t>
      </w:r>
      <w:r w:rsidRPr="007654AC">
        <w:rPr>
          <w:rFonts w:ascii="Times New Roman" w:hAnsi="Times New Roman" w:cs="Times New Roman"/>
        </w:rPr>
        <w:t xml:space="preserve"> due to the misalignment in the timing of the various assessments required under Article 4 of SFDR.</w:t>
      </w:r>
    </w:p>
    <w:p w14:paraId="6C9490E6" w14:textId="77777777" w:rsidR="00FB0A11" w:rsidRPr="007654AC" w:rsidRDefault="00FB0A11" w:rsidP="00FB0A11">
      <w:pPr>
        <w:rPr>
          <w:rFonts w:ascii="Times New Roman" w:hAnsi="Times New Roman" w:cs="Times New Roman"/>
        </w:rPr>
      </w:pPr>
    </w:p>
    <w:p w14:paraId="1A87C9B5" w14:textId="77777777" w:rsidR="00FB0A11" w:rsidRPr="007654AC" w:rsidRDefault="00FB0A11" w:rsidP="00FB0A11">
      <w:pPr>
        <w:rPr>
          <w:rFonts w:ascii="Times New Roman" w:hAnsi="Times New Roman" w:cs="Times New Roman"/>
        </w:rPr>
      </w:pPr>
      <w:r w:rsidRPr="007654AC">
        <w:rPr>
          <w:rFonts w:ascii="Times New Roman" w:hAnsi="Times New Roman" w:cs="Times New Roman"/>
        </w:rPr>
        <w:t>For instance, “enterprise value” must be calculated at Fiscal Year-end while the value of positions in the portfolio should be an average of each quarter end, and the assessment of principal adverse impact should be based on “latest available information”.</w:t>
      </w:r>
    </w:p>
    <w:p w14:paraId="6651EBDC" w14:textId="77777777" w:rsidR="00FB0A11" w:rsidRPr="007654AC" w:rsidRDefault="00FB0A11" w:rsidP="00FB0A11">
      <w:pPr>
        <w:rPr>
          <w:rFonts w:ascii="Times New Roman" w:hAnsi="Times New Roman" w:cs="Times New Roman"/>
        </w:rPr>
      </w:pPr>
    </w:p>
    <w:p w14:paraId="6FD23F38" w14:textId="77777777" w:rsidR="00FB0A11" w:rsidRPr="007654AC" w:rsidRDefault="00FB0A11" w:rsidP="00FB0A11">
      <w:pPr>
        <w:rPr>
          <w:rFonts w:ascii="Times New Roman" w:hAnsi="Times New Roman" w:cs="Times New Roman"/>
        </w:rPr>
      </w:pPr>
      <w:r w:rsidRPr="007654AC">
        <w:rPr>
          <w:rFonts w:ascii="Times New Roman" w:hAnsi="Times New Roman" w:cs="Times New Roman"/>
        </w:rPr>
        <w:t xml:space="preserve">This results in 3 assessments being carried out at different points in time, rendering the aggregation of information on PAIs at entity level technically challenging. It also creates inconsistency as to the information reported on a portfolio holding at a specific point in time depending on whether it is based on “latest available information” rather than the point at which an investor was exposed to the portfolio. In our experience, this has proven particularly challenging for FMPs in the context of controversy-based assessments. </w:t>
      </w:r>
    </w:p>
    <w:p w14:paraId="6FD0418D" w14:textId="77777777" w:rsidR="00FB0A11" w:rsidRPr="007654AC" w:rsidRDefault="00FB0A11" w:rsidP="00FB0A11">
      <w:pPr>
        <w:rPr>
          <w:rFonts w:ascii="Times New Roman" w:hAnsi="Times New Roman" w:cs="Times New Roman"/>
        </w:rPr>
      </w:pPr>
    </w:p>
    <w:p w14:paraId="668ACE9C" w14:textId="3D6EE70A" w:rsidR="009C41BB" w:rsidRPr="00FB0A11" w:rsidRDefault="00FB0A11" w:rsidP="009C41BB">
      <w:pPr>
        <w:rPr>
          <w:rFonts w:ascii="Times New Roman" w:hAnsi="Times New Roman" w:cs="Times New Roman"/>
        </w:rPr>
      </w:pPr>
      <w:r w:rsidRPr="007654AC">
        <w:rPr>
          <w:rFonts w:ascii="Times New Roman" w:hAnsi="Times New Roman" w:cs="Times New Roman"/>
        </w:rPr>
        <w:t xml:space="preserve">In our view, it would be more practicable to have all three assessments carried out together at a single point in time. However, we would like to highlight that we anticipate this amendment to the Delegated Regulation alone would imply significant cost and disruption to the established pattern of disclosures. Nevertheless, it would improve the quality, </w:t>
      </w:r>
      <w:proofErr w:type="gramStart"/>
      <w:r w:rsidRPr="007654AC">
        <w:rPr>
          <w:rFonts w:ascii="Times New Roman" w:hAnsi="Times New Roman" w:cs="Times New Roman"/>
        </w:rPr>
        <w:t>accuracy</w:t>
      </w:r>
      <w:proofErr w:type="gramEnd"/>
      <w:r w:rsidRPr="007654AC">
        <w:rPr>
          <w:rFonts w:ascii="Times New Roman" w:hAnsi="Times New Roman" w:cs="Times New Roman"/>
        </w:rPr>
        <w:t xml:space="preserve"> and comprehensibility of disclosures.</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230D1ED1" w14:textId="77777777" w:rsidR="00FB0A11" w:rsidRDefault="00FB0A11" w:rsidP="00FB0A11">
      <w:pPr>
        <w:rPr>
          <w:rFonts w:ascii="Times New Roman" w:hAnsi="Times New Roman" w:cs="Times New Roman"/>
        </w:rPr>
      </w:pPr>
      <w:permStart w:id="2059607147" w:edGrp="everyone"/>
      <w:r w:rsidRPr="007654AC">
        <w:rPr>
          <w:rFonts w:ascii="Times New Roman" w:hAnsi="Times New Roman" w:cs="Times New Roman"/>
        </w:rPr>
        <w:t xml:space="preserve">The development of new formulae is helpful in view of the forthcoming review of the SFDR. </w:t>
      </w:r>
      <w:r>
        <w:rPr>
          <w:rFonts w:ascii="Times New Roman" w:hAnsi="Times New Roman" w:cs="Times New Roman"/>
        </w:rPr>
        <w:t>However</w:t>
      </w:r>
      <w:r w:rsidRPr="007654AC">
        <w:rPr>
          <w:rFonts w:ascii="Times New Roman" w:hAnsi="Times New Roman" w:cs="Times New Roman"/>
        </w:rPr>
        <w:t>, we believe that the ESAs should carefully consider whether the benefits of introducing new formulae at this juncture would outweigh the costs. If the new formulae are adopted FMPs will be required to adapt to the changes and the new formulae could create inconsistencies with the PAIs as applied and reported to date.</w:t>
      </w:r>
      <w:r>
        <w:rPr>
          <w:rFonts w:ascii="Times New Roman" w:hAnsi="Times New Roman" w:cs="Times New Roman"/>
        </w:rPr>
        <w:t xml:space="preserve"> As a result, we would encourage the ESAs to await the review of the SFDR before introducing the proposed changes. </w:t>
      </w:r>
    </w:p>
    <w:p w14:paraId="4963EFBF" w14:textId="77777777" w:rsidR="00FB0A11" w:rsidRDefault="00FB0A11" w:rsidP="00FB0A11">
      <w:pPr>
        <w:rPr>
          <w:rFonts w:ascii="Times New Roman" w:hAnsi="Times New Roman" w:cs="Times New Roman"/>
        </w:rPr>
      </w:pPr>
    </w:p>
    <w:p w14:paraId="19F15897" w14:textId="77777777" w:rsidR="00FB0A11" w:rsidRPr="003673B7" w:rsidRDefault="00FB0A11" w:rsidP="00FB0A11">
      <w:pPr>
        <w:rPr>
          <w:rFonts w:ascii="Times New Roman" w:hAnsi="Times New Roman" w:cs="Times New Roman"/>
        </w:rPr>
      </w:pPr>
      <w:r>
        <w:rPr>
          <w:rFonts w:ascii="Times New Roman" w:hAnsi="Times New Roman" w:cs="Times New Roman"/>
        </w:rPr>
        <w:t xml:space="preserve">In the interim we would encourage the ESAs to develop examples of how the new formulae would be applied to ensure a common understanding across the market. </w:t>
      </w:r>
    </w:p>
    <w:p w14:paraId="5AE06967" w14:textId="77777777" w:rsidR="00FB0A11" w:rsidRPr="007654AC" w:rsidRDefault="00FB0A11" w:rsidP="00FB0A11">
      <w:pPr>
        <w:rPr>
          <w:rFonts w:ascii="Times New Roman" w:hAnsi="Times New Roman" w:cs="Times New Roman"/>
        </w:rPr>
      </w:pPr>
    </w:p>
    <w:p w14:paraId="6E38785F" w14:textId="77777777" w:rsidR="00FB0A11" w:rsidRPr="007654AC" w:rsidRDefault="00FB0A11" w:rsidP="00FB0A11">
      <w:pPr>
        <w:rPr>
          <w:rFonts w:ascii="Times New Roman" w:hAnsi="Times New Roman" w:cs="Times New Roman"/>
        </w:rPr>
      </w:pPr>
      <w:r>
        <w:rPr>
          <w:rFonts w:ascii="Times New Roman" w:hAnsi="Times New Roman" w:cs="Times New Roman"/>
        </w:rPr>
        <w:t>In addition, w</w:t>
      </w:r>
      <w:r w:rsidRPr="007654AC">
        <w:rPr>
          <w:rFonts w:ascii="Times New Roman" w:hAnsi="Times New Roman" w:cs="Times New Roman"/>
        </w:rPr>
        <w:t xml:space="preserve">e believe that the formulae could be improved if they were better able to reflect and/or account for limited data availability. For instance, where a weighted average is calculated, the denominator should reflect data coverage and should, ideally, be limited to positions with data. This </w:t>
      </w:r>
      <w:r w:rsidRPr="007654AC">
        <w:rPr>
          <w:rFonts w:ascii="Times New Roman" w:hAnsi="Times New Roman" w:cs="Times New Roman"/>
        </w:rPr>
        <w:lastRenderedPageBreak/>
        <w:t>would align with common market practice and avoid dilution of reported principal adverse impact due to the inclusion of non-eligible assets and assets (for which data is lacking) in the denominator.</w:t>
      </w:r>
    </w:p>
    <w:p w14:paraId="076EBA31" w14:textId="77777777" w:rsidR="00FB0A11" w:rsidRPr="007654AC" w:rsidRDefault="00FB0A11" w:rsidP="00FB0A11">
      <w:pPr>
        <w:rPr>
          <w:rFonts w:ascii="Times New Roman" w:hAnsi="Times New Roman" w:cs="Times New Roman"/>
        </w:rPr>
      </w:pPr>
    </w:p>
    <w:p w14:paraId="4D5F1AA0" w14:textId="5ECFC35B" w:rsidR="009C41BB" w:rsidRPr="00FB0A11" w:rsidRDefault="00FB0A11" w:rsidP="009C41BB">
      <w:pPr>
        <w:rPr>
          <w:rFonts w:ascii="Times New Roman" w:hAnsi="Times New Roman" w:cs="Times New Roman"/>
        </w:rPr>
      </w:pPr>
      <w:r w:rsidRPr="007654AC">
        <w:rPr>
          <w:rFonts w:ascii="Times New Roman" w:hAnsi="Times New Roman" w:cs="Times New Roman"/>
        </w:rPr>
        <w:t>Finally, almost all formulae propose using ‘all investments’ in the denominator except for those concerning real estate assets and debt securities not issued under Union legislation. The same approach could be taken for other PAIs.</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0D8F6E83" w14:textId="77777777" w:rsidR="00FB0A11" w:rsidRPr="00867C4C" w:rsidRDefault="00FB0A11" w:rsidP="00FB0A11">
      <w:pPr>
        <w:jc w:val="both"/>
        <w:rPr>
          <w:rFonts w:ascii="Times New Roman" w:hAnsi="Times New Roman" w:cs="Times New Roman"/>
        </w:rPr>
      </w:pPr>
      <w:permStart w:id="1591695117" w:edGrp="everyone"/>
      <w:r w:rsidRPr="00867C4C">
        <w:rPr>
          <w:rFonts w:ascii="Times New Roman" w:hAnsi="Times New Roman" w:cs="Times New Roman"/>
        </w:rPr>
        <w:t xml:space="preserve">In our experience, the persistent uncertainty around how to apply the term ‘all investments’ has been a significant challenge to FMPs. We welcome the ESAs’ efforts to provide clarity and would like to highlight that different approaches are currently applied across the market. </w:t>
      </w:r>
    </w:p>
    <w:p w14:paraId="528F5D6C" w14:textId="77777777" w:rsidR="00FB0A11" w:rsidRPr="00867C4C" w:rsidRDefault="00FB0A11" w:rsidP="00FB0A11">
      <w:pPr>
        <w:jc w:val="both"/>
        <w:rPr>
          <w:rFonts w:ascii="Times New Roman" w:hAnsi="Times New Roman" w:cs="Times New Roman"/>
        </w:rPr>
      </w:pPr>
    </w:p>
    <w:p w14:paraId="6A059EBA" w14:textId="7CC0123D" w:rsidR="009C41BB" w:rsidRPr="00FB0A11" w:rsidRDefault="00FB0A11" w:rsidP="00FB0A11">
      <w:pPr>
        <w:jc w:val="both"/>
        <w:rPr>
          <w:rFonts w:ascii="Times New Roman" w:hAnsi="Times New Roman" w:cs="Times New Roman"/>
        </w:rPr>
      </w:pPr>
      <w:r w:rsidRPr="00867C4C">
        <w:rPr>
          <w:rFonts w:ascii="Times New Roman" w:hAnsi="Times New Roman" w:cs="Times New Roman"/>
        </w:rPr>
        <w:t>In addition, as is well known by the ESAs, there is limited data available on certain PAIs and the materiality of the various PAIs can differ considerably depending on the investment.</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477D92DA" w14:textId="77777777" w:rsidR="00FB0A11" w:rsidRPr="00867C4C" w:rsidRDefault="00FB0A11" w:rsidP="00FB0A11">
      <w:pPr>
        <w:jc w:val="both"/>
        <w:rPr>
          <w:rFonts w:ascii="Times New Roman" w:hAnsi="Times New Roman" w:cs="Times New Roman"/>
        </w:rPr>
      </w:pPr>
      <w:permStart w:id="1653823566" w:edGrp="everyone"/>
      <w:r w:rsidRPr="00867C4C">
        <w:rPr>
          <w:rFonts w:ascii="Times New Roman" w:hAnsi="Times New Roman" w:cs="Times New Roman"/>
        </w:rPr>
        <w:t xml:space="preserve">In general, we believe that the ESAs should refrain from introducing too many additional mandatory requirements for FMPs at this juncture, in view of the forthcoming review of SFDR. As a result, </w:t>
      </w:r>
      <w:r>
        <w:rPr>
          <w:rFonts w:ascii="Times New Roman" w:hAnsi="Times New Roman" w:cs="Times New Roman"/>
        </w:rPr>
        <w:t xml:space="preserve">any </w:t>
      </w:r>
      <w:r w:rsidRPr="00867C4C">
        <w:rPr>
          <w:rFonts w:ascii="Times New Roman" w:hAnsi="Times New Roman" w:cs="Times New Roman"/>
        </w:rPr>
        <w:t xml:space="preserve">changes introduced to the SFDR Delegated Regulation should be largely optional for FMPs. More broadly, they should avoid creating inconsistencies with the framework as applied until now. </w:t>
      </w:r>
    </w:p>
    <w:p w14:paraId="37779F85" w14:textId="77777777" w:rsidR="00FB0A11" w:rsidRPr="00867C4C" w:rsidRDefault="00FB0A11" w:rsidP="00FB0A11">
      <w:pPr>
        <w:jc w:val="both"/>
        <w:rPr>
          <w:rFonts w:ascii="Times New Roman" w:hAnsi="Times New Roman" w:cs="Times New Roman"/>
        </w:rPr>
      </w:pPr>
    </w:p>
    <w:p w14:paraId="032F817E" w14:textId="77777777" w:rsidR="00FB0A11" w:rsidRPr="00867C4C" w:rsidRDefault="00FB0A11" w:rsidP="00FB0A11">
      <w:pPr>
        <w:jc w:val="both"/>
        <w:rPr>
          <w:rFonts w:ascii="Times New Roman" w:hAnsi="Times New Roman" w:cs="Times New Roman"/>
        </w:rPr>
      </w:pPr>
      <w:r w:rsidRPr="00867C4C">
        <w:rPr>
          <w:rFonts w:ascii="Times New Roman" w:hAnsi="Times New Roman" w:cs="Times New Roman"/>
        </w:rPr>
        <w:t xml:space="preserve">At present, the availability of data on PAIs is limited, with companies under no legal obligation to disclose said information. This situation is likely to persist if the first set of draft ESRS proposed by the European Commission are </w:t>
      </w:r>
      <w:proofErr w:type="gramStart"/>
      <w:r w:rsidRPr="00867C4C">
        <w:rPr>
          <w:rFonts w:ascii="Times New Roman" w:hAnsi="Times New Roman" w:cs="Times New Roman"/>
        </w:rPr>
        <w:t>enacted;</w:t>
      </w:r>
      <w:proofErr w:type="gramEnd"/>
      <w:r w:rsidRPr="00867C4C">
        <w:rPr>
          <w:rFonts w:ascii="Times New Roman" w:hAnsi="Times New Roman" w:cs="Times New Roman"/>
        </w:rPr>
        <w:t xml:space="preserve"> as they envisage making reporting against the PAIs largely voluntary for companies in scope of the CSRD. </w:t>
      </w:r>
    </w:p>
    <w:p w14:paraId="50877FE3" w14:textId="77777777" w:rsidR="00FB0A11" w:rsidRPr="00867C4C" w:rsidRDefault="00FB0A11" w:rsidP="00FB0A11">
      <w:pPr>
        <w:jc w:val="both"/>
        <w:rPr>
          <w:rFonts w:ascii="Times New Roman" w:hAnsi="Times New Roman" w:cs="Times New Roman"/>
        </w:rPr>
      </w:pPr>
    </w:p>
    <w:p w14:paraId="7941FB62" w14:textId="77777777" w:rsidR="00FB0A11" w:rsidRPr="00867C4C" w:rsidRDefault="00FB0A11" w:rsidP="00FB0A11">
      <w:pPr>
        <w:jc w:val="both"/>
        <w:rPr>
          <w:rFonts w:ascii="Times New Roman" w:hAnsi="Times New Roman" w:cs="Times New Roman"/>
        </w:rPr>
      </w:pPr>
      <w:r w:rsidRPr="00867C4C">
        <w:rPr>
          <w:rFonts w:ascii="Times New Roman" w:hAnsi="Times New Roman" w:cs="Times New Roman"/>
        </w:rPr>
        <w:t>As a result, “information directly from investee companies” may continue to be difficult for FMPs to obtain. Disclosure of the limited availability of data “directly from investee companies” may undermine the confidence of investors in the reliability of the PAI reporting. It would also represent a departure from how Taxonomy-alignment data is treated according to the European Commission’s response to the ESAs’ queries (published 14/04/23), whereby FMPs are prohibited from indicating a lack of data to explain low alignment lest it undermine the confidence of investors.</w:t>
      </w:r>
    </w:p>
    <w:p w14:paraId="7355E03A" w14:textId="77777777" w:rsidR="00FB0A11" w:rsidRPr="00867C4C" w:rsidRDefault="00FB0A11" w:rsidP="00FB0A11">
      <w:pPr>
        <w:jc w:val="both"/>
        <w:rPr>
          <w:rFonts w:ascii="Times New Roman" w:hAnsi="Times New Roman" w:cs="Times New Roman"/>
        </w:rPr>
      </w:pPr>
    </w:p>
    <w:p w14:paraId="4087F433" w14:textId="77777777" w:rsidR="00FB0A11" w:rsidRPr="00867C4C" w:rsidRDefault="00FB0A11" w:rsidP="00FB0A11">
      <w:pPr>
        <w:jc w:val="both"/>
        <w:rPr>
          <w:rFonts w:ascii="Times New Roman" w:hAnsi="Times New Roman" w:cs="Times New Roman"/>
        </w:rPr>
      </w:pPr>
      <w:r w:rsidRPr="00867C4C">
        <w:rPr>
          <w:rFonts w:ascii="Times New Roman" w:hAnsi="Times New Roman" w:cs="Times New Roman"/>
        </w:rPr>
        <w:t>Accordingly, it may be more appropriate to allow FMPs the option of disclosing the proportion of companies for which data on the PAI indicators is available. This could be expressed in the form of a ‘coverage figure’.</w:t>
      </w:r>
    </w:p>
    <w:p w14:paraId="3AB02E5B" w14:textId="77777777" w:rsidR="00FB0A11" w:rsidRPr="00867C4C" w:rsidRDefault="00FB0A11" w:rsidP="00FB0A11">
      <w:pPr>
        <w:jc w:val="both"/>
        <w:rPr>
          <w:rFonts w:ascii="Times New Roman" w:hAnsi="Times New Roman" w:cs="Times New Roman"/>
        </w:rPr>
      </w:pPr>
    </w:p>
    <w:p w14:paraId="13EF2D22" w14:textId="77777777" w:rsidR="00FB0A11" w:rsidRPr="00867C4C" w:rsidRDefault="00FB0A11" w:rsidP="00FB0A11">
      <w:pPr>
        <w:jc w:val="both"/>
        <w:rPr>
          <w:rFonts w:ascii="Times New Roman" w:hAnsi="Times New Roman" w:cs="Times New Roman"/>
        </w:rPr>
      </w:pPr>
      <w:r w:rsidRPr="00867C4C">
        <w:rPr>
          <w:rFonts w:ascii="Times New Roman" w:hAnsi="Times New Roman" w:cs="Times New Roman"/>
        </w:rPr>
        <w:t>However, there would have to be clarity as to how to calculate the ‘coverage figure’. For instance, it should be clear whether the numerator includes only positions for which PAI data has been reported or whether it also includes estimated data. Additionally, it should be clear whether the denominator includes all assets or only those eligible to PAI reporting in general or eligible to the specific PAIs in view of their materiality.</w:t>
      </w:r>
    </w:p>
    <w:p w14:paraId="59A31D2F" w14:textId="77777777" w:rsidR="00FB0A11" w:rsidRPr="00867C4C" w:rsidRDefault="00FB0A11" w:rsidP="00FB0A11">
      <w:pPr>
        <w:jc w:val="both"/>
        <w:rPr>
          <w:rFonts w:ascii="Times New Roman" w:hAnsi="Times New Roman" w:cs="Times New Roman"/>
        </w:rPr>
      </w:pPr>
    </w:p>
    <w:p w14:paraId="155A94A1" w14:textId="656D91A2" w:rsidR="009C41BB" w:rsidRPr="00FB0A11" w:rsidRDefault="00FB0A11" w:rsidP="00FB0A11">
      <w:pPr>
        <w:jc w:val="both"/>
        <w:rPr>
          <w:rFonts w:ascii="Times New Roman" w:hAnsi="Times New Roman" w:cs="Times New Roman"/>
        </w:rPr>
      </w:pPr>
      <w:r w:rsidRPr="00867C4C">
        <w:rPr>
          <w:rFonts w:ascii="Times New Roman" w:hAnsi="Times New Roman" w:cs="Times New Roman"/>
        </w:rPr>
        <w:t>Finally, as a complement, it may be worth considering a further optional disclosure that would allow FMPs to highlight the materiality of different PAIs or their applicability to certain sectors.</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3B43B836" w14:textId="77777777" w:rsidR="00FB0A11" w:rsidRPr="00867C4C" w:rsidRDefault="00FB0A11" w:rsidP="00FB0A11">
      <w:pPr>
        <w:jc w:val="both"/>
        <w:rPr>
          <w:rFonts w:ascii="Times New Roman" w:hAnsi="Times New Roman" w:cs="Times New Roman"/>
        </w:rPr>
      </w:pPr>
      <w:permStart w:id="684359195" w:edGrp="everyone"/>
      <w:r w:rsidRPr="00867C4C">
        <w:rPr>
          <w:rFonts w:ascii="Times New Roman" w:hAnsi="Times New Roman" w:cs="Times New Roman"/>
        </w:rPr>
        <w:t>Based on our experience, both approaches have their own advantages and disadvantages, and each approach has its own proponents in the market.</w:t>
      </w:r>
    </w:p>
    <w:p w14:paraId="2FFEC663" w14:textId="77777777" w:rsidR="00FB0A11" w:rsidRPr="00867C4C" w:rsidRDefault="00FB0A11" w:rsidP="00FB0A11">
      <w:pPr>
        <w:jc w:val="both"/>
        <w:rPr>
          <w:rFonts w:ascii="Times New Roman" w:hAnsi="Times New Roman" w:cs="Times New Roman"/>
        </w:rPr>
      </w:pPr>
    </w:p>
    <w:p w14:paraId="5C0D847A" w14:textId="77777777" w:rsidR="00FB0A11" w:rsidRPr="00867C4C" w:rsidRDefault="00FB0A11" w:rsidP="00FB0A11">
      <w:pPr>
        <w:jc w:val="both"/>
        <w:rPr>
          <w:rFonts w:ascii="Times New Roman" w:hAnsi="Times New Roman" w:cs="Times New Roman"/>
        </w:rPr>
      </w:pPr>
      <w:r w:rsidRPr="00867C4C">
        <w:rPr>
          <w:rFonts w:ascii="Times New Roman" w:hAnsi="Times New Roman" w:cs="Times New Roman"/>
        </w:rPr>
        <w:t xml:space="preserve">The current interpretation of ‘all investments’ makes sense in the context of PAI calculations when asking for a ‘share of investments in . . . </w:t>
      </w:r>
      <w:proofErr w:type="gramStart"/>
      <w:r w:rsidRPr="00867C4C">
        <w:rPr>
          <w:rFonts w:ascii="Times New Roman" w:hAnsi="Times New Roman" w:cs="Times New Roman"/>
        </w:rPr>
        <w:t>‘, but</w:t>
      </w:r>
      <w:proofErr w:type="gramEnd"/>
      <w:r w:rsidRPr="00867C4C">
        <w:rPr>
          <w:rFonts w:ascii="Times New Roman" w:hAnsi="Times New Roman" w:cs="Times New Roman"/>
        </w:rPr>
        <w:t xml:space="preserve"> is not appropriate for calculating weighted averages. With the current interpretation, adverse impact can be reduced year-on-year by shifting portfolios away from assets with data (either eligible assets for which no data is available or assets which are not eligible for the PAI indicators). </w:t>
      </w:r>
    </w:p>
    <w:p w14:paraId="0DA02539" w14:textId="77777777" w:rsidR="00FB0A11" w:rsidRPr="00867C4C" w:rsidRDefault="00FB0A11" w:rsidP="00FB0A11">
      <w:pPr>
        <w:jc w:val="both"/>
        <w:rPr>
          <w:rFonts w:ascii="Times New Roman" w:hAnsi="Times New Roman" w:cs="Times New Roman"/>
        </w:rPr>
      </w:pPr>
    </w:p>
    <w:p w14:paraId="070CBD69" w14:textId="72F03612" w:rsidR="009C41BB" w:rsidRDefault="00FB0A11" w:rsidP="00FB0A11">
      <w:pPr>
        <w:jc w:val="both"/>
      </w:pPr>
      <w:r w:rsidRPr="00867C4C">
        <w:rPr>
          <w:rFonts w:ascii="Times New Roman" w:hAnsi="Times New Roman" w:cs="Times New Roman"/>
        </w:rPr>
        <w:t>In either case, the numbers can only be fully understood in combination with the eligibility ratio (which share of the portfolio is eligible for the PAI calculation and proportion of the investments for which there is PAI data).</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824B69D" w:rsidR="009C41BB" w:rsidRDefault="009D27DC" w:rsidP="009C41BB">
      <w:permStart w:id="1426525783" w:edGrp="everyone"/>
      <w:r w:rsidRPr="00867C4C">
        <w:rPr>
          <w:rFonts w:ascii="Times New Roman" w:hAnsi="Times New Roman" w:cs="Times New Roman"/>
        </w:rPr>
        <w:t xml:space="preserve">We believe that FMPs would benefit from greater flexibility to avail of reasonable estimates to </w:t>
      </w:r>
      <w:r>
        <w:rPr>
          <w:rFonts w:ascii="Times New Roman" w:hAnsi="Times New Roman" w:cs="Times New Roman"/>
        </w:rPr>
        <w:t xml:space="preserve">address </w:t>
      </w:r>
      <w:r w:rsidRPr="00867C4C">
        <w:rPr>
          <w:rFonts w:ascii="Times New Roman" w:hAnsi="Times New Roman" w:cs="Times New Roman"/>
        </w:rPr>
        <w:t>gaps in corporate reporting. Such estimates may still be valuable to end investors in assessing the sustainability of investment products and need not rely on information reported by investee companies.</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lastRenderedPageBreak/>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23516344" w14:textId="77777777" w:rsidR="009D27DC" w:rsidRPr="008D29F5" w:rsidRDefault="009D27DC" w:rsidP="009D27DC">
      <w:pPr>
        <w:rPr>
          <w:rFonts w:ascii="Times New Roman" w:hAnsi="Times New Roman" w:cs="Times New Roman"/>
        </w:rPr>
      </w:pPr>
      <w:permStart w:id="791154279" w:edGrp="everyone"/>
      <w:r w:rsidRPr="008D29F5">
        <w:rPr>
          <w:rFonts w:ascii="Times New Roman" w:hAnsi="Times New Roman" w:cs="Times New Roman"/>
        </w:rPr>
        <w:t xml:space="preserve">We generally agree with the ESAs’ assessment of the DNSH framework under SFDR. </w:t>
      </w:r>
    </w:p>
    <w:p w14:paraId="0459EF90" w14:textId="77777777" w:rsidR="009D27DC" w:rsidRPr="008D29F5" w:rsidRDefault="009D27DC" w:rsidP="009D27DC">
      <w:pPr>
        <w:rPr>
          <w:rFonts w:ascii="Times New Roman" w:hAnsi="Times New Roman" w:cs="Times New Roman"/>
        </w:rPr>
      </w:pPr>
    </w:p>
    <w:p w14:paraId="09482236" w14:textId="77777777" w:rsidR="009D27DC" w:rsidRPr="008D29F5" w:rsidRDefault="009D27DC" w:rsidP="009D27DC">
      <w:pPr>
        <w:rPr>
          <w:rFonts w:ascii="Times New Roman" w:hAnsi="Times New Roman" w:cs="Times New Roman"/>
        </w:rPr>
      </w:pPr>
      <w:r w:rsidRPr="008D29F5">
        <w:rPr>
          <w:rFonts w:ascii="Times New Roman" w:hAnsi="Times New Roman" w:cs="Times New Roman"/>
        </w:rPr>
        <w:t xml:space="preserve">Overcoming the challenges associated with applying the SFDR DNSH will be crucial to enhancing the usability of the EU sustainable finance framework. As the ESAs have outlined, the SFDR DNSH is a key element in qualifying ‘sustainable investments’ under Article 2(17) and thus, in the absence of a clear framework to determine ‘significant harm’, the concept of ‘sustainable investment’ itself cannot be considered robust. </w:t>
      </w:r>
    </w:p>
    <w:p w14:paraId="2F551C41" w14:textId="77777777" w:rsidR="009D27DC" w:rsidRPr="008D29F5" w:rsidRDefault="009D27DC" w:rsidP="009D27DC">
      <w:pPr>
        <w:rPr>
          <w:rFonts w:ascii="Times New Roman" w:hAnsi="Times New Roman" w:cs="Times New Roman"/>
        </w:rPr>
      </w:pPr>
    </w:p>
    <w:p w14:paraId="6F29AAA6" w14:textId="77777777" w:rsidR="009D27DC" w:rsidRPr="008D29F5" w:rsidRDefault="009D27DC" w:rsidP="009D27DC">
      <w:pPr>
        <w:rPr>
          <w:rFonts w:ascii="Times New Roman" w:hAnsi="Times New Roman" w:cs="Times New Roman"/>
        </w:rPr>
      </w:pPr>
      <w:r w:rsidRPr="008D29F5">
        <w:rPr>
          <w:rFonts w:ascii="Times New Roman" w:hAnsi="Times New Roman" w:cs="Times New Roman"/>
        </w:rPr>
        <w:t xml:space="preserve">We share the ESAs’ view that solutions for fundamental issues in SFDR will only be delivered by a Level 1 review. Accordingly, we welcome the announcement by the European Commission that it would be undertaking a public consultation later this year to prepare such a review. </w:t>
      </w:r>
    </w:p>
    <w:p w14:paraId="2C84959F" w14:textId="77777777" w:rsidR="009D27DC" w:rsidRPr="008D29F5" w:rsidRDefault="009D27DC" w:rsidP="009D27DC">
      <w:pPr>
        <w:rPr>
          <w:rFonts w:ascii="Times New Roman" w:hAnsi="Times New Roman" w:cs="Times New Roman"/>
        </w:rPr>
      </w:pPr>
    </w:p>
    <w:p w14:paraId="756CBD37" w14:textId="77777777" w:rsidR="009D27DC" w:rsidRDefault="009D27DC" w:rsidP="009D27DC">
      <w:pPr>
        <w:rPr>
          <w:rFonts w:ascii="Times New Roman" w:hAnsi="Times New Roman" w:cs="Times New Roman"/>
        </w:rPr>
      </w:pPr>
      <w:r w:rsidRPr="008D29F5">
        <w:rPr>
          <w:rFonts w:ascii="Times New Roman" w:hAnsi="Times New Roman" w:cs="Times New Roman"/>
        </w:rPr>
        <w:t>While the current SFDR DNSH framework has its limitations, we believe that intervention by the ESAs at this juncture may create additional implementation hurdles for the market without adequately addressing the framework’s shortcomings.</w:t>
      </w:r>
      <w:r w:rsidRPr="003673B7">
        <w:rPr>
          <w:rFonts w:ascii="Times New Roman" w:hAnsi="Times New Roman" w:cs="Times New Roman"/>
        </w:rPr>
        <w:t xml:space="preserve"> </w:t>
      </w:r>
    </w:p>
    <w:p w14:paraId="67A3D99E" w14:textId="77777777" w:rsidR="009D27DC" w:rsidRDefault="009D27DC" w:rsidP="009D27DC">
      <w:pPr>
        <w:rPr>
          <w:rFonts w:ascii="Times New Roman" w:hAnsi="Times New Roman" w:cs="Times New Roman"/>
        </w:rPr>
      </w:pPr>
    </w:p>
    <w:p w14:paraId="7DDA6D60" w14:textId="4CF3A96B" w:rsidR="009C41BB" w:rsidRPr="009D27DC" w:rsidRDefault="009D27DC" w:rsidP="009C41BB">
      <w:pPr>
        <w:rPr>
          <w:rFonts w:ascii="Times New Roman" w:hAnsi="Times New Roman" w:cs="Times New Roman"/>
        </w:rPr>
      </w:pPr>
      <w:r>
        <w:rPr>
          <w:rFonts w:ascii="Times New Roman" w:hAnsi="Times New Roman" w:cs="Times New Roman"/>
        </w:rPr>
        <w:t>Accordingly, we believe that any changes introduced by the ESAs in the form of additional disclosures should be largely optional for FMPs.</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w:t>
      </w:r>
      <w:r>
        <w:lastRenderedPageBreak/>
        <w:t>thresholds FMPs use to take into account the PAI indicators for DNSH purposes mandatory? Please explain your reasoning.</w:t>
      </w:r>
    </w:p>
    <w:p w14:paraId="75983884" w14:textId="77777777" w:rsidR="009C41BB" w:rsidRDefault="009C41BB" w:rsidP="009C41BB">
      <w:r>
        <w:t>&lt;ESMA_QUESTION_SFDR_18&gt;</w:t>
      </w:r>
    </w:p>
    <w:p w14:paraId="63D2FF29" w14:textId="77777777" w:rsidR="009D27DC" w:rsidRPr="008D29F5" w:rsidRDefault="009D27DC" w:rsidP="009D27DC">
      <w:pPr>
        <w:rPr>
          <w:rFonts w:ascii="Times New Roman" w:hAnsi="Times New Roman" w:cs="Times New Roman"/>
        </w:rPr>
      </w:pPr>
      <w:permStart w:id="984368250" w:edGrp="everyone"/>
      <w:r w:rsidRPr="008D29F5">
        <w:rPr>
          <w:rFonts w:ascii="Times New Roman" w:hAnsi="Times New Roman" w:cs="Times New Roman"/>
        </w:rPr>
        <w:t xml:space="preserve">In view of the forthcoming review of SFDR, we do not believe it would be appropriate for the ESAs to make the disclosure of quantitative thresholds, linked to PAI indicators, (for the assessment of DNSH) mandatory at this juncture. </w:t>
      </w:r>
    </w:p>
    <w:p w14:paraId="3093A842" w14:textId="77777777" w:rsidR="009D27DC" w:rsidRPr="008D29F5" w:rsidRDefault="009D27DC" w:rsidP="009D27DC">
      <w:pPr>
        <w:rPr>
          <w:rFonts w:ascii="Times New Roman" w:hAnsi="Times New Roman" w:cs="Times New Roman"/>
        </w:rPr>
      </w:pPr>
    </w:p>
    <w:p w14:paraId="2BAAA6B9" w14:textId="77777777" w:rsidR="009D27DC" w:rsidRPr="008D29F5" w:rsidRDefault="009D27DC" w:rsidP="009D27DC">
      <w:pPr>
        <w:rPr>
          <w:rFonts w:ascii="Times New Roman" w:hAnsi="Times New Roman" w:cs="Times New Roman"/>
        </w:rPr>
      </w:pPr>
      <w:r w:rsidRPr="008D29F5">
        <w:rPr>
          <w:rFonts w:ascii="Times New Roman" w:hAnsi="Times New Roman" w:cs="Times New Roman"/>
        </w:rPr>
        <w:t xml:space="preserve">As outlined in the consultation paper, FMPs would ultimately still have discretion as to the PAI indicators they consider and </w:t>
      </w:r>
      <w:proofErr w:type="gramStart"/>
      <w:r w:rsidRPr="008D29F5">
        <w:rPr>
          <w:rFonts w:ascii="Times New Roman" w:hAnsi="Times New Roman" w:cs="Times New Roman"/>
        </w:rPr>
        <w:t>the  quantitative</w:t>
      </w:r>
      <w:proofErr w:type="gramEnd"/>
      <w:r w:rsidRPr="008D29F5">
        <w:rPr>
          <w:rFonts w:ascii="Times New Roman" w:hAnsi="Times New Roman" w:cs="Times New Roman"/>
        </w:rPr>
        <w:t xml:space="preserve"> thresholds they set for them. Moreover, in most instances, the thresholds introduced by FMPs are likely to be sector-agnostic and thus inadequate to reflect sectoral specificities. This may lead, inadvertently, to incoherences with the technical screening criteria (TSC) of the EU Taxonomy and undermine the usability or comprehensibility of the EU sustainable finance framework. </w:t>
      </w:r>
    </w:p>
    <w:p w14:paraId="4CCACA44" w14:textId="77777777" w:rsidR="009D27DC" w:rsidRPr="008D29F5" w:rsidRDefault="009D27DC" w:rsidP="009D27DC">
      <w:pPr>
        <w:rPr>
          <w:rFonts w:ascii="Times New Roman" w:hAnsi="Times New Roman" w:cs="Times New Roman"/>
        </w:rPr>
      </w:pPr>
    </w:p>
    <w:p w14:paraId="1ABE8259" w14:textId="77777777" w:rsidR="009D27DC" w:rsidRPr="008D29F5" w:rsidRDefault="009D27DC" w:rsidP="009D27DC">
      <w:pPr>
        <w:rPr>
          <w:rFonts w:ascii="Times New Roman" w:hAnsi="Times New Roman" w:cs="Times New Roman"/>
        </w:rPr>
      </w:pPr>
      <w:r w:rsidRPr="008D29F5">
        <w:rPr>
          <w:rFonts w:ascii="Times New Roman" w:hAnsi="Times New Roman" w:cs="Times New Roman"/>
        </w:rPr>
        <w:t xml:space="preserve">In addition, while mandating the disclosure of quantitative thresholds may provide greater insight into the approaches applied by FMPs in assessing DNSH, it would also create a superficial comparability between products that may </w:t>
      </w:r>
      <w:proofErr w:type="gramStart"/>
      <w:r w:rsidRPr="008D29F5">
        <w:rPr>
          <w:rFonts w:ascii="Times New Roman" w:hAnsi="Times New Roman" w:cs="Times New Roman"/>
        </w:rPr>
        <w:t>actually heighten</w:t>
      </w:r>
      <w:proofErr w:type="gramEnd"/>
      <w:r w:rsidRPr="008D29F5">
        <w:rPr>
          <w:rFonts w:ascii="Times New Roman" w:hAnsi="Times New Roman" w:cs="Times New Roman"/>
        </w:rPr>
        <w:t xml:space="preserve"> the risk of end-investors believing certain concepts in SFDR are being applied uniformly across the market.  </w:t>
      </w:r>
    </w:p>
    <w:p w14:paraId="199B5C89" w14:textId="77777777" w:rsidR="009D27DC" w:rsidRPr="008D29F5" w:rsidRDefault="009D27DC" w:rsidP="009D27DC">
      <w:pPr>
        <w:rPr>
          <w:rFonts w:ascii="Times New Roman" w:hAnsi="Times New Roman" w:cs="Times New Roman"/>
        </w:rPr>
      </w:pPr>
    </w:p>
    <w:p w14:paraId="6BBD22C7" w14:textId="3B3DBA82" w:rsidR="009C41BB" w:rsidRPr="009D27DC" w:rsidRDefault="009D27DC" w:rsidP="009C41BB">
      <w:pPr>
        <w:rPr>
          <w:rFonts w:ascii="Times New Roman" w:hAnsi="Times New Roman" w:cs="Times New Roman"/>
        </w:rPr>
      </w:pPr>
      <w:r w:rsidRPr="008D29F5">
        <w:rPr>
          <w:rFonts w:ascii="Times New Roman" w:hAnsi="Times New Roman" w:cs="Times New Roman"/>
        </w:rPr>
        <w:t>Ultimately, we believe that the ESAs should maintain the status quo and avoid the risk of further disruption as the market adapts to the new requirements pending the review of SFDR</w:t>
      </w:r>
      <w:r>
        <w:rPr>
          <w:rFonts w:ascii="Times New Roman" w:hAnsi="Times New Roman" w:cs="Times New Roman"/>
        </w:rPr>
        <w:t>.</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414E8AD5" w14:textId="77777777" w:rsidR="009D27DC" w:rsidRDefault="009D27DC" w:rsidP="009D27DC">
      <w:pPr>
        <w:rPr>
          <w:rFonts w:ascii="Times New Roman" w:hAnsi="Times New Roman" w:cs="Times New Roman"/>
        </w:rPr>
      </w:pPr>
      <w:permStart w:id="403253184" w:edGrp="everyone"/>
      <w:r>
        <w:rPr>
          <w:rFonts w:ascii="Times New Roman" w:hAnsi="Times New Roman" w:cs="Times New Roman"/>
        </w:rPr>
        <w:t xml:space="preserve">We believe that the ESAs should refrain from introducing an optional “safe harbour” for Taxonomy-aligned activities at this juncture. The definition of “sustainable investment” under SFDR is likely to be addressed in the forthcoming review of SFDR level 1 and we believe that such a fundamental question should be reserved for the European Commission and the co-legislators. </w:t>
      </w:r>
    </w:p>
    <w:p w14:paraId="7D30E6B1" w14:textId="77777777" w:rsidR="009D27DC" w:rsidRDefault="009D27DC" w:rsidP="009D27DC">
      <w:pPr>
        <w:rPr>
          <w:rFonts w:ascii="Times New Roman" w:hAnsi="Times New Roman" w:cs="Times New Roman"/>
        </w:rPr>
      </w:pPr>
    </w:p>
    <w:p w14:paraId="580F01EB" w14:textId="77777777" w:rsidR="009D27DC" w:rsidRDefault="009D27DC" w:rsidP="009D27DC">
      <w:pPr>
        <w:rPr>
          <w:rFonts w:ascii="Times New Roman" w:hAnsi="Times New Roman" w:cs="Times New Roman"/>
        </w:rPr>
      </w:pPr>
      <w:r>
        <w:rPr>
          <w:rFonts w:ascii="Times New Roman" w:hAnsi="Times New Roman" w:cs="Times New Roman"/>
        </w:rPr>
        <w:t>Furthermore, if introduced as an element of the current SFDR framework, we believe that an optional “safe harbour”, whereby Taxonomy-aligned investments would not be subject to an environmental DNSH assessment, would increase complexity and create further inconsistencies across the market.</w:t>
      </w:r>
    </w:p>
    <w:p w14:paraId="52C98AAF" w14:textId="77777777" w:rsidR="009D27DC" w:rsidRDefault="009D27DC" w:rsidP="009D27DC">
      <w:pPr>
        <w:rPr>
          <w:rFonts w:ascii="Times New Roman" w:hAnsi="Times New Roman" w:cs="Times New Roman"/>
        </w:rPr>
      </w:pPr>
    </w:p>
    <w:p w14:paraId="18DA2E26" w14:textId="77777777" w:rsidR="009D27DC" w:rsidRDefault="009D27DC" w:rsidP="009D27DC">
      <w:pPr>
        <w:rPr>
          <w:rFonts w:ascii="Times New Roman" w:hAnsi="Times New Roman" w:cs="Times New Roman"/>
        </w:rPr>
      </w:pPr>
      <w:r>
        <w:rPr>
          <w:rFonts w:ascii="Times New Roman" w:hAnsi="Times New Roman" w:cs="Times New Roman"/>
        </w:rPr>
        <w:t>We recognize that Taxonomy-aligned activities already satisfy rigorous, sector specific DNSH criteria in accordance with the Technical Screening Criteria (TSC). Accordingly, subjecting Taxonomy-aligned investments to another, potentially divergent environmental DNSH assessment under SFDR is duplicative and unnecessary. However, leaving the application of a “safe harbour” to the discretion of FMPs will result in divergent approaches being adopted across the market, rendering it less navigable for end-investors.</w:t>
      </w:r>
    </w:p>
    <w:p w14:paraId="052921BA" w14:textId="77777777" w:rsidR="009D27DC" w:rsidRDefault="009D27DC" w:rsidP="009D27DC">
      <w:pPr>
        <w:rPr>
          <w:rFonts w:ascii="Times New Roman" w:hAnsi="Times New Roman" w:cs="Times New Roman"/>
        </w:rPr>
      </w:pPr>
    </w:p>
    <w:p w14:paraId="15FF9FB5" w14:textId="77777777" w:rsidR="009D27DC" w:rsidRDefault="009D27DC" w:rsidP="009D27DC">
      <w:pPr>
        <w:rPr>
          <w:rFonts w:ascii="Times New Roman" w:hAnsi="Times New Roman" w:cs="Times New Roman"/>
        </w:rPr>
      </w:pPr>
      <w:r>
        <w:rPr>
          <w:rFonts w:ascii="Times New Roman" w:hAnsi="Times New Roman" w:cs="Times New Roman"/>
        </w:rPr>
        <w:t>Moreover, the proportion of Taxonomy-aligned investments in a portfolio should be reflected in the Green Asset Ratio (GAR). According to our understanding of existing requirements, the GAR would not be reduced in cases where divergent environmental DNSH criteria under SFDR were applied to Taxonomy-aligned investments.</w:t>
      </w:r>
    </w:p>
    <w:p w14:paraId="0A9EB301" w14:textId="77777777" w:rsidR="009D27DC" w:rsidRDefault="009D27DC" w:rsidP="009D27DC">
      <w:pPr>
        <w:rPr>
          <w:rFonts w:ascii="Times New Roman" w:hAnsi="Times New Roman" w:cs="Times New Roman"/>
        </w:rPr>
      </w:pPr>
    </w:p>
    <w:p w14:paraId="0545F573" w14:textId="77777777" w:rsidR="009D27DC" w:rsidRDefault="009D27DC" w:rsidP="009D27DC">
      <w:pPr>
        <w:rPr>
          <w:rFonts w:ascii="Times New Roman" w:hAnsi="Times New Roman" w:cs="Times New Roman"/>
        </w:rPr>
      </w:pPr>
      <w:proofErr w:type="gramStart"/>
      <w:r>
        <w:rPr>
          <w:rFonts w:ascii="Times New Roman" w:hAnsi="Times New Roman" w:cs="Times New Roman"/>
        </w:rPr>
        <w:t>The ”safe</w:t>
      </w:r>
      <w:proofErr w:type="gramEnd"/>
      <w:r>
        <w:rPr>
          <w:rFonts w:ascii="Times New Roman" w:hAnsi="Times New Roman" w:cs="Times New Roman"/>
        </w:rPr>
        <w:t xml:space="preserve"> harbour” would thus appear more relevant in cases where Taxonomy-aligned investments were to be treated as a subcategory of “sustainable investments” within the meaning of Article 2(17). In such instances, the “safe harbour” would avoid divergences between the environmental DNSH in SFDR and the TSC resulting in Taxonomy-aligned investments being disqualified as “sustainable investments”. </w:t>
      </w:r>
    </w:p>
    <w:p w14:paraId="67E5E636" w14:textId="77777777" w:rsidR="009D27DC" w:rsidRDefault="009D27DC" w:rsidP="009D27DC">
      <w:pPr>
        <w:rPr>
          <w:rFonts w:ascii="Times New Roman" w:hAnsi="Times New Roman" w:cs="Times New Roman"/>
        </w:rPr>
      </w:pPr>
    </w:p>
    <w:p w14:paraId="79BD909D" w14:textId="77777777" w:rsidR="009D27DC" w:rsidRDefault="009D27DC" w:rsidP="009D27DC">
      <w:pPr>
        <w:rPr>
          <w:rFonts w:ascii="Times New Roman" w:hAnsi="Times New Roman" w:cs="Times New Roman"/>
        </w:rPr>
      </w:pPr>
      <w:r>
        <w:rPr>
          <w:rFonts w:ascii="Times New Roman" w:hAnsi="Times New Roman" w:cs="Times New Roman"/>
        </w:rPr>
        <w:t xml:space="preserve">However, for practical reasons, the “safe harbour” would not fully address potential inconsistencies between how the environmental DNSH is applied by the Taxonomy and SFDR for the purposes of qualifying “sustainable investments”. This is primarily </w:t>
      </w:r>
      <w:proofErr w:type="gramStart"/>
      <w:r>
        <w:rPr>
          <w:rFonts w:ascii="Times New Roman" w:hAnsi="Times New Roman" w:cs="Times New Roman"/>
        </w:rPr>
        <w:t>due to the fact that</w:t>
      </w:r>
      <w:proofErr w:type="gramEnd"/>
      <w:r>
        <w:rPr>
          <w:rFonts w:ascii="Times New Roman" w:hAnsi="Times New Roman" w:cs="Times New Roman"/>
        </w:rPr>
        <w:t xml:space="preserve">, while the Taxonomy carries out an assessment at the level of economic activities, qualifying ‘sustainable investments’ typically involves assessing an entity in its entirety. As a result, while the “safe harbour” may prevent Taxonomy-aligned investments from being disqualified as “sustainable investments” it will not prevent other activities carried out by the same entity from being subject to the environmental DNSH under SFDR and potentially disqualified as a ‘sustainable investment’ on that basis (despite the entity also carrying out Taxonomy-aligned activities). </w:t>
      </w:r>
    </w:p>
    <w:p w14:paraId="7861BF8F" w14:textId="77777777" w:rsidR="009D27DC" w:rsidRDefault="009D27DC" w:rsidP="009D27DC">
      <w:pPr>
        <w:rPr>
          <w:rFonts w:ascii="Times New Roman" w:hAnsi="Times New Roman" w:cs="Times New Roman"/>
        </w:rPr>
      </w:pPr>
    </w:p>
    <w:p w14:paraId="58FEB9C6" w14:textId="77777777" w:rsidR="009D27DC" w:rsidRDefault="009D27DC" w:rsidP="009D27DC">
      <w:pPr>
        <w:rPr>
          <w:rFonts w:ascii="Times New Roman" w:hAnsi="Times New Roman" w:cs="Times New Roman"/>
        </w:rPr>
      </w:pPr>
      <w:r>
        <w:rPr>
          <w:rFonts w:ascii="Times New Roman" w:hAnsi="Times New Roman" w:cs="Times New Roman"/>
        </w:rPr>
        <w:t>We would also like to highlight that, in a recent FAQ document published on 13</w:t>
      </w:r>
      <w:r w:rsidRPr="00F777DC">
        <w:rPr>
          <w:rFonts w:ascii="Times New Roman" w:hAnsi="Times New Roman" w:cs="Times New Roman"/>
          <w:vertAlign w:val="superscript"/>
        </w:rPr>
        <w:t>th</w:t>
      </w:r>
      <w:r>
        <w:rPr>
          <w:rFonts w:ascii="Times New Roman" w:hAnsi="Times New Roman" w:cs="Times New Roman"/>
        </w:rPr>
        <w:t xml:space="preserve"> June 2023, the European Commission stated that exposures to Taxonomy-aligned investments could be considered as ‘sustainable investments’ within the meaning of Article 2(17). The Commission specifies that the social elements of the DNSH principle under SFDR </w:t>
      </w:r>
      <w:proofErr w:type="gramStart"/>
      <w:r w:rsidRPr="00012253">
        <w:rPr>
          <w:rFonts w:ascii="Times New Roman" w:hAnsi="Times New Roman" w:cs="Times New Roman"/>
          <w:u w:val="single"/>
        </w:rPr>
        <w:t>are considered to be</w:t>
      </w:r>
      <w:proofErr w:type="gramEnd"/>
      <w:r w:rsidRPr="00012253">
        <w:rPr>
          <w:rFonts w:ascii="Times New Roman" w:hAnsi="Times New Roman" w:cs="Times New Roman"/>
          <w:u w:val="single"/>
        </w:rPr>
        <w:t xml:space="preserve"> adhered to at entity level</w:t>
      </w:r>
      <w:r>
        <w:rPr>
          <w:rFonts w:ascii="Times New Roman" w:hAnsi="Times New Roman" w:cs="Times New Roman"/>
        </w:rPr>
        <w:t xml:space="preserve"> for an undertaking that discloses activities as “environmentally sustainable” under the EU Taxonomy. In effect, the European Commission has clarified that satisfying Article 18(1) of the Taxonomy Regulation on Minimum Safeguards automatically qualifies an exposure as a ‘sustainable investment’ pursuant to Article 2(17). </w:t>
      </w:r>
    </w:p>
    <w:p w14:paraId="3F29BF44" w14:textId="77777777" w:rsidR="009D27DC" w:rsidRDefault="009D27DC" w:rsidP="009D27DC">
      <w:pPr>
        <w:rPr>
          <w:rFonts w:ascii="Times New Roman" w:hAnsi="Times New Roman" w:cs="Times New Roman"/>
        </w:rPr>
      </w:pPr>
    </w:p>
    <w:p w14:paraId="78C93EB3" w14:textId="77F27402" w:rsidR="009C41BB" w:rsidRPr="009D27DC" w:rsidRDefault="009D27DC" w:rsidP="009C41BB">
      <w:pPr>
        <w:rPr>
          <w:rFonts w:ascii="Times New Roman" w:hAnsi="Times New Roman" w:cs="Times New Roman"/>
        </w:rPr>
      </w:pPr>
      <w:r>
        <w:rPr>
          <w:rFonts w:ascii="Times New Roman" w:hAnsi="Times New Roman" w:cs="Times New Roman"/>
        </w:rPr>
        <w:lastRenderedPageBreak/>
        <w:t>The European Commission’s clarifications as to the interaction between Taxonomy-aligned activities and ‘sustainable investments’ appear to create a form of “safe harbour” insofar as SFDR DNSH is satisfied with respect to social and governance matters at entity level by any entity with Taxonomy-aligned activities. However, the FAQ does not state that other activities carried out by an entity would not be subject to environmental DNSH under SFDR.</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w:t>
      </w:r>
      <w:r>
        <w:lastRenderedPageBreak/>
        <w:t xml:space="preserve">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0AF1645" w:rsidR="009C41BB" w:rsidRDefault="009D27DC" w:rsidP="009C41BB">
      <w:permStart w:id="762907966" w:edGrp="everyone"/>
      <w:r>
        <w:rPr>
          <w:rFonts w:ascii="Times New Roman" w:hAnsi="Times New Roman" w:cs="Times New Roman"/>
        </w:rPr>
        <w:t>We believe that a hyperlink to benchmark disclosures for Article 9(3) products would be sufficient to achieve the goal of ensuring transparency. We believe that additional, specific disclosures being applied to Article 9(3) products would be duplicative and may risk confusing end-investors.</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4371A5AF" w14:textId="68A59909" w:rsidR="009D27DC" w:rsidRDefault="009D27DC" w:rsidP="009D27DC">
      <w:pPr>
        <w:rPr>
          <w:rFonts w:ascii="Times New Roman" w:hAnsi="Times New Roman" w:cs="Times New Roman"/>
        </w:rPr>
      </w:pPr>
      <w:permStart w:id="1536640680" w:edGrp="everyone"/>
      <w:r>
        <w:rPr>
          <w:rFonts w:ascii="Times New Roman" w:hAnsi="Times New Roman" w:cs="Times New Roman"/>
        </w:rPr>
        <w:t xml:space="preserve">We believe that the ESAs have identified </w:t>
      </w:r>
      <w:r w:rsidR="00FE5DE2">
        <w:rPr>
          <w:rFonts w:ascii="Times New Roman" w:hAnsi="Times New Roman" w:cs="Times New Roman"/>
        </w:rPr>
        <w:t>a</w:t>
      </w:r>
      <w:r>
        <w:rPr>
          <w:rFonts w:ascii="Times New Roman" w:hAnsi="Times New Roman" w:cs="Times New Roman"/>
        </w:rPr>
        <w:t xml:space="preserve"> key difference in the approaches applied by FMPs at product-level to achieve carbon emission reductions. The distinction is </w:t>
      </w:r>
      <w:proofErr w:type="gramStart"/>
      <w:r>
        <w:rPr>
          <w:rFonts w:ascii="Times New Roman" w:hAnsi="Times New Roman" w:cs="Times New Roman"/>
        </w:rPr>
        <w:t>important</w:t>
      </w:r>
      <w:proofErr w:type="gramEnd"/>
      <w:r>
        <w:rPr>
          <w:rFonts w:ascii="Times New Roman" w:hAnsi="Times New Roman" w:cs="Times New Roman"/>
        </w:rPr>
        <w:t xml:space="preserve"> and end-investors should be duly informed of the approaches available to FMPs and the extent to which they pursue them. However, the disclosures should not be designed in such a way that FMPs </w:t>
      </w:r>
      <w:proofErr w:type="gramStart"/>
      <w:r>
        <w:rPr>
          <w:rFonts w:ascii="Times New Roman" w:hAnsi="Times New Roman" w:cs="Times New Roman"/>
        </w:rPr>
        <w:t>have to</w:t>
      </w:r>
      <w:proofErr w:type="gramEnd"/>
      <w:r>
        <w:rPr>
          <w:rFonts w:ascii="Times New Roman" w:hAnsi="Times New Roman" w:cs="Times New Roman"/>
        </w:rPr>
        <w:t xml:space="preserve"> commit to rigidly adhere to one of these strategies.</w:t>
      </w:r>
    </w:p>
    <w:p w14:paraId="79EDFA72" w14:textId="77777777" w:rsidR="009D27DC" w:rsidRDefault="009D27DC" w:rsidP="009D27DC">
      <w:pPr>
        <w:rPr>
          <w:rFonts w:ascii="Times New Roman" w:hAnsi="Times New Roman" w:cs="Times New Roman"/>
        </w:rPr>
      </w:pPr>
    </w:p>
    <w:p w14:paraId="39ADD961" w14:textId="77777777" w:rsidR="009D27DC" w:rsidRDefault="009D27DC" w:rsidP="009D27DC">
      <w:pPr>
        <w:rPr>
          <w:rFonts w:ascii="Times New Roman" w:hAnsi="Times New Roman" w:cs="Times New Roman"/>
        </w:rPr>
      </w:pPr>
      <w:r>
        <w:rPr>
          <w:rFonts w:ascii="Times New Roman" w:hAnsi="Times New Roman" w:cs="Times New Roman"/>
        </w:rPr>
        <w:t xml:space="preserve">Financial markets are highly dynamic in nature and the rigid distinction between the two approaches identified by the ESAs is rarely reflected in the market. </w:t>
      </w:r>
    </w:p>
    <w:p w14:paraId="5D7942B7" w14:textId="77777777" w:rsidR="009D27DC" w:rsidRDefault="009D27DC" w:rsidP="009D27DC">
      <w:pPr>
        <w:rPr>
          <w:rFonts w:ascii="Times New Roman" w:hAnsi="Times New Roman" w:cs="Times New Roman"/>
        </w:rPr>
      </w:pPr>
    </w:p>
    <w:p w14:paraId="10015694" w14:textId="3EAE865C" w:rsidR="009D27DC" w:rsidRDefault="009D27DC" w:rsidP="009D27DC">
      <w:pPr>
        <w:rPr>
          <w:rFonts w:ascii="Times New Roman" w:hAnsi="Times New Roman" w:cs="Times New Roman"/>
        </w:rPr>
      </w:pPr>
      <w:r>
        <w:rPr>
          <w:rFonts w:ascii="Times New Roman" w:hAnsi="Times New Roman" w:cs="Times New Roman"/>
        </w:rPr>
        <w:t xml:space="preserve">For instance, FMPs may have committed to engage in stewardship and actively encourage investee companies to reduce their carbon emissions. However, FMPs </w:t>
      </w:r>
      <w:r w:rsidR="005529D7">
        <w:rPr>
          <w:rFonts w:ascii="Times New Roman" w:hAnsi="Times New Roman" w:cs="Times New Roman"/>
        </w:rPr>
        <w:t>may also</w:t>
      </w:r>
      <w:r>
        <w:rPr>
          <w:rFonts w:ascii="Times New Roman" w:hAnsi="Times New Roman" w:cs="Times New Roman"/>
        </w:rPr>
        <w:t xml:space="preserve"> envisage divesting from investee companies that are unresponsive to their engagement efforts. In such instances, the financed emissions of the portfolio may fluctuate or be reduced through rebalancing that occurs due to divestments.</w:t>
      </w:r>
    </w:p>
    <w:p w14:paraId="1E63150E" w14:textId="77777777" w:rsidR="009D27DC" w:rsidRDefault="009D27DC" w:rsidP="009D27DC">
      <w:pPr>
        <w:rPr>
          <w:rFonts w:ascii="Times New Roman" w:hAnsi="Times New Roman" w:cs="Times New Roman"/>
        </w:rPr>
      </w:pPr>
    </w:p>
    <w:p w14:paraId="2C9CFD87" w14:textId="48654280" w:rsidR="009C41BB" w:rsidRPr="009D27DC" w:rsidRDefault="009D27DC" w:rsidP="009C41BB">
      <w:pPr>
        <w:rPr>
          <w:rFonts w:ascii="Times New Roman" w:hAnsi="Times New Roman" w:cs="Times New Roman"/>
        </w:rPr>
      </w:pPr>
      <w:r>
        <w:rPr>
          <w:rFonts w:ascii="Times New Roman" w:hAnsi="Times New Roman" w:cs="Times New Roman"/>
        </w:rPr>
        <w:t>Accordingly, FMPs should be given flexibility as to the approach(es) and any additional disclosures should merely require FMPs to explain, in simple terms, how the portfolio has achieved emission reductions, whether said reductions are attributable to portfolio rebalancing or the due to reductions made by the underlying investee companies.</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lastRenderedPageBreak/>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lastRenderedPageBreak/>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D256710" w14:textId="77777777" w:rsidR="009D27DC" w:rsidRPr="008D29F5" w:rsidRDefault="009D27DC" w:rsidP="009D27DC">
      <w:pPr>
        <w:jc w:val="both"/>
        <w:rPr>
          <w:rFonts w:ascii="Times New Roman" w:hAnsi="Times New Roman" w:cs="Times New Roman"/>
        </w:rPr>
      </w:pPr>
      <w:permStart w:id="1338527016" w:edGrp="everyone"/>
      <w:r w:rsidRPr="008D29F5">
        <w:rPr>
          <w:rFonts w:ascii="Times New Roman" w:hAnsi="Times New Roman" w:cs="Times New Roman"/>
        </w:rPr>
        <w:lastRenderedPageBreak/>
        <w:t>We welcome the recognition that FMPs need to complement reported data with estimates if the Taxonomy is to serve as a meaningful assessment and steering tool. Permitting the use of estimates of Taxonomy-alignment also allows for a wider investment universe to be considered by FMPs by accounting for SMEs and non-EU companies.</w:t>
      </w:r>
    </w:p>
    <w:p w14:paraId="1EEFC1A8" w14:textId="77777777" w:rsidR="009D27DC" w:rsidRPr="008D29F5" w:rsidRDefault="009D27DC" w:rsidP="009D27DC">
      <w:pPr>
        <w:jc w:val="both"/>
        <w:rPr>
          <w:rFonts w:ascii="Times New Roman" w:hAnsi="Times New Roman" w:cs="Times New Roman"/>
        </w:rPr>
      </w:pPr>
    </w:p>
    <w:p w14:paraId="7F375438" w14:textId="0BB8FE9B" w:rsidR="009C41BB" w:rsidRPr="009D27DC" w:rsidRDefault="009D27DC" w:rsidP="009D27DC">
      <w:pPr>
        <w:jc w:val="both"/>
        <w:rPr>
          <w:rFonts w:ascii="Times New Roman" w:hAnsi="Times New Roman" w:cs="Times New Roman"/>
        </w:rPr>
      </w:pPr>
      <w:r w:rsidRPr="008D29F5">
        <w:rPr>
          <w:rFonts w:ascii="Times New Roman" w:hAnsi="Times New Roman" w:cs="Times New Roman"/>
        </w:rPr>
        <w:t>With respect to the criteria proposed by the ESAs, we would like to emphasize that it should be possible for estimates to be based on proxy information related to the activity-specific criteria and not dependent on reporting on key environmental metrics by companies.</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A96C2AB" w14:textId="77777777" w:rsidR="009D27DC" w:rsidRPr="008D29F5" w:rsidRDefault="009D27DC" w:rsidP="009D27DC">
      <w:pPr>
        <w:jc w:val="both"/>
        <w:rPr>
          <w:rFonts w:ascii="Times New Roman" w:hAnsi="Times New Roman" w:cs="Times New Roman"/>
        </w:rPr>
      </w:pPr>
      <w:permStart w:id="1880105875" w:edGrp="everyone"/>
      <w:r w:rsidRPr="008D29F5">
        <w:rPr>
          <w:rFonts w:ascii="Times New Roman" w:hAnsi="Times New Roman" w:cs="Times New Roman"/>
        </w:rPr>
        <w:t xml:space="preserve">The market would benefit from greater clarity as to how the proportion of sustainable investments of financial products should be calculated. In addition, end-investors would benefit from greater consistency in the approaches applied by FMPs across the market. </w:t>
      </w:r>
    </w:p>
    <w:p w14:paraId="54B6D64A" w14:textId="77777777" w:rsidR="009D27DC" w:rsidRPr="008D29F5" w:rsidRDefault="009D27DC" w:rsidP="009D27DC">
      <w:pPr>
        <w:jc w:val="both"/>
        <w:rPr>
          <w:rFonts w:ascii="Times New Roman" w:hAnsi="Times New Roman" w:cs="Times New Roman"/>
        </w:rPr>
      </w:pPr>
    </w:p>
    <w:p w14:paraId="0547A942" w14:textId="77777777" w:rsidR="009D27DC" w:rsidRPr="008D29F5" w:rsidRDefault="009D27DC" w:rsidP="009D27DC">
      <w:pPr>
        <w:jc w:val="both"/>
        <w:rPr>
          <w:rFonts w:ascii="Times New Roman" w:hAnsi="Times New Roman" w:cs="Times New Roman"/>
        </w:rPr>
      </w:pPr>
      <w:r w:rsidRPr="008D29F5">
        <w:rPr>
          <w:rFonts w:ascii="Times New Roman" w:hAnsi="Times New Roman" w:cs="Times New Roman"/>
        </w:rPr>
        <w:t xml:space="preserve">As mentioned earlier, it is a widespread market practice for FMPs to assess ‘sustainable investment’ at entity level, taking into consideration the entirety of an investee company’s operations and activities. This approach is appropriate in cases where the FMP holds general equity or debt in their portfolio. </w:t>
      </w:r>
    </w:p>
    <w:p w14:paraId="2934EA52" w14:textId="77777777" w:rsidR="009D27DC" w:rsidRPr="008D29F5" w:rsidRDefault="009D27DC" w:rsidP="009D27DC">
      <w:pPr>
        <w:jc w:val="both"/>
        <w:rPr>
          <w:rFonts w:ascii="Times New Roman" w:hAnsi="Times New Roman" w:cs="Times New Roman"/>
        </w:rPr>
      </w:pPr>
    </w:p>
    <w:p w14:paraId="6E0E1F1B" w14:textId="77777777" w:rsidR="009D27DC" w:rsidRPr="008D29F5" w:rsidRDefault="009D27DC" w:rsidP="009D27DC">
      <w:pPr>
        <w:jc w:val="both"/>
        <w:rPr>
          <w:rFonts w:ascii="Times New Roman" w:hAnsi="Times New Roman" w:cs="Times New Roman"/>
        </w:rPr>
      </w:pPr>
      <w:r w:rsidRPr="008D29F5">
        <w:rPr>
          <w:rFonts w:ascii="Times New Roman" w:hAnsi="Times New Roman" w:cs="Times New Roman"/>
        </w:rPr>
        <w:t>However, it also results in the entire value of an equity or debt holding in a company being counted as a ‘sustainable investment’, regardless of how the three qualifying criteria (contribution, DNSH &amp; good governance practices) have been applied.</w:t>
      </w:r>
    </w:p>
    <w:p w14:paraId="2ECC4E6A" w14:textId="77777777" w:rsidR="009D27DC" w:rsidRPr="008D29F5" w:rsidRDefault="009D27DC" w:rsidP="009D27DC">
      <w:pPr>
        <w:jc w:val="both"/>
        <w:rPr>
          <w:rFonts w:ascii="Times New Roman" w:hAnsi="Times New Roman" w:cs="Times New Roman"/>
        </w:rPr>
      </w:pPr>
    </w:p>
    <w:p w14:paraId="6EE8F8DE" w14:textId="77777777" w:rsidR="009D27DC" w:rsidRPr="008D29F5" w:rsidRDefault="009D27DC" w:rsidP="009D27DC">
      <w:pPr>
        <w:jc w:val="both"/>
        <w:rPr>
          <w:rFonts w:ascii="Times New Roman" w:hAnsi="Times New Roman" w:cs="Times New Roman"/>
        </w:rPr>
      </w:pPr>
      <w:r w:rsidRPr="008D29F5">
        <w:rPr>
          <w:rFonts w:ascii="Times New Roman" w:hAnsi="Times New Roman" w:cs="Times New Roman"/>
        </w:rPr>
        <w:lastRenderedPageBreak/>
        <w:t xml:space="preserve">By contrast to the entity-level approach, the activity-level approach typically results in a certain proportion of a holding qualifying as a ‘sustainable investment’ as opposed to the holding in its entirety. Logically, this typically leads to the portfolio having a lower share of ‘sustainable </w:t>
      </w:r>
      <w:proofErr w:type="gramStart"/>
      <w:r w:rsidRPr="008D29F5">
        <w:rPr>
          <w:rFonts w:ascii="Times New Roman" w:hAnsi="Times New Roman" w:cs="Times New Roman"/>
        </w:rPr>
        <w:t>investments’</w:t>
      </w:r>
      <w:proofErr w:type="gramEnd"/>
      <w:r w:rsidRPr="008D29F5">
        <w:rPr>
          <w:rFonts w:ascii="Times New Roman" w:hAnsi="Times New Roman" w:cs="Times New Roman"/>
        </w:rPr>
        <w:t xml:space="preserve">. </w:t>
      </w:r>
    </w:p>
    <w:p w14:paraId="7AA05DF9" w14:textId="77777777" w:rsidR="009D27DC" w:rsidRPr="008D29F5" w:rsidRDefault="009D27DC" w:rsidP="009D27DC">
      <w:pPr>
        <w:jc w:val="both"/>
        <w:rPr>
          <w:rFonts w:ascii="Times New Roman" w:hAnsi="Times New Roman" w:cs="Times New Roman"/>
        </w:rPr>
      </w:pPr>
    </w:p>
    <w:p w14:paraId="75420713" w14:textId="77777777" w:rsidR="009D27DC" w:rsidRPr="008D29F5" w:rsidRDefault="009D27DC" w:rsidP="009D27DC">
      <w:pPr>
        <w:jc w:val="both"/>
        <w:rPr>
          <w:rFonts w:ascii="Times New Roman" w:hAnsi="Times New Roman" w:cs="Times New Roman"/>
        </w:rPr>
      </w:pPr>
      <w:r w:rsidRPr="008D29F5">
        <w:rPr>
          <w:rFonts w:ascii="Times New Roman" w:hAnsi="Times New Roman" w:cs="Times New Roman"/>
        </w:rPr>
        <w:t>The entity-level approach has recently been validated in the European Commission’s response to the ESAs’ queries of 9</w:t>
      </w:r>
      <w:r w:rsidRPr="008D29F5">
        <w:rPr>
          <w:rFonts w:ascii="Times New Roman" w:hAnsi="Times New Roman" w:cs="Times New Roman"/>
          <w:vertAlign w:val="superscript"/>
        </w:rPr>
        <w:t>th</w:t>
      </w:r>
      <w:r w:rsidRPr="008D29F5">
        <w:rPr>
          <w:rFonts w:ascii="Times New Roman" w:hAnsi="Times New Roman" w:cs="Times New Roman"/>
        </w:rPr>
        <w:t xml:space="preserve"> September 2022. As per the answer to the first of the ESAs’ questions; “. . . </w:t>
      </w:r>
      <w:r w:rsidRPr="008D29F5">
        <w:rPr>
          <w:rFonts w:ascii="Times New Roman" w:hAnsi="Times New Roman" w:cs="Times New Roman"/>
          <w:i/>
          <w:iCs/>
        </w:rPr>
        <w:t>the notion of sustainable investments’ can therefore also be measured at the level of a company and not only at the level of a specified activity</w:t>
      </w:r>
      <w:r w:rsidRPr="008D29F5">
        <w:rPr>
          <w:rFonts w:ascii="Times New Roman" w:hAnsi="Times New Roman" w:cs="Times New Roman"/>
        </w:rPr>
        <w:t xml:space="preserve">”. The European Commission has thus indicated that both the entity-level approach and an activity-level approach are permissible. </w:t>
      </w:r>
    </w:p>
    <w:p w14:paraId="01165A38" w14:textId="77777777" w:rsidR="009D27DC" w:rsidRPr="008D29F5" w:rsidRDefault="009D27DC" w:rsidP="009D27DC">
      <w:pPr>
        <w:jc w:val="both"/>
        <w:rPr>
          <w:rFonts w:ascii="Times New Roman" w:hAnsi="Times New Roman" w:cs="Times New Roman"/>
        </w:rPr>
      </w:pPr>
    </w:p>
    <w:p w14:paraId="518FC2A0" w14:textId="77777777" w:rsidR="009D27DC" w:rsidRPr="008D29F5" w:rsidRDefault="009D27DC" w:rsidP="009D27DC">
      <w:pPr>
        <w:jc w:val="both"/>
        <w:rPr>
          <w:rFonts w:ascii="Times New Roman" w:hAnsi="Times New Roman" w:cs="Times New Roman"/>
        </w:rPr>
      </w:pPr>
      <w:r w:rsidRPr="008D29F5">
        <w:rPr>
          <w:rFonts w:ascii="Times New Roman" w:hAnsi="Times New Roman" w:cs="Times New Roman"/>
        </w:rPr>
        <w:t>Nevertheless, according to Article 2(17), a sustainable investment is “</w:t>
      </w:r>
      <w:r w:rsidRPr="008D29F5">
        <w:rPr>
          <w:rFonts w:ascii="Times New Roman" w:hAnsi="Times New Roman" w:cs="Times New Roman"/>
          <w:i/>
          <w:iCs/>
        </w:rPr>
        <w:t xml:space="preserve">an investment in an economic activity that contributes to an environmental objective, . . . </w:t>
      </w:r>
      <w:proofErr w:type="gramStart"/>
      <w:r w:rsidRPr="008D29F5">
        <w:rPr>
          <w:rFonts w:ascii="Times New Roman" w:hAnsi="Times New Roman" w:cs="Times New Roman"/>
          <w:i/>
          <w:iCs/>
        </w:rPr>
        <w:t>or .</w:t>
      </w:r>
      <w:proofErr w:type="gramEnd"/>
      <w:r w:rsidRPr="008D29F5">
        <w:rPr>
          <w:rFonts w:ascii="Times New Roman" w:hAnsi="Times New Roman" w:cs="Times New Roman"/>
          <w:i/>
          <w:iCs/>
        </w:rPr>
        <w:t xml:space="preserve"> . a social objective</w:t>
      </w:r>
      <w:r w:rsidRPr="008D29F5">
        <w:rPr>
          <w:rFonts w:ascii="Times New Roman" w:hAnsi="Times New Roman" w:cs="Times New Roman"/>
        </w:rPr>
        <w:t xml:space="preserve">” provided </w:t>
      </w:r>
      <w:r w:rsidRPr="008D29F5">
        <w:rPr>
          <w:rFonts w:ascii="Times New Roman" w:hAnsi="Times New Roman" w:cs="Times New Roman"/>
          <w:u w:val="single"/>
        </w:rPr>
        <w:t>those activities</w:t>
      </w:r>
      <w:r w:rsidRPr="008D29F5">
        <w:rPr>
          <w:rFonts w:ascii="Times New Roman" w:hAnsi="Times New Roman" w:cs="Times New Roman"/>
        </w:rPr>
        <w:t xml:space="preserve"> avoid significant harm and the investment is in investee companies that follow ‘</w:t>
      </w:r>
      <w:r w:rsidRPr="008D29F5">
        <w:rPr>
          <w:rFonts w:ascii="Times New Roman" w:hAnsi="Times New Roman" w:cs="Times New Roman"/>
          <w:i/>
          <w:iCs/>
        </w:rPr>
        <w:t xml:space="preserve">good governance </w:t>
      </w:r>
      <w:proofErr w:type="gramStart"/>
      <w:r w:rsidRPr="008D29F5">
        <w:rPr>
          <w:rFonts w:ascii="Times New Roman" w:hAnsi="Times New Roman" w:cs="Times New Roman"/>
          <w:i/>
          <w:iCs/>
        </w:rPr>
        <w:t>practices</w:t>
      </w:r>
      <w:r w:rsidRPr="008D29F5">
        <w:rPr>
          <w:rFonts w:ascii="Times New Roman" w:hAnsi="Times New Roman" w:cs="Times New Roman"/>
        </w:rPr>
        <w:t>’</w:t>
      </w:r>
      <w:proofErr w:type="gramEnd"/>
      <w:r w:rsidRPr="008D29F5">
        <w:rPr>
          <w:rFonts w:ascii="Times New Roman" w:hAnsi="Times New Roman" w:cs="Times New Roman"/>
        </w:rPr>
        <w:t>.</w:t>
      </w:r>
    </w:p>
    <w:p w14:paraId="132A5B61" w14:textId="77777777" w:rsidR="009D27DC" w:rsidRPr="008D29F5" w:rsidRDefault="009D27DC" w:rsidP="009D27DC">
      <w:pPr>
        <w:jc w:val="both"/>
        <w:rPr>
          <w:rFonts w:ascii="Times New Roman" w:hAnsi="Times New Roman" w:cs="Times New Roman"/>
        </w:rPr>
      </w:pPr>
    </w:p>
    <w:p w14:paraId="5B0062B7" w14:textId="77777777" w:rsidR="009D27DC" w:rsidRPr="008D29F5" w:rsidRDefault="009D27DC" w:rsidP="009D27DC">
      <w:pPr>
        <w:jc w:val="both"/>
        <w:rPr>
          <w:rFonts w:ascii="Times New Roman" w:hAnsi="Times New Roman" w:cs="Times New Roman"/>
        </w:rPr>
      </w:pPr>
      <w:r w:rsidRPr="008D29F5">
        <w:rPr>
          <w:rFonts w:ascii="Times New Roman" w:hAnsi="Times New Roman" w:cs="Times New Roman"/>
        </w:rPr>
        <w:t>Two of these criteria appear to apply at the level of economic activities; (</w:t>
      </w:r>
      <w:proofErr w:type="spellStart"/>
      <w:r w:rsidRPr="008D29F5">
        <w:rPr>
          <w:rFonts w:ascii="Times New Roman" w:hAnsi="Times New Roman" w:cs="Times New Roman"/>
        </w:rPr>
        <w:t>i</w:t>
      </w:r>
      <w:proofErr w:type="spellEnd"/>
      <w:r w:rsidRPr="008D29F5">
        <w:rPr>
          <w:rFonts w:ascii="Times New Roman" w:hAnsi="Times New Roman" w:cs="Times New Roman"/>
        </w:rPr>
        <w:t xml:space="preserve">) the need for an activity to contribute to a sustainability objective and, (ii) do no significant harm to others. The third and final criteria, that investee companies follow good governance practices’, appears to apply at the entity level, to investee </w:t>
      </w:r>
      <w:proofErr w:type="gramStart"/>
      <w:r w:rsidRPr="008D29F5">
        <w:rPr>
          <w:rFonts w:ascii="Times New Roman" w:hAnsi="Times New Roman" w:cs="Times New Roman"/>
        </w:rPr>
        <w:t>companies as a whole</w:t>
      </w:r>
      <w:proofErr w:type="gramEnd"/>
      <w:r w:rsidRPr="008D29F5">
        <w:rPr>
          <w:rFonts w:ascii="Times New Roman" w:hAnsi="Times New Roman" w:cs="Times New Roman"/>
        </w:rPr>
        <w:t xml:space="preserve">. </w:t>
      </w:r>
    </w:p>
    <w:p w14:paraId="38D7F573" w14:textId="77777777" w:rsidR="009D27DC" w:rsidRPr="008D29F5" w:rsidRDefault="009D27DC" w:rsidP="009D27DC">
      <w:pPr>
        <w:jc w:val="both"/>
        <w:rPr>
          <w:rFonts w:ascii="Times New Roman" w:hAnsi="Times New Roman" w:cs="Times New Roman"/>
        </w:rPr>
      </w:pPr>
    </w:p>
    <w:p w14:paraId="4FF016FE" w14:textId="77777777" w:rsidR="009D27DC" w:rsidRPr="008D29F5" w:rsidRDefault="009D27DC" w:rsidP="009D27DC">
      <w:pPr>
        <w:jc w:val="both"/>
        <w:rPr>
          <w:rFonts w:ascii="Times New Roman" w:hAnsi="Times New Roman" w:cs="Times New Roman"/>
        </w:rPr>
      </w:pPr>
      <w:r w:rsidRPr="008D29F5">
        <w:rPr>
          <w:rFonts w:ascii="Times New Roman" w:hAnsi="Times New Roman" w:cs="Times New Roman"/>
        </w:rPr>
        <w:t xml:space="preserve">Accordingly, the ESAs could consider whether it is necessary to clarify how the three qualifying criteria should apply in the context of the entity-level approach. For instance, the </w:t>
      </w:r>
      <w:proofErr w:type="gramStart"/>
      <w:r w:rsidRPr="008D29F5">
        <w:rPr>
          <w:rFonts w:ascii="Times New Roman" w:hAnsi="Times New Roman" w:cs="Times New Roman"/>
        </w:rPr>
        <w:t>ESAs’</w:t>
      </w:r>
      <w:proofErr w:type="gramEnd"/>
      <w:r w:rsidRPr="008D29F5">
        <w:rPr>
          <w:rFonts w:ascii="Times New Roman" w:hAnsi="Times New Roman" w:cs="Times New Roman"/>
        </w:rPr>
        <w:t xml:space="preserve"> could consider whether a threshold linked to activities contributing to a sustainability objective should be introduced. Under this approach, for example, if a company derived 15% or 20% of its revenues from activities contributing to a sustainability objective then the entirety of the holding in that company could qualify as a ‘sustainable investment’ provided none of its activities caused significant harm and the company followed good governance practices. </w:t>
      </w:r>
    </w:p>
    <w:p w14:paraId="48AEDC6C" w14:textId="77777777" w:rsidR="009D27DC" w:rsidRPr="008D29F5" w:rsidRDefault="009D27DC" w:rsidP="009D27DC">
      <w:pPr>
        <w:jc w:val="both"/>
        <w:rPr>
          <w:rFonts w:ascii="Times New Roman" w:hAnsi="Times New Roman" w:cs="Times New Roman"/>
        </w:rPr>
      </w:pPr>
    </w:p>
    <w:p w14:paraId="774B0661" w14:textId="77777777" w:rsidR="009D27DC" w:rsidRPr="008D29F5" w:rsidRDefault="009D27DC" w:rsidP="009D27DC">
      <w:pPr>
        <w:jc w:val="both"/>
        <w:rPr>
          <w:rFonts w:ascii="Times New Roman" w:hAnsi="Times New Roman" w:cs="Times New Roman"/>
        </w:rPr>
      </w:pPr>
      <w:r w:rsidRPr="008D29F5">
        <w:rPr>
          <w:rFonts w:ascii="Times New Roman" w:hAnsi="Times New Roman" w:cs="Times New Roman"/>
        </w:rPr>
        <w:t xml:space="preserve">Alternatively, it should be clarified whether “sustainable investments” should be calculated at the level of activities. However, we would highlight that if the assessment of sustainability is carried out at the level of economic activities, then only individual activities that </w:t>
      </w:r>
      <w:proofErr w:type="gramStart"/>
      <w:r w:rsidRPr="008D29F5">
        <w:rPr>
          <w:rFonts w:ascii="Times New Roman" w:hAnsi="Times New Roman" w:cs="Times New Roman"/>
        </w:rPr>
        <w:t>make a contribution</w:t>
      </w:r>
      <w:proofErr w:type="gramEnd"/>
      <w:r w:rsidRPr="008D29F5">
        <w:rPr>
          <w:rFonts w:ascii="Times New Roman" w:hAnsi="Times New Roman" w:cs="Times New Roman"/>
        </w:rPr>
        <w:t xml:space="preserve"> to sustainability objectives and avoid significant harm would be counted. This approach may result in, for example, fossil fuel companies with significant operations in renewables, being eligible for inclusion in the calculation of ‘sustainable </w:t>
      </w:r>
      <w:proofErr w:type="gramStart"/>
      <w:r w:rsidRPr="008D29F5">
        <w:rPr>
          <w:rFonts w:ascii="Times New Roman" w:hAnsi="Times New Roman" w:cs="Times New Roman"/>
        </w:rPr>
        <w:t>investments’</w:t>
      </w:r>
      <w:proofErr w:type="gramEnd"/>
      <w:r w:rsidRPr="008D29F5">
        <w:rPr>
          <w:rFonts w:ascii="Times New Roman" w:hAnsi="Times New Roman" w:cs="Times New Roman"/>
        </w:rPr>
        <w:t xml:space="preserve">. </w:t>
      </w:r>
    </w:p>
    <w:p w14:paraId="1440ADB4" w14:textId="77777777" w:rsidR="009D27DC" w:rsidRPr="008D29F5" w:rsidRDefault="009D27DC" w:rsidP="009D27DC">
      <w:pPr>
        <w:jc w:val="both"/>
        <w:rPr>
          <w:rFonts w:ascii="Times New Roman" w:hAnsi="Times New Roman" w:cs="Times New Roman"/>
        </w:rPr>
      </w:pPr>
    </w:p>
    <w:p w14:paraId="068B78BA" w14:textId="74D7CD2E" w:rsidR="009C41BB" w:rsidRPr="009D27DC" w:rsidRDefault="009D27DC" w:rsidP="009D27DC">
      <w:pPr>
        <w:jc w:val="both"/>
        <w:rPr>
          <w:rFonts w:ascii="Times New Roman" w:hAnsi="Times New Roman" w:cs="Times New Roman"/>
        </w:rPr>
      </w:pPr>
      <w:r w:rsidRPr="008D29F5">
        <w:rPr>
          <w:rFonts w:ascii="Times New Roman" w:hAnsi="Times New Roman" w:cs="Times New Roman"/>
        </w:rPr>
        <w:t>The ESA should carefully consider which of these approaches adheres to the spirit of Art. 2(17) and how the SFDR framework could be reformed in future to ensure greater consistency across the market when it comes to calculating ‘sustainable investment’.</w:t>
      </w:r>
    </w:p>
    <w:permEnd w:id="1880105875"/>
    <w:p w14:paraId="2FA3340A" w14:textId="77777777" w:rsidR="009C41BB" w:rsidRDefault="009C41BB" w:rsidP="009C41BB">
      <w:r>
        <w:lastRenderedPageBreak/>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lastRenderedPageBreak/>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5"/>
      <w:headerReference w:type="default" r:id="rId16"/>
      <w:footerReference w:type="even" r:id="rId17"/>
      <w:footerReference w:type="default" r:id="rId18"/>
      <w:headerReference w:type="first" r:id="rId19"/>
      <w:footerReference w:type="first" r:id="rId20"/>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CB8F" w14:textId="77777777" w:rsidR="00B13659" w:rsidRDefault="00B13659" w:rsidP="00707738">
      <w:pPr>
        <w:spacing w:after="0" w:line="240" w:lineRule="auto"/>
      </w:pPr>
      <w:r>
        <w:separator/>
      </w:r>
    </w:p>
  </w:endnote>
  <w:endnote w:type="continuationSeparator" w:id="0">
    <w:p w14:paraId="4000F767" w14:textId="77777777" w:rsidR="00B13659" w:rsidRDefault="00B13659" w:rsidP="00707738">
      <w:pPr>
        <w:spacing w:after="0" w:line="240" w:lineRule="auto"/>
      </w:pPr>
      <w:r>
        <w:continuationSeparator/>
      </w:r>
    </w:p>
  </w:endnote>
  <w:endnote w:type="continuationNotice" w:id="1">
    <w:p w14:paraId="67B4C51F" w14:textId="77777777" w:rsidR="00B13659" w:rsidRDefault="00B13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2161" w14:textId="77777777" w:rsidR="00B13659" w:rsidRDefault="00B13659" w:rsidP="00707738">
      <w:pPr>
        <w:spacing w:after="0" w:line="240" w:lineRule="auto"/>
      </w:pPr>
      <w:r>
        <w:separator/>
      </w:r>
    </w:p>
  </w:footnote>
  <w:footnote w:type="continuationSeparator" w:id="0">
    <w:p w14:paraId="0D16DD8B" w14:textId="77777777" w:rsidR="00B13659" w:rsidRDefault="00B13659" w:rsidP="00707738">
      <w:pPr>
        <w:spacing w:after="0" w:line="240" w:lineRule="auto"/>
      </w:pPr>
      <w:r>
        <w:continuationSeparator/>
      </w:r>
    </w:p>
  </w:footnote>
  <w:footnote w:type="continuationNotice" w:id="1">
    <w:p w14:paraId="7ACEBA67" w14:textId="77777777" w:rsidR="00B13659" w:rsidRDefault="00B13659">
      <w:pPr>
        <w:spacing w:after="0" w:line="240" w:lineRule="auto"/>
      </w:pPr>
    </w:p>
  </w:footnote>
  <w:footnote w:id="2">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8240"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714390DC" id="Group 2" o:spid="_x0000_s1026" style="position:absolute;margin-left:0;margin-top:-.05pt;width:424.85pt;height:51.75pt;z-index:251658240;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174"/>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290"/>
    <w:rsid w:val="000D081D"/>
    <w:rsid w:val="000D274A"/>
    <w:rsid w:val="000D5DA1"/>
    <w:rsid w:val="000D6A95"/>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0AE5"/>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0982"/>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032B"/>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2F4E"/>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29D7"/>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3B"/>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2D75"/>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230CB"/>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C6060"/>
    <w:rsid w:val="009D27DC"/>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4CC"/>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627CD"/>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3659"/>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88F"/>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0104"/>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1ECA"/>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0A11"/>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5DE2"/>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07E2D4C8-1639-4891-B4EA-ADDF3445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80BB37D6D61C44B523CFBEFA6252FE" ma:contentTypeVersion="6" ma:contentTypeDescription="Create a new document." ma:contentTypeScope="" ma:versionID="fe4fc606418996f7e4986e93e6749dee">
  <xsd:schema xmlns:xsd="http://www.w3.org/2001/XMLSchema" xmlns:xs="http://www.w3.org/2001/XMLSchema" xmlns:p="http://schemas.microsoft.com/office/2006/metadata/properties" xmlns:ns2="5d8f03b5-fa5f-426d-b289-5f314cd7781d" xmlns:ns3="5c2fc2c5-8ed7-442c-94bf-c7d493f772a8" targetNamespace="http://schemas.microsoft.com/office/2006/metadata/properties" ma:root="true" ma:fieldsID="a9e804a30da11e67fd1c7e31853c36dc" ns2:_="" ns3:_="">
    <xsd:import namespace="5d8f03b5-fa5f-426d-b289-5f314cd7781d"/>
    <xsd:import namespace="5c2fc2c5-8ed7-442c-94bf-c7d493f772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f03b5-fa5f-426d-b289-5f314cd77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fc2c5-8ed7-442c-94bf-c7d493f77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2.xml><?xml version="1.0" encoding="utf-8"?>
<ds:datastoreItem xmlns:ds="http://schemas.openxmlformats.org/officeDocument/2006/customXml" ds:itemID="{39ABFE73-9AC1-4A25-97E2-33D03F738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f03b5-fa5f-426d-b289-5f314cd7781d"/>
    <ds:schemaRef ds:uri="5c2fc2c5-8ed7-442c-94bf-c7d493f77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0</TotalTime>
  <Pages>22</Pages>
  <Words>5577</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37292</CharactersWithSpaces>
  <SharedDoc>false</SharedDoc>
  <HLinks>
    <vt:vector size="24" baseType="variant">
      <vt:variant>
        <vt:i4>7864440</vt:i4>
      </vt:variant>
      <vt:variant>
        <vt:i4>9</vt:i4>
      </vt:variant>
      <vt:variant>
        <vt:i4>0</vt:i4>
      </vt:variant>
      <vt:variant>
        <vt:i4>5</vt:i4>
      </vt:variant>
      <vt:variant>
        <vt:lpwstr>https://www.esma.europa.eu/legal-notice</vt:lpwstr>
      </vt:variant>
      <vt:variant>
        <vt:lpwstr/>
      </vt:variant>
      <vt:variant>
        <vt:i4>4849729</vt:i4>
      </vt:variant>
      <vt:variant>
        <vt:i4>6</vt:i4>
      </vt:variant>
      <vt:variant>
        <vt:i4>0</vt:i4>
      </vt:variant>
      <vt:variant>
        <vt:i4>5</vt:i4>
      </vt:variant>
      <vt:variant>
        <vt:lpwstr>https://eiopa.europa.eu/Pages/Links/Legal-notice.aspx</vt:lpwstr>
      </vt:variant>
      <vt:variant>
        <vt:lpwstr/>
      </vt:variant>
      <vt:variant>
        <vt:i4>851970</vt:i4>
      </vt:variant>
      <vt:variant>
        <vt:i4>3</vt:i4>
      </vt:variant>
      <vt:variant>
        <vt:i4>0</vt:i4>
      </vt:variant>
      <vt:variant>
        <vt:i4>5</vt:i4>
      </vt:variant>
      <vt:variant>
        <vt:lpwstr>http://www.eba.europa.eu/legal-notice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Hugo Gallagher</cp:lastModifiedBy>
  <cp:revision>2</cp:revision>
  <cp:lastPrinted>2022-02-14T16:26:00Z</cp:lastPrinted>
  <dcterms:created xsi:type="dcterms:W3CDTF">2023-07-04T14:01:00Z</dcterms:created>
  <dcterms:modified xsi:type="dcterms:W3CDTF">2023-07-04T14:01:00Z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0x0101000E80BB37D6D61C44B523CFBEFA6252FE</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