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7693E271" w14:textId="092BAA34" w:rsidR="009C41BB" w:rsidRPr="005418F4" w:rsidRDefault="00DE282A" w:rsidP="009C41BB">
      <w:pPr>
        <w:spacing w:after="250"/>
        <w:jc w:val="both"/>
        <w:rPr>
          <w:rFonts w:ascii="Arial" w:eastAsiaTheme="majorEastAsia" w:hAnsi="Arial" w:cs="Arial"/>
          <w:b/>
          <w:bCs/>
          <w:color w:val="00379F"/>
          <w:sz w:val="56"/>
          <w:szCs w:val="56"/>
        </w:rPr>
      </w:pPr>
      <w:r>
        <w:rPr>
          <w:rFonts w:ascii="Arial" w:eastAsiaTheme="majorEastAsia" w:hAnsi="Arial" w:cs="Arial"/>
          <w:b/>
          <w:bCs/>
          <w:color w:val="00379F"/>
          <w:sz w:val="56"/>
          <w:szCs w:val="56"/>
        </w:rPr>
        <w:t>EPRA Response</w:t>
      </w:r>
    </w:p>
    <w:p w14:paraId="2262F8EC" w14:textId="77777777" w:rsidR="009C41BB"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7C96B84E" w14:textId="77777777" w:rsidR="00C74006" w:rsidRDefault="00C74006" w:rsidP="009C41BB">
      <w:pPr>
        <w:jc w:val="both"/>
        <w:rPr>
          <w:rFonts w:ascii="Arial" w:hAnsi="Arial" w:cs="Arial"/>
          <w:b/>
          <w:bCs/>
          <w:sz w:val="28"/>
          <w:szCs w:val="28"/>
          <w:lang w:val="en-US"/>
        </w:rPr>
      </w:pPr>
    </w:p>
    <w:p w14:paraId="17E00412" w14:textId="77777777" w:rsidR="00C74006" w:rsidRPr="001978D9" w:rsidRDefault="00C74006" w:rsidP="00C74006">
      <w:pPr>
        <w:spacing w:after="160" w:line="259" w:lineRule="auto"/>
        <w:jc w:val="both"/>
        <w:rPr>
          <w:rFonts w:ascii="Overpass" w:eastAsia="Calibri" w:hAnsi="Overpass"/>
          <w:color w:val="12497F"/>
        </w:rPr>
      </w:pPr>
      <w:r w:rsidRPr="001978D9">
        <w:rPr>
          <w:rFonts w:ascii="Overpass" w:eastAsia="Calibri" w:hAnsi="Overpass"/>
          <w:color w:val="12497F"/>
        </w:rPr>
        <w:t>EPRA*, representing listed real estate in Europe, welcomes the opportunity to provide feedback on</w:t>
      </w:r>
      <w:r>
        <w:rPr>
          <w:rFonts w:ascii="Overpass" w:eastAsia="Calibri" w:hAnsi="Overpass"/>
          <w:color w:val="12497F"/>
        </w:rPr>
        <w:t xml:space="preserve"> ESAs’ Joint</w:t>
      </w:r>
      <w:r w:rsidRPr="001978D9">
        <w:rPr>
          <w:rFonts w:ascii="Overpass" w:eastAsia="Calibri" w:hAnsi="Overpass"/>
          <w:color w:val="12497F"/>
        </w:rPr>
        <w:t xml:space="preserve"> Consultation on </w:t>
      </w:r>
      <w:r>
        <w:rPr>
          <w:rFonts w:ascii="Overpass" w:eastAsia="Calibri" w:hAnsi="Overpass"/>
          <w:color w:val="12497F"/>
        </w:rPr>
        <w:t xml:space="preserve">Review of SFDR Delegated Regulation regarding PAI and financial product disclosure. </w:t>
      </w:r>
      <w:r w:rsidRPr="001978D9">
        <w:rPr>
          <w:rFonts w:ascii="Overpass" w:eastAsia="Calibri" w:hAnsi="Overpass"/>
          <w:color w:val="12497F"/>
        </w:rPr>
        <w:t xml:space="preserve">EPRA’s feedback is focused on the listed real estate sector due to the Association’s sector specific knowledge and experience. </w:t>
      </w:r>
    </w:p>
    <w:p w14:paraId="0808D453" w14:textId="77777777" w:rsidR="00C74006" w:rsidRPr="00302C25" w:rsidRDefault="00C74006" w:rsidP="00C74006">
      <w:pPr>
        <w:spacing w:after="160" w:line="259" w:lineRule="auto"/>
        <w:jc w:val="both"/>
        <w:rPr>
          <w:rFonts w:ascii="Overpass" w:eastAsia="Calibri" w:hAnsi="Overpass"/>
          <w:color w:val="12497F"/>
        </w:rPr>
      </w:pPr>
      <w:r w:rsidRPr="001978D9">
        <w:rPr>
          <w:rFonts w:ascii="Overpass" w:eastAsia="Calibri" w:hAnsi="Overpass"/>
          <w:color w:val="12497F"/>
        </w:rPr>
        <w:t xml:space="preserve">The European Public Real Estate Association (EPRA) represents a broad spectrum of the European listed real estate industry, ranging from the major listed property investment companies (i.e. companies that own, develop and trade investment property), to investors and property professionals. </w:t>
      </w:r>
      <w:r w:rsidRPr="00302C25">
        <w:rPr>
          <w:rFonts w:ascii="Overpass" w:eastAsia="Calibri" w:hAnsi="Overpass"/>
          <w:color w:val="12497F"/>
        </w:rPr>
        <w:t xml:space="preserve">When reviewing the SFDR application to listed real estate, we liaise with our member investment community </w:t>
      </w:r>
      <w:r>
        <w:rPr>
          <w:rFonts w:ascii="Overpass" w:eastAsia="Calibri" w:hAnsi="Overpass"/>
          <w:color w:val="12497F"/>
        </w:rPr>
        <w:t>as part of the EPRA SFDR working group</w:t>
      </w:r>
      <w:r w:rsidRPr="00302C25">
        <w:rPr>
          <w:rFonts w:ascii="Overpass" w:eastAsia="Calibri" w:hAnsi="Overpass"/>
          <w:color w:val="12497F"/>
        </w:rPr>
        <w:t xml:space="preserve">. </w:t>
      </w:r>
    </w:p>
    <w:p w14:paraId="55C626F4" w14:textId="77777777" w:rsidR="00C74006" w:rsidRDefault="00C74006" w:rsidP="00C74006">
      <w:pPr>
        <w:spacing w:after="160" w:line="256" w:lineRule="auto"/>
        <w:rPr>
          <w:rFonts w:ascii="Calibri" w:eastAsia="Calibri" w:hAnsi="Calibri"/>
        </w:rPr>
      </w:pPr>
      <w:r w:rsidRPr="00F13B6F">
        <w:rPr>
          <w:rFonts w:ascii="Overpass" w:eastAsia="Calibri" w:hAnsi="Overpass"/>
          <w:color w:val="12497F"/>
        </w:rPr>
        <w:t>We remain available to discuss this further at your convenience. Please contact Jana Bour, EPRA ESG Policy &amp; Advocacy Manager, at</w:t>
      </w:r>
      <w:r>
        <w:rPr>
          <w:rFonts w:ascii="Calibri" w:eastAsia="Calibri" w:hAnsi="Calibri"/>
        </w:rPr>
        <w:t xml:space="preserve"> </w:t>
      </w:r>
      <w:hyperlink r:id="rId12" w:history="1">
        <w:r w:rsidRPr="00FA57F3">
          <w:rPr>
            <w:rStyle w:val="Hyperlink"/>
            <w:rFonts w:ascii="Calibri" w:eastAsia="Calibri" w:hAnsi="Calibri"/>
          </w:rPr>
          <w:t>j.bour@epra.com</w:t>
        </w:r>
      </w:hyperlink>
      <w:r>
        <w:rPr>
          <w:rFonts w:ascii="Overpass" w:eastAsia="Calibri" w:hAnsi="Overpass"/>
          <w:color w:val="12497F"/>
        </w:rPr>
        <w:t xml:space="preserve"> or at </w:t>
      </w:r>
      <w:hyperlink r:id="rId13" w:history="1">
        <w:r w:rsidRPr="00302C25">
          <w:rPr>
            <w:rStyle w:val="Hyperlink"/>
            <w:rFonts w:ascii="Calibri" w:eastAsia="Calibri" w:hAnsi="Calibri"/>
          </w:rPr>
          <w:t>publicaffairs@epra.com</w:t>
        </w:r>
      </w:hyperlink>
      <w:r>
        <w:rPr>
          <w:rFonts w:ascii="Overpass" w:eastAsia="Calibri" w:hAnsi="Overpass"/>
          <w:color w:val="12497F"/>
        </w:rPr>
        <w:t xml:space="preserve">. </w:t>
      </w:r>
      <w:r>
        <w:rPr>
          <w:rFonts w:ascii="Calibri" w:eastAsia="Calibri" w:hAnsi="Calibri"/>
        </w:rPr>
        <w:t xml:space="preserve"> </w:t>
      </w:r>
    </w:p>
    <w:p w14:paraId="2DD13E53" w14:textId="77777777" w:rsidR="00C74006" w:rsidRPr="001978D9" w:rsidRDefault="00C74006" w:rsidP="00C74006">
      <w:pPr>
        <w:spacing w:after="160" w:line="259" w:lineRule="auto"/>
        <w:jc w:val="both"/>
        <w:rPr>
          <w:rFonts w:ascii="Overpass" w:eastAsia="Calibri" w:hAnsi="Overpass"/>
          <w:color w:val="12497F"/>
        </w:rPr>
      </w:pPr>
      <w:r w:rsidRPr="001978D9">
        <w:rPr>
          <w:rFonts w:ascii="Overpass" w:eastAsia="Calibri" w:hAnsi="Overpass"/>
          <w:color w:val="12497F"/>
        </w:rPr>
        <w:t>EU Transparency Register no. 09307393718-06</w:t>
      </w: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123714">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Content>
            <w:tc>
              <w:tcPr>
                <w:tcW w:w="5595" w:type="dxa"/>
                <w:shd w:val="clear" w:color="auto" w:fill="auto"/>
                <w:vAlign w:val="center"/>
              </w:tcPr>
              <w:p w14:paraId="2D662032" w14:textId="572122F5" w:rsidR="005418F4" w:rsidRPr="005418F4" w:rsidRDefault="00DE282A" w:rsidP="005418F4">
                <w:pPr>
                  <w:spacing w:after="250"/>
                  <w:rPr>
                    <w:rFonts w:ascii="Arial" w:eastAsiaTheme="minorEastAsia" w:hAnsi="Arial" w:cs="Arial"/>
                    <w:color w:val="808080"/>
                    <w:szCs w:val="20"/>
                  </w:rPr>
                </w:pPr>
                <w:r>
                  <w:rPr>
                    <w:rFonts w:ascii="Arial" w:eastAsiaTheme="minorEastAsia" w:hAnsi="Arial" w:cs="Arial"/>
                    <w:color w:val="808080"/>
                    <w:szCs w:val="20"/>
                  </w:rPr>
                  <w:t>EPRA – European Public Real Estate Association</w:t>
                </w:r>
              </w:p>
            </w:tc>
          </w:sdtContent>
        </w:sdt>
      </w:tr>
      <w:tr w:rsidR="005418F4" w:rsidRPr="005418F4" w14:paraId="1994CDD1" w14:textId="77777777" w:rsidTr="00123714">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68626726" w:rsidR="005418F4" w:rsidRPr="005418F4" w:rsidRDefault="00000000"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E282A">
                  <w:rPr>
                    <w:rFonts w:ascii="Arial" w:eastAsiaTheme="minorEastAsia" w:hAnsi="Arial" w:cs="Arial"/>
                    <w:color w:val="1A1A1A" w:themeColor="background1" w:themeShade="1A"/>
                    <w:szCs w:val="20"/>
                  </w:rPr>
                  <w:t>Investment Services</w:t>
                </w:r>
              </w:sdtContent>
            </w:sdt>
          </w:p>
        </w:tc>
      </w:tr>
      <w:tr w:rsidR="005418F4" w:rsidRPr="005418F4" w14:paraId="6D2BB9B6" w14:textId="77777777" w:rsidTr="00123714">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1"/>
              <w14:checkedState w14:val="2612" w14:font="MS Gothic"/>
              <w14:uncheckedState w14:val="2610" w14:font="MS Gothic"/>
            </w14:checkbox>
          </w:sdtPr>
          <w:sdtContent>
            <w:tc>
              <w:tcPr>
                <w:tcW w:w="5595" w:type="dxa"/>
                <w:shd w:val="clear" w:color="auto" w:fill="auto"/>
                <w:vAlign w:val="center"/>
              </w:tcPr>
              <w:p w14:paraId="67C0DEAE" w14:textId="632E4442" w:rsidR="005418F4" w:rsidRPr="005418F4" w:rsidRDefault="00DE282A" w:rsidP="005418F4">
                <w:pPr>
                  <w:spacing w:after="250"/>
                  <w:rPr>
                    <w:rFonts w:ascii="Arial" w:eastAsiaTheme="minorEastAsia" w:hAnsi="Arial" w:cs="Arial"/>
                    <w:color w:val="1A1A1A" w:themeColor="background1" w:themeShade="1A"/>
                    <w:szCs w:val="20"/>
                  </w:rPr>
                </w:pPr>
                <w:r>
                  <w:rPr>
                    <w:rFonts w:ascii="MS Gothic" w:eastAsia="MS Gothic" w:hAnsi="MS Gothic" w:cs="Arial" w:hint="eastAsia"/>
                    <w:color w:val="1A1A1A" w:themeColor="background1" w:themeShade="1A"/>
                    <w:szCs w:val="20"/>
                  </w:rPr>
                  <w:t>☒</w:t>
                </w:r>
              </w:p>
            </w:tc>
          </w:sdtContent>
        </w:sdt>
      </w:tr>
      <w:tr w:rsidR="005418F4" w:rsidRPr="005418F4" w14:paraId="7877AB38" w14:textId="77777777" w:rsidTr="00123714">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763C0ACF" w14:textId="4A625DE9" w:rsidR="005418F4" w:rsidRPr="005418F4" w:rsidRDefault="00DE282A"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Belgium</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9C41BB">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77777777" w:rsidR="009C41BB" w:rsidRDefault="009C41BB" w:rsidP="009C41BB">
      <w:r>
        <w:t>&lt;ESMA_QUESTION_SFDR_1&gt;</w:t>
      </w:r>
      <w:permStart w:id="5929778" w:edGrp="everyone"/>
      <w:permEnd w:id="5929778"/>
    </w:p>
    <w:p w14:paraId="5FA3203A" w14:textId="1325B4B4" w:rsidR="00C74006" w:rsidRDefault="00C74006" w:rsidP="00C74006">
      <w:pPr>
        <w:rPr>
          <w:lang w:val="en-US"/>
        </w:rPr>
      </w:pPr>
      <w:permStart w:id="1348034591" w:edGrp="everyone"/>
      <w:r>
        <w:rPr>
          <w:lang w:val="en-US"/>
        </w:rPr>
        <w:t>We propose to limit such disclosures to the extent to which the information are available from the investee companies themselves</w:t>
      </w:r>
      <w:r w:rsidR="00634763">
        <w:rPr>
          <w:lang w:val="en-US"/>
        </w:rPr>
        <w:t xml:space="preserve"> and to the level the information are applicable to relevant jurisdictions. For example, </w:t>
      </w:r>
      <w:r>
        <w:rPr>
          <w:lang w:val="en-US"/>
        </w:rPr>
        <w:t xml:space="preserve"> </w:t>
      </w:r>
      <w:r w:rsidR="00634763">
        <w:rPr>
          <w:lang w:val="en-US"/>
        </w:rPr>
        <w:t xml:space="preserve">as for listed real estate outside Europe, we would consider the indicator regarding the interference with the formation of trade unions or election worker representatives as non-applicable. Similarly, the first indicator is not applicable to some jurisdictions outside Europe. </w:t>
      </w:r>
    </w:p>
    <w:p w14:paraId="78B50BD3" w14:textId="478FAEB7" w:rsidR="00634763" w:rsidRDefault="00C74006" w:rsidP="00C74006">
      <w:pPr>
        <w:rPr>
          <w:lang w:val="en-US"/>
        </w:rPr>
      </w:pPr>
      <w:r>
        <w:rPr>
          <w:lang w:val="en-US"/>
        </w:rPr>
        <w:t xml:space="preserve">In addition, it will be worthwhile to clarify whether employees refer to ‘directly employed workers’ or ‘employees working on-site’ (e.g. for real estate development). </w:t>
      </w:r>
      <w:r w:rsidR="00634763">
        <w:rPr>
          <w:lang w:val="en-US"/>
        </w:rPr>
        <w:t xml:space="preserve">Note that some building certification standards clearly define employees as all workers working onsite. </w:t>
      </w:r>
    </w:p>
    <w:permEnd w:id="1348034591"/>
    <w:p w14:paraId="48EE2711" w14:textId="5FA2CD97" w:rsidR="009C41BB" w:rsidRDefault="009C41BB" w:rsidP="009C41BB">
      <w:r>
        <w:t>&lt;ESMA_QUESTION_SFDR_1&gt;</w:t>
      </w:r>
    </w:p>
    <w:p w14:paraId="735D870C" w14:textId="77777777" w:rsidR="009C41BB" w:rsidRDefault="009C41BB" w:rsidP="009C41BB"/>
    <w:p w14:paraId="6612C953" w14:textId="77777777" w:rsidR="009C41BB" w:rsidRDefault="009C41BB" w:rsidP="009C41BB">
      <w:pPr>
        <w:pStyle w:val="Questionstyle"/>
        <w:numPr>
          <w:ilvl w:val="0"/>
          <w:numId w:val="42"/>
        </w:numPr>
      </w:pPr>
      <w:bookmarkStart w:id="1" w:name="_Hlk131609829"/>
      <w:r>
        <w:t>: Would you recommend any other mandatory social indicator or adjust any of the ones proposed?</w:t>
      </w:r>
    </w:p>
    <w:bookmarkEnd w:id="1"/>
    <w:p w14:paraId="79C259A1" w14:textId="77777777" w:rsidR="009C41BB" w:rsidRDefault="009C41BB" w:rsidP="009C41BB">
      <w:r>
        <w:t>&lt;ESMA_QUESTION_SFDR_2&gt;</w:t>
      </w:r>
    </w:p>
    <w:p w14:paraId="144812F5" w14:textId="77777777" w:rsidR="004F7242" w:rsidRDefault="00634763" w:rsidP="009C41BB">
      <w:permStart w:id="1140268191" w:edGrp="everyone"/>
      <w:r>
        <w:t xml:space="preserve">As above. </w:t>
      </w:r>
    </w:p>
    <w:p w14:paraId="771EF63A" w14:textId="05CC93A0" w:rsidR="00A11BA8" w:rsidRDefault="00634763" w:rsidP="009C41BB">
      <w:pPr>
        <w:rPr>
          <w:lang w:val="en-US"/>
        </w:rPr>
      </w:pPr>
      <w:r>
        <w:rPr>
          <w:lang w:val="en-US"/>
        </w:rPr>
        <w:t xml:space="preserve">In addition, regarding the exposure to companies involved in the cultivation and production of </w:t>
      </w:r>
      <w:proofErr w:type="spellStart"/>
      <w:r>
        <w:rPr>
          <w:lang w:val="en-US"/>
        </w:rPr>
        <w:t>tabacco</w:t>
      </w:r>
      <w:proofErr w:type="spellEnd"/>
      <w:r>
        <w:rPr>
          <w:lang w:val="en-US"/>
        </w:rPr>
        <w:t>, we consider it more meaningful to also exclude weapons and unethical business conduct</w:t>
      </w:r>
      <w:r w:rsidR="00A11BA8">
        <w:rPr>
          <w:lang w:val="en-US"/>
        </w:rPr>
        <w:t xml:space="preserve">. </w:t>
      </w:r>
    </w:p>
    <w:permEnd w:id="1140268191"/>
    <w:p w14:paraId="7446D4C6" w14:textId="23E3D995" w:rsidR="009C41BB" w:rsidRDefault="009C41BB" w:rsidP="009C41BB">
      <w:r>
        <w:lastRenderedPageBreak/>
        <w:t>&lt;ESMA_QUESTION_SFDR_2&gt;</w:t>
      </w:r>
    </w:p>
    <w:p w14:paraId="5C5DB35A" w14:textId="77777777" w:rsidR="009C41BB" w:rsidRDefault="009C41BB" w:rsidP="009C41BB"/>
    <w:p w14:paraId="11B6749E" w14:textId="77777777" w:rsidR="009C41BB" w:rsidRDefault="009C41BB" w:rsidP="009C41BB">
      <w:pPr>
        <w:pStyle w:val="Questionstyle"/>
        <w:numPr>
          <w:ilvl w:val="0"/>
          <w:numId w:val="42"/>
        </w:numPr>
      </w:pPr>
      <w:bookmarkStart w:id="2" w:name="_Hlk131609830"/>
      <w:r>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1FA47A9C" w14:textId="77777777" w:rsidR="009C41BB" w:rsidRDefault="009C41BB" w:rsidP="009C41BB">
      <w:r>
        <w:t>&lt;ESMA_QUESTION_SFDR_3&gt;</w:t>
      </w:r>
    </w:p>
    <w:p w14:paraId="040088C5" w14:textId="4F434960" w:rsidR="009C41BB" w:rsidRDefault="00A11BA8" w:rsidP="009C41BB">
      <w:permStart w:id="1930569352" w:edGrp="everyone"/>
      <w:r>
        <w:t>No answer.</w:t>
      </w:r>
    </w:p>
    <w:permEnd w:id="1930569352"/>
    <w:p w14:paraId="238B95BB" w14:textId="77777777" w:rsidR="009C41BB" w:rsidRDefault="009C41BB" w:rsidP="009C41BB">
      <w:r>
        <w:t>&lt;ESMA_QUESTION_SFDR_3&gt;</w:t>
      </w:r>
    </w:p>
    <w:p w14:paraId="3CFBE832" w14:textId="77777777" w:rsidR="009C41BB" w:rsidRDefault="009C41BB" w:rsidP="009C41BB"/>
    <w:p w14:paraId="2707A806" w14:textId="77777777" w:rsidR="009C41BB" w:rsidRDefault="009C41BB" w:rsidP="009C41BB">
      <w:pPr>
        <w:pStyle w:val="Questionstyle"/>
        <w:numPr>
          <w:ilvl w:val="0"/>
          <w:numId w:val="42"/>
        </w:numPr>
      </w:pPr>
      <w:bookmarkStart w:id="3" w:name="_Hlk131609831"/>
      <w:r>
        <w:t>: Would you recommend any other social indicator or adjust any of the ones proposed?</w:t>
      </w:r>
    </w:p>
    <w:bookmarkEnd w:id="3"/>
    <w:p w14:paraId="6BC5AA32" w14:textId="77777777" w:rsidR="009C41BB" w:rsidRDefault="009C41BB" w:rsidP="009C41BB">
      <w:r>
        <w:t>&lt;ESMA_QUESTION_SFDR_4&gt;</w:t>
      </w:r>
    </w:p>
    <w:p w14:paraId="191F2CF6" w14:textId="71C2E98C" w:rsidR="009C41BB" w:rsidRDefault="00A11BA8" w:rsidP="009C41BB">
      <w:permStart w:id="2056993415" w:edGrp="everyone"/>
      <w:r>
        <w:t>No answer.</w:t>
      </w:r>
    </w:p>
    <w:permEnd w:id="2056993415"/>
    <w:p w14:paraId="5C0CA950" w14:textId="77777777" w:rsidR="009C41BB" w:rsidRDefault="009C41BB" w:rsidP="009C41BB">
      <w:r>
        <w:t>&lt;ESMA_QUESTION_SFDR_4&gt;</w:t>
      </w:r>
    </w:p>
    <w:p w14:paraId="6CC85AFF" w14:textId="77777777" w:rsidR="009C41BB" w:rsidRDefault="009C41BB" w:rsidP="009C41BB"/>
    <w:p w14:paraId="5D57C8EB" w14:textId="77777777" w:rsidR="009C41BB" w:rsidRDefault="009C41BB" w:rsidP="009C41BB">
      <w:pPr>
        <w:pStyle w:val="Questionstyle"/>
        <w:numPr>
          <w:ilvl w:val="0"/>
          <w:numId w:val="42"/>
        </w:numPr>
      </w:pPr>
      <w:bookmarkStart w:id="4" w:name="_Hlk131609833"/>
      <w:r>
        <w:t>: Do you agree with the changes proposed to the existing mandatory and opt-in social indicators in Annex I, Table I and III (i.e.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7100C321" w14:textId="502ECA51" w:rsidR="009C41BB" w:rsidRDefault="00A11BA8" w:rsidP="009C41BB">
      <w:permStart w:id="452221127" w:edGrp="everyone"/>
      <w:r>
        <w:t>No answer.</w:t>
      </w:r>
    </w:p>
    <w:permEnd w:id="452221127"/>
    <w:p w14:paraId="454AB350" w14:textId="77777777" w:rsidR="009C41BB" w:rsidRDefault="009C41BB" w:rsidP="009C41BB">
      <w:r>
        <w:t>&lt;ESMA_QUESTION_SFDR_5&gt;</w:t>
      </w:r>
    </w:p>
    <w:p w14:paraId="5DCDD44F" w14:textId="77777777" w:rsidR="009C41BB" w:rsidRDefault="009C41BB" w:rsidP="009C41BB"/>
    <w:p w14:paraId="3C56C925" w14:textId="77777777" w:rsidR="009C41BB" w:rsidRDefault="009C41BB" w:rsidP="009C41BB">
      <w:pPr>
        <w:pStyle w:val="Questionstyle"/>
        <w:numPr>
          <w:ilvl w:val="0"/>
          <w:numId w:val="42"/>
        </w:numPr>
      </w:pPr>
      <w:bookmarkStart w:id="5" w:name="_Hlk131609834"/>
      <w:r>
        <w:t>: For real estate assets, do you consider relevant to apply any PAI indicator related to social matters to the entity in charge of the management of the real estate assets the FMP invested in?</w:t>
      </w:r>
    </w:p>
    <w:bookmarkEnd w:id="5"/>
    <w:p w14:paraId="686F603D" w14:textId="77777777" w:rsidR="009C41BB" w:rsidRDefault="009C41BB" w:rsidP="009C41BB">
      <w:r>
        <w:lastRenderedPageBreak/>
        <w:t>&lt;ESMA_QUESTION_SFDR_6&gt;</w:t>
      </w:r>
    </w:p>
    <w:p w14:paraId="12A98D25" w14:textId="77777777" w:rsidR="00B05E0D" w:rsidRDefault="00A11BA8" w:rsidP="00A11BA8">
      <w:pPr>
        <w:rPr>
          <w:rFonts w:ascii="Roboto" w:hAnsi="Roboto"/>
          <w:color w:val="000000"/>
          <w:sz w:val="27"/>
          <w:szCs w:val="27"/>
          <w:shd w:val="clear" w:color="auto" w:fill="FFFFFF"/>
        </w:rPr>
      </w:pPr>
      <w:permStart w:id="887372501" w:edGrp="everyone"/>
      <w:r>
        <w:rPr>
          <w:lang w:val="en-US"/>
        </w:rPr>
        <w:t>Please note that</w:t>
      </w:r>
      <w:r w:rsidRPr="00A11BA8">
        <w:rPr>
          <w:lang w:val="en-US"/>
        </w:rPr>
        <w:t xml:space="preserve"> EPRA has actively worked on establishing common ESG metrics</w:t>
      </w:r>
      <w:r w:rsidR="00B05E0D" w:rsidRPr="00B05E0D">
        <w:rPr>
          <w:lang w:val="en-US"/>
        </w:rPr>
        <w:t xml:space="preserve"> </w:t>
      </w:r>
      <w:r w:rsidR="00B05E0D">
        <w:rPr>
          <w:lang w:val="en-US"/>
        </w:rPr>
        <w:t>f</w:t>
      </w:r>
      <w:r w:rsidR="00B05E0D" w:rsidRPr="00A11BA8">
        <w:rPr>
          <w:lang w:val="en-US"/>
        </w:rPr>
        <w:t>or over a decade</w:t>
      </w:r>
      <w:r w:rsidRPr="00A11BA8">
        <w:rPr>
          <w:lang w:val="en-US"/>
        </w:rPr>
        <w:t>, culminating in the “EPRA Sustainability Best Practices Recommendations (</w:t>
      </w:r>
      <w:r>
        <w:rPr>
          <w:lang w:val="en-US"/>
        </w:rPr>
        <w:t xml:space="preserve">EPRA </w:t>
      </w:r>
      <w:proofErr w:type="spellStart"/>
      <w:r w:rsidRPr="00A11BA8">
        <w:rPr>
          <w:lang w:val="en-US"/>
        </w:rPr>
        <w:t>sBPR</w:t>
      </w:r>
      <w:proofErr w:type="spellEnd"/>
      <w:r w:rsidRPr="00A11BA8">
        <w:rPr>
          <w:lang w:val="en-US"/>
        </w:rPr>
        <w:t>) Guidelines,” which supports listed real estate (LRE) companies in meeting the growing expectations from the market alongside European regulatory requirements.</w:t>
      </w:r>
      <w:r>
        <w:rPr>
          <w:rFonts w:ascii="Roboto" w:hAnsi="Roboto"/>
          <w:color w:val="000000"/>
          <w:sz w:val="27"/>
          <w:szCs w:val="27"/>
          <w:shd w:val="clear" w:color="auto" w:fill="FFFFFF"/>
        </w:rPr>
        <w:t> </w:t>
      </w:r>
    </w:p>
    <w:p w14:paraId="0A46FB41" w14:textId="2F98C425" w:rsidR="00A11BA8" w:rsidRDefault="00A11BA8" w:rsidP="00A11BA8">
      <w:pPr>
        <w:rPr>
          <w:lang w:val="en-US"/>
        </w:rPr>
      </w:pPr>
      <w:r>
        <w:rPr>
          <w:lang w:val="en-US"/>
        </w:rPr>
        <w:t xml:space="preserve">As for the social matters, we would propose to consider the following indicator as recommended by EPRA </w:t>
      </w:r>
      <w:proofErr w:type="spellStart"/>
      <w:r>
        <w:rPr>
          <w:lang w:val="en-US"/>
        </w:rPr>
        <w:t>sBPR</w:t>
      </w:r>
      <w:proofErr w:type="spellEnd"/>
      <w:r>
        <w:rPr>
          <w:lang w:val="en-US"/>
        </w:rPr>
        <w:t xml:space="preserve"> to listed property companies in Europe:</w:t>
      </w:r>
    </w:p>
    <w:p w14:paraId="32C31384" w14:textId="5F6FED02" w:rsidR="00A11BA8" w:rsidRPr="00B05E0D" w:rsidRDefault="00A11BA8" w:rsidP="00B05E0D">
      <w:pPr>
        <w:pStyle w:val="ListParagraph"/>
        <w:numPr>
          <w:ilvl w:val="0"/>
          <w:numId w:val="45"/>
        </w:numPr>
        <w:rPr>
          <w:lang w:val="en-US"/>
        </w:rPr>
      </w:pPr>
      <w:r w:rsidRPr="00B05E0D">
        <w:rPr>
          <w:highlight w:val="yellow"/>
        </w:rPr>
        <w:t>H&amp;S-Comp Asset health and safety compliance</w:t>
      </w:r>
      <w:r>
        <w:t xml:space="preserve"> (i.e. companies must report any incidents of non-compliance with regulations and voluntary codes concerning the health and safety impacts of assets assessed during the reporting period).</w:t>
      </w:r>
    </w:p>
    <w:p w14:paraId="2C857A46" w14:textId="15442C60" w:rsidR="00DC5352" w:rsidRDefault="00DC5352" w:rsidP="00A11BA8">
      <w:pPr>
        <w:rPr>
          <w:lang w:val="en-US"/>
        </w:rPr>
      </w:pPr>
      <w:r>
        <w:rPr>
          <w:lang w:val="en-US"/>
        </w:rPr>
        <w:t xml:space="preserve">In addition, we would like to stress that most of the </w:t>
      </w:r>
      <w:r w:rsidR="00A11BA8">
        <w:rPr>
          <w:lang w:val="en-US"/>
        </w:rPr>
        <w:t xml:space="preserve">EPRA </w:t>
      </w:r>
      <w:proofErr w:type="spellStart"/>
      <w:r w:rsidR="00A11BA8">
        <w:rPr>
          <w:lang w:val="en-US"/>
        </w:rPr>
        <w:t>sBPR</w:t>
      </w:r>
      <w:proofErr w:type="spellEnd"/>
      <w:r w:rsidR="00A11BA8">
        <w:rPr>
          <w:lang w:val="en-US"/>
        </w:rPr>
        <w:t xml:space="preserve"> </w:t>
      </w:r>
      <w:r>
        <w:rPr>
          <w:lang w:val="en-US"/>
        </w:rPr>
        <w:t>but also</w:t>
      </w:r>
      <w:r w:rsidR="00A11BA8">
        <w:rPr>
          <w:lang w:val="en-US"/>
        </w:rPr>
        <w:t xml:space="preserve"> the CSRD’s ESRS,</w:t>
      </w:r>
      <w:r>
        <w:rPr>
          <w:lang w:val="en-US"/>
        </w:rPr>
        <w:t xml:space="preserve"> are presenting requirements to demonstrate the sustainability of the </w:t>
      </w:r>
      <w:r w:rsidR="00B05E0D">
        <w:rPr>
          <w:lang w:val="en-US"/>
        </w:rPr>
        <w:t>c</w:t>
      </w:r>
      <w:r>
        <w:rPr>
          <w:lang w:val="en-US"/>
        </w:rPr>
        <w:t>ompany</w:t>
      </w:r>
      <w:r w:rsidR="00B05E0D">
        <w:rPr>
          <w:lang w:val="en-US"/>
        </w:rPr>
        <w:t xml:space="preserve"> (</w:t>
      </w:r>
      <w:r>
        <w:rPr>
          <w:lang w:val="en-US"/>
        </w:rPr>
        <w:t>business</w:t>
      </w:r>
      <w:r w:rsidR="00B05E0D">
        <w:rPr>
          <w:lang w:val="en-US"/>
        </w:rPr>
        <w:t xml:space="preserve"> and/or </w:t>
      </w:r>
      <w:r>
        <w:rPr>
          <w:lang w:val="en-US"/>
        </w:rPr>
        <w:t>portfolio</w:t>
      </w:r>
      <w:r w:rsidR="00B05E0D">
        <w:rPr>
          <w:lang w:val="en-US"/>
        </w:rPr>
        <w:t>)</w:t>
      </w:r>
      <w:r>
        <w:rPr>
          <w:lang w:val="en-US"/>
        </w:rPr>
        <w:t xml:space="preserve">. However, </w:t>
      </w:r>
      <w:r w:rsidR="00A11BA8">
        <w:rPr>
          <w:lang w:val="en-US"/>
        </w:rPr>
        <w:t xml:space="preserve">the PAI indicators in SFDR are not demonstrating the sustainability of the </w:t>
      </w:r>
      <w:r w:rsidR="00B05E0D">
        <w:rPr>
          <w:lang w:val="en-US"/>
        </w:rPr>
        <w:t>FMPs</w:t>
      </w:r>
      <w:r w:rsidR="00A11BA8">
        <w:rPr>
          <w:lang w:val="en-US"/>
        </w:rPr>
        <w:t>/product</w:t>
      </w:r>
      <w:r w:rsidR="00B05E0D">
        <w:rPr>
          <w:lang w:val="en-US"/>
        </w:rPr>
        <w:t>s</w:t>
      </w:r>
      <w:r w:rsidR="00A11BA8">
        <w:rPr>
          <w:lang w:val="en-US"/>
        </w:rPr>
        <w:t xml:space="preserve">. To the contrary, they are demonstrating adverse effects (=negative impact). Having said that, the EPRA recommendation </w:t>
      </w:r>
      <w:r>
        <w:rPr>
          <w:lang w:val="en-US"/>
        </w:rPr>
        <w:t xml:space="preserve">would be to carefully </w:t>
      </w:r>
      <w:proofErr w:type="spellStart"/>
      <w:r>
        <w:rPr>
          <w:lang w:val="en-US"/>
        </w:rPr>
        <w:t>bare</w:t>
      </w:r>
      <w:proofErr w:type="spellEnd"/>
      <w:r>
        <w:rPr>
          <w:lang w:val="en-US"/>
        </w:rPr>
        <w:t xml:space="preserve"> in mind when reviewing the SFDR RTS that </w:t>
      </w:r>
      <w:r w:rsidR="00B05E0D">
        <w:rPr>
          <w:lang w:val="en-US"/>
        </w:rPr>
        <w:t>simple</w:t>
      </w:r>
      <w:r w:rsidR="00A11BA8">
        <w:rPr>
          <w:lang w:val="en-US"/>
        </w:rPr>
        <w:t xml:space="preserve"> </w:t>
      </w:r>
      <w:r>
        <w:rPr>
          <w:lang w:val="en-US"/>
        </w:rPr>
        <w:t>referencing to the same indicators</w:t>
      </w:r>
      <w:r w:rsidR="00B05E0D">
        <w:rPr>
          <w:lang w:val="en-US"/>
        </w:rPr>
        <w:t xml:space="preserve"> (as used in the ESRS)</w:t>
      </w:r>
      <w:r>
        <w:rPr>
          <w:lang w:val="en-US"/>
        </w:rPr>
        <w:t xml:space="preserve"> with suggestions that their lack indicates a significant harm/adverse impact on society would be a very incorrect approach. </w:t>
      </w:r>
    </w:p>
    <w:p w14:paraId="13CBEF29" w14:textId="588AC43C" w:rsidR="009C41BB" w:rsidRPr="00DC5352" w:rsidRDefault="00DC5352" w:rsidP="009C41BB">
      <w:pPr>
        <w:rPr>
          <w:lang w:val="en-US"/>
        </w:rPr>
      </w:pPr>
      <w:r>
        <w:rPr>
          <w:lang w:val="en-US"/>
        </w:rPr>
        <w:t>Separately, p</w:t>
      </w:r>
      <w:r w:rsidR="00A11BA8">
        <w:rPr>
          <w:lang w:val="en-US"/>
        </w:rPr>
        <w:t>lease</w:t>
      </w:r>
      <w:r>
        <w:rPr>
          <w:lang w:val="en-US"/>
        </w:rPr>
        <w:t xml:space="preserve"> </w:t>
      </w:r>
      <w:r w:rsidR="00A11BA8">
        <w:rPr>
          <w:lang w:val="en-US"/>
        </w:rPr>
        <w:t>note that specifically for real estate, we agree with the Platform’s work on Social Taxonomy and its reference to social/affordable housing as one of the critical contribution the sector can provide to the society. Furthermore, we proposed</w:t>
      </w:r>
      <w:r>
        <w:rPr>
          <w:lang w:val="en-US"/>
        </w:rPr>
        <w:t xml:space="preserve"> – at the time - </w:t>
      </w:r>
      <w:r w:rsidR="00A11BA8">
        <w:rPr>
          <w:lang w:val="en-US"/>
        </w:rPr>
        <w:t xml:space="preserve"> to expand the reference to affordability to align with e.g. MSCI. Affordable commercial properties include commercial spaces for SMEs as these are typically found to be sold/leased at a lower price point. Senior/elderly housing is enlarged by ICMA Social Bond principles to all assets having a care for residential function. In addition, we proposed the healthcare investment property for the considerations. However, as mentioned above, these are the positive affirmations for seeking sustainable objectives</w:t>
      </w:r>
      <w:r>
        <w:rPr>
          <w:lang w:val="en-US"/>
        </w:rPr>
        <w:t xml:space="preserve"> and</w:t>
      </w:r>
      <w:r w:rsidR="00A11BA8">
        <w:rPr>
          <w:lang w:val="en-US"/>
        </w:rPr>
        <w:t xml:space="preserve"> </w:t>
      </w:r>
      <w:r>
        <w:rPr>
          <w:lang w:val="en-US"/>
        </w:rPr>
        <w:t>w</w:t>
      </w:r>
      <w:r w:rsidR="00A11BA8">
        <w:rPr>
          <w:lang w:val="en-US"/>
        </w:rPr>
        <w:t>e would not agree to reference the same indicators</w:t>
      </w:r>
      <w:r>
        <w:rPr>
          <w:lang w:val="en-US"/>
        </w:rPr>
        <w:t xml:space="preserve"> for the SFDR purpose to demonstrate </w:t>
      </w:r>
      <w:r w:rsidR="00A11BA8">
        <w:rPr>
          <w:lang w:val="en-US"/>
        </w:rPr>
        <w:t xml:space="preserve">a significant harm/adverse impact on society. </w:t>
      </w:r>
    </w:p>
    <w:permEnd w:id="887372501"/>
    <w:p w14:paraId="11A2BA0F" w14:textId="77777777" w:rsidR="009C41BB" w:rsidRDefault="009C41BB" w:rsidP="009C41BB">
      <w:r>
        <w:t>&lt;ESMA_QUESTION_SFDR_6&gt;</w:t>
      </w:r>
    </w:p>
    <w:p w14:paraId="2AC893D6" w14:textId="77777777" w:rsidR="009C41BB" w:rsidRDefault="009C41BB" w:rsidP="009C41BB"/>
    <w:p w14:paraId="6BDC5008" w14:textId="77777777" w:rsidR="009C41BB" w:rsidRDefault="009C41BB" w:rsidP="009C41BB">
      <w:pPr>
        <w:pStyle w:val="Questionstyle"/>
        <w:numPr>
          <w:ilvl w:val="0"/>
          <w:numId w:val="42"/>
        </w:numPr>
      </w:pPr>
      <w:bookmarkStart w:id="6" w:name="_Hlk131609836"/>
      <w:r>
        <w:t>: For real estate assets, do you see any merit in adjusting the definition of PAI indicator 22 of Table 1 in order to align it with the EU Taxonomy criteria applicable to the DNSH of the climate change mitigation objective under the climate change adaptation objective?</w:t>
      </w:r>
    </w:p>
    <w:bookmarkEnd w:id="6"/>
    <w:p w14:paraId="7DF73432" w14:textId="77777777" w:rsidR="009C41BB" w:rsidRDefault="009C41BB" w:rsidP="009C41BB">
      <w:r>
        <w:t>&lt;ESMA_QUESTION_SFDR_7&gt;</w:t>
      </w:r>
    </w:p>
    <w:p w14:paraId="599BF063" w14:textId="5DF78B25" w:rsidR="000509EF" w:rsidRPr="005A00DC" w:rsidRDefault="000509EF" w:rsidP="000509EF">
      <w:pPr>
        <w:rPr>
          <w:lang w:val="en-US"/>
        </w:rPr>
      </w:pPr>
      <w:permStart w:id="1335120249" w:edGrp="everyone"/>
      <w:r w:rsidRPr="005A00DC">
        <w:rPr>
          <w:lang w:val="en-US"/>
        </w:rPr>
        <w:t xml:space="preserve">We do not recommend to alter the definition of PAI to equal it with the DNSH under the EU </w:t>
      </w:r>
      <w:r>
        <w:rPr>
          <w:lang w:val="en-US"/>
        </w:rPr>
        <w:t xml:space="preserve"> T</w:t>
      </w:r>
      <w:r w:rsidRPr="005A00DC">
        <w:rPr>
          <w:lang w:val="en-US"/>
        </w:rPr>
        <w:t xml:space="preserve">axonomy. The nature of the two regulations are different. One is to set a standard of what </w:t>
      </w:r>
      <w:r w:rsidRPr="005A00DC">
        <w:rPr>
          <w:lang w:val="en-US"/>
        </w:rPr>
        <w:lastRenderedPageBreak/>
        <w:t xml:space="preserve">sustainable environmental economic activity means (i.e. EU Taxonomy), the second is to ensure appropriate level of ESG disclosure by the financial market participants. </w:t>
      </w:r>
    </w:p>
    <w:p w14:paraId="0F9A5495" w14:textId="5493C880" w:rsidR="009C41BB" w:rsidRPr="000509EF" w:rsidRDefault="000509EF" w:rsidP="009C41BB">
      <w:pPr>
        <w:rPr>
          <w:lang w:val="en-US"/>
        </w:rPr>
      </w:pPr>
      <w:r w:rsidRPr="005A00DC">
        <w:rPr>
          <w:lang w:val="en-US"/>
        </w:rPr>
        <w:t>As a consequence, the standard of DNSH under the EU Taxonomy ought to be stricter. We would suggest to consider aligning the PAI indicators with the DNSH criteria only when the time comes to creating a minimum standard for financial products’ categories, e.g. Taxonomy aligned product (=Green product).</w:t>
      </w:r>
    </w:p>
    <w:permEnd w:id="1335120249"/>
    <w:p w14:paraId="2EAB99B1" w14:textId="77777777" w:rsidR="009C41BB" w:rsidRDefault="009C41BB" w:rsidP="009C41BB">
      <w:r>
        <w:t>&lt;ESMA_QUESTION_SFDR_7&gt;</w:t>
      </w:r>
    </w:p>
    <w:p w14:paraId="0833F2AC" w14:textId="77777777" w:rsidR="009C41BB" w:rsidRDefault="009C41BB" w:rsidP="009C41BB"/>
    <w:p w14:paraId="4BF15C04" w14:textId="77777777" w:rsidR="009C41BB" w:rsidRDefault="009C41BB" w:rsidP="009C41BB">
      <w:pPr>
        <w:pStyle w:val="Questionstyle"/>
        <w:numPr>
          <w:ilvl w:val="0"/>
          <w:numId w:val="42"/>
        </w:numPr>
      </w:pPr>
      <w:bookmarkStart w:id="7" w:name="_Hlk131609837"/>
      <w:r>
        <w:t>: Do you see any challenges in the interaction between the definition ‘enterprise value’ and ‘current value of investment’ for the calculation of the PAI indicators?</w:t>
      </w:r>
    </w:p>
    <w:bookmarkEnd w:id="7"/>
    <w:p w14:paraId="0563F3C0" w14:textId="77777777" w:rsidR="009C41BB" w:rsidRDefault="009C41BB" w:rsidP="009C41BB">
      <w:r>
        <w:t>&lt;ESMA_QUESTION_SFDR_8&gt;</w:t>
      </w:r>
    </w:p>
    <w:p w14:paraId="668ACE9C" w14:textId="507948FF" w:rsidR="009C41BB" w:rsidRDefault="00A169C1" w:rsidP="009C41BB">
      <w:permStart w:id="1288714632" w:edGrp="everyone"/>
      <w:r>
        <w:t>No answer.</w:t>
      </w:r>
    </w:p>
    <w:permEnd w:id="1288714632"/>
    <w:p w14:paraId="762529E9" w14:textId="77777777" w:rsidR="009C41BB" w:rsidRDefault="009C41BB" w:rsidP="009C41BB">
      <w:r>
        <w:t>&lt;ESMA_QUESTION_SFDR_8&gt;</w:t>
      </w:r>
    </w:p>
    <w:p w14:paraId="0AC5B76C" w14:textId="77777777" w:rsidR="009C41BB" w:rsidRDefault="009C41BB" w:rsidP="009C41BB"/>
    <w:p w14:paraId="5E1A73BD" w14:textId="77777777" w:rsidR="009C41BB" w:rsidRDefault="009C41BB" w:rsidP="009C41BB">
      <w:pPr>
        <w:pStyle w:val="Questionstyle"/>
        <w:numPr>
          <w:ilvl w:val="0"/>
          <w:numId w:val="42"/>
        </w:numPr>
      </w:pPr>
      <w:bookmarkStart w:id="8" w:name="_Hlk131609838"/>
      <w:r>
        <w:t xml:space="preserve">: Do you have any comments or proposed adjustments to the new formulae suggested in Annex I?  </w:t>
      </w:r>
    </w:p>
    <w:bookmarkEnd w:id="8"/>
    <w:p w14:paraId="37D6FAC5" w14:textId="77777777" w:rsidR="009C41BB" w:rsidRDefault="009C41BB" w:rsidP="009C41BB">
      <w:r>
        <w:t>&lt;ESMA_QUESTION_SFDR_9&gt;</w:t>
      </w:r>
    </w:p>
    <w:p w14:paraId="4D5F1AA0" w14:textId="318F1323" w:rsidR="009C41BB" w:rsidRDefault="00A169C1" w:rsidP="009C41BB">
      <w:permStart w:id="2059607147" w:edGrp="everyone"/>
      <w:r>
        <w:t>No answer.</w:t>
      </w:r>
    </w:p>
    <w:permEnd w:id="2059607147"/>
    <w:p w14:paraId="548D5BC4" w14:textId="77777777" w:rsidR="009C41BB" w:rsidRDefault="009C41BB" w:rsidP="009C41BB">
      <w:r>
        <w:t>&lt;ESMA_QUESTION_SFDR_9&gt;</w:t>
      </w:r>
    </w:p>
    <w:p w14:paraId="4E0660C5" w14:textId="77777777" w:rsidR="009C41BB" w:rsidRDefault="009C41BB" w:rsidP="009C41BB"/>
    <w:p w14:paraId="65BB34FD" w14:textId="77777777" w:rsidR="009C41BB" w:rsidRDefault="009C41BB" w:rsidP="009C41BB">
      <w:pPr>
        <w:pStyle w:val="Questionstyle"/>
        <w:numPr>
          <w:ilvl w:val="0"/>
          <w:numId w:val="42"/>
        </w:numPr>
      </w:pPr>
      <w:bookmarkStart w:id="9"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9"/>
    <w:p w14:paraId="59ECBC6E" w14:textId="77777777" w:rsidR="009C41BB" w:rsidRDefault="009C41BB" w:rsidP="009C41BB">
      <w:r>
        <w:t>&lt;ESMA_QUESTION_SFDR_10&gt;</w:t>
      </w:r>
    </w:p>
    <w:p w14:paraId="00725237" w14:textId="77777777" w:rsidR="00F17434" w:rsidRDefault="00A169C1" w:rsidP="00A169C1">
      <w:pPr>
        <w:rPr>
          <w:lang w:val="en-US"/>
        </w:rPr>
      </w:pPr>
      <w:permStart w:id="1591695117" w:edGrp="everyone"/>
      <w:r w:rsidRPr="005A00DC">
        <w:rPr>
          <w:lang w:val="en-US"/>
        </w:rPr>
        <w:t xml:space="preserve">We would like to raise that </w:t>
      </w:r>
      <w:r w:rsidR="00F17434">
        <w:rPr>
          <w:lang w:val="en-US"/>
        </w:rPr>
        <w:t xml:space="preserve">there is </w:t>
      </w:r>
      <w:r w:rsidRPr="005A00DC">
        <w:rPr>
          <w:lang w:val="en-US"/>
        </w:rPr>
        <w:t xml:space="preserve">a specific difficulty in aligning data on listed real estate with the data required for direct real estate investments. In listed real estate, investors (financial markets participants) invest in the underlying real estate through listed real estate company and are thus treated by SFDR as an investment in investee companies. However, the fundamentals of the business are determined by the underlying asset which is real estate. In this context, investors are not clear on whether it is indeed a PAI category for investee companies which </w:t>
      </w:r>
      <w:r>
        <w:rPr>
          <w:lang w:val="en-US"/>
        </w:rPr>
        <w:t>is</w:t>
      </w:r>
      <w:r w:rsidRPr="005A00DC">
        <w:rPr>
          <w:lang w:val="en-US"/>
        </w:rPr>
        <w:t xml:space="preserve"> relevant for listed real estate under SFDR or it should be a category of real estate which is also displayed by many data providers, such as in the Bloomberg’s terminal. </w:t>
      </w:r>
    </w:p>
    <w:p w14:paraId="0CCA43E6" w14:textId="77777777" w:rsidR="00F17434" w:rsidRPr="005A00DC" w:rsidRDefault="00F17434" w:rsidP="00F17434">
      <w:pPr>
        <w:rPr>
          <w:lang w:val="en-US"/>
        </w:rPr>
      </w:pPr>
      <w:r w:rsidRPr="005A00DC">
        <w:rPr>
          <w:lang w:val="en-US"/>
        </w:rPr>
        <w:lastRenderedPageBreak/>
        <w:t>We would seek a clarification</w:t>
      </w:r>
      <w:r>
        <w:rPr>
          <w:lang w:val="en-US"/>
        </w:rPr>
        <w:t xml:space="preserve"> on the above point</w:t>
      </w:r>
      <w:r w:rsidRPr="005A00DC">
        <w:rPr>
          <w:lang w:val="en-US"/>
        </w:rPr>
        <w:t xml:space="preserve"> and if possible a greater alignment. This will be particularly important after the Commission enters into an adoption phase for the sector specific standards. </w:t>
      </w:r>
    </w:p>
    <w:p w14:paraId="549F5EEB" w14:textId="09191E4E" w:rsidR="00A169C1" w:rsidRPr="005A00DC" w:rsidRDefault="00F17434" w:rsidP="00A169C1">
      <w:pPr>
        <w:rPr>
          <w:lang w:val="en-US"/>
        </w:rPr>
      </w:pPr>
      <w:r>
        <w:rPr>
          <w:lang w:val="en-US"/>
        </w:rPr>
        <w:t xml:space="preserve">Besides, we also wish to stress the additional data availability challenges in private real assets. Globally, the reference to the European Performance Certificates is challenging. As a consequence, we would propose to consider adoption of the </w:t>
      </w:r>
      <w:proofErr w:type="spellStart"/>
      <w:r>
        <w:rPr>
          <w:lang w:val="en-US"/>
        </w:rPr>
        <w:t>Commisison’s</w:t>
      </w:r>
      <w:proofErr w:type="spellEnd"/>
      <w:r>
        <w:rPr>
          <w:lang w:val="en-US"/>
        </w:rPr>
        <w:t xml:space="preserve"> approach vis-à-vis the EU Taxonomy, where in its December 2022 Guidance enabled the use of proxies to EPCs (e.g. LEED or BREEAM) where EPCs are not applicable. </w:t>
      </w:r>
    </w:p>
    <w:p w14:paraId="2003D401" w14:textId="1554A093" w:rsidR="00A169C1" w:rsidRPr="005A00DC" w:rsidRDefault="00A169C1" w:rsidP="00A169C1">
      <w:pPr>
        <w:rPr>
          <w:lang w:val="en-US"/>
        </w:rPr>
      </w:pPr>
      <w:r w:rsidRPr="005A00DC">
        <w:rPr>
          <w:lang w:val="en-US"/>
        </w:rPr>
        <w:t>We would also like to highlight the most valued metrics (investee companies) b</w:t>
      </w:r>
      <w:r>
        <w:rPr>
          <w:lang w:val="en-US"/>
        </w:rPr>
        <w:t>y</w:t>
      </w:r>
      <w:r w:rsidRPr="005A00DC">
        <w:rPr>
          <w:lang w:val="en-US"/>
        </w:rPr>
        <w:t xml:space="preserve"> the investment community within EPRA</w:t>
      </w:r>
      <w:r w:rsidR="00F17434">
        <w:rPr>
          <w:lang w:val="en-US"/>
        </w:rPr>
        <w:t xml:space="preserve"> membership (relevance for listed real estate)</w:t>
      </w:r>
      <w:r w:rsidRPr="005A00DC">
        <w:rPr>
          <w:lang w:val="en-US"/>
        </w:rPr>
        <w:t>, which are the following:</w:t>
      </w:r>
    </w:p>
    <w:p w14:paraId="7EAF37EE" w14:textId="77777777" w:rsidR="00A169C1" w:rsidRPr="005A00DC" w:rsidRDefault="00A169C1" w:rsidP="00A169C1">
      <w:pPr>
        <w:rPr>
          <w:lang w:val="en-US"/>
        </w:rPr>
      </w:pPr>
      <w:r w:rsidRPr="005A00DC">
        <w:rPr>
          <w:lang w:val="en-US"/>
        </w:rPr>
        <w:t>PAI No 3.: GHG Inte</w:t>
      </w:r>
      <w:r>
        <w:rPr>
          <w:lang w:val="en-US"/>
        </w:rPr>
        <w:t>n</w:t>
      </w:r>
      <w:r w:rsidRPr="005A00DC">
        <w:rPr>
          <w:lang w:val="en-US"/>
        </w:rPr>
        <w:t>sity of investee companies</w:t>
      </w:r>
    </w:p>
    <w:p w14:paraId="2301A9F0" w14:textId="77777777" w:rsidR="00A169C1" w:rsidRPr="005A00DC" w:rsidRDefault="00A169C1" w:rsidP="00A169C1">
      <w:pPr>
        <w:rPr>
          <w:lang w:val="en-US"/>
        </w:rPr>
      </w:pPr>
      <w:r w:rsidRPr="005A00DC">
        <w:rPr>
          <w:lang w:val="en-US"/>
        </w:rPr>
        <w:t>PAI No 6. : Energy consumption intensity per high impact climate sector</w:t>
      </w:r>
    </w:p>
    <w:p w14:paraId="6A059EBA" w14:textId="30E57D42" w:rsidR="009C41BB" w:rsidRDefault="00A169C1" w:rsidP="00A169C1">
      <w:r w:rsidRPr="005A00DC">
        <w:rPr>
          <w:lang w:val="en-US"/>
        </w:rPr>
        <w:t>Furthermore, we stress that with the current list of indicators for real estate it is not possible to demonstrate transformation/</w:t>
      </w:r>
      <w:proofErr w:type="spellStart"/>
      <w:r w:rsidRPr="005A00DC">
        <w:rPr>
          <w:lang w:val="en-US"/>
        </w:rPr>
        <w:t>decarbonisation</w:t>
      </w:r>
      <w:proofErr w:type="spellEnd"/>
      <w:r w:rsidRPr="005A00DC">
        <w:rPr>
          <w:lang w:val="en-US"/>
        </w:rPr>
        <w:t xml:space="preserve"> of an investment portfolio/financial products as anticipated under Article 9(3). When seeking to create a value/an environmental impact from investments in real estate, it is often that the most inefficient buildings are selected for an energy renovations. </w:t>
      </w:r>
      <w:r>
        <w:rPr>
          <w:lang w:val="en-US"/>
        </w:rPr>
        <w:t>The existing SFDR indicator on energy efficiency is failing to facilitate any attempts to invest in inefficient real estate assets even where the objective is to decarbonize those assets, as opposed to simply decarbonize your investment portfolio by divestments. There are many ways to address such issue, for example by creating a separate, rather than additional metrics for Article 9(3) disclosure. We advise to consider reduction of CO2 intensity/year (option 1) or Sqm turned from non-efficient to efficient property (Option to – for operational property) or to add Capex plan for Taxonomy alignment.</w:t>
      </w:r>
      <w:r w:rsidR="00F17434">
        <w:rPr>
          <w:lang w:val="en-US"/>
        </w:rPr>
        <w:t xml:space="preserve"> However, these indicators are not to demonstrate an adverse impact on the environment/society, but the actual progress of the products in decarbonization.</w:t>
      </w:r>
    </w:p>
    <w:permEnd w:id="1591695117"/>
    <w:p w14:paraId="74A72C72" w14:textId="77777777" w:rsidR="009C41BB" w:rsidRDefault="009C41BB" w:rsidP="009C41BB">
      <w:r>
        <w:t>&lt;ESMA_QUESTION_SFDR_10&gt;</w:t>
      </w:r>
    </w:p>
    <w:p w14:paraId="4C60FA50" w14:textId="77777777" w:rsidR="009C41BB" w:rsidRDefault="009C41BB" w:rsidP="009C41BB"/>
    <w:p w14:paraId="3F6FB44A" w14:textId="77777777" w:rsidR="009C41BB" w:rsidRDefault="009C41BB" w:rsidP="009C41BB">
      <w:pPr>
        <w:pStyle w:val="Questionstyle"/>
        <w:numPr>
          <w:ilvl w:val="0"/>
          <w:numId w:val="42"/>
        </w:numPr>
      </w:pPr>
      <w:bookmarkStart w:id="10" w:name="_Hlk131609841"/>
      <w:r>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Default="009C41BB" w:rsidP="009C41BB">
      <w:r>
        <w:t>&lt;ESMA_QUESTION_SFDR_11&gt;</w:t>
      </w:r>
    </w:p>
    <w:p w14:paraId="155A94A1" w14:textId="10BBA82A" w:rsidR="009C41BB" w:rsidRDefault="00EA55CB" w:rsidP="009C41BB">
      <w:permStart w:id="1653823566" w:edGrp="everyone"/>
      <w:r>
        <w:t>No answer.</w:t>
      </w:r>
    </w:p>
    <w:permEnd w:id="1653823566"/>
    <w:p w14:paraId="4F049EEF" w14:textId="77777777" w:rsidR="009C41BB" w:rsidRDefault="009C41BB" w:rsidP="009C41BB">
      <w:r>
        <w:t>&lt;ESMA_QUESTION_SFDR_11&gt;</w:t>
      </w:r>
    </w:p>
    <w:p w14:paraId="7F52045F" w14:textId="77777777" w:rsidR="009C41BB" w:rsidRDefault="009C41BB" w:rsidP="009C41BB"/>
    <w:p w14:paraId="087EB0A5" w14:textId="77777777" w:rsidR="009C41BB" w:rsidRDefault="009C41BB" w:rsidP="009C41BB">
      <w:pPr>
        <w:pStyle w:val="Questionstyle"/>
        <w:numPr>
          <w:ilvl w:val="0"/>
          <w:numId w:val="42"/>
        </w:numPr>
      </w:pPr>
      <w:r>
        <w:t xml:space="preserve">: What is your view on the approach taken in this consultation paper to define ‘all investments’? What are the advantages and drawbacks you identify? </w:t>
      </w:r>
      <w:r>
        <w:lastRenderedPageBreak/>
        <w:t>Would a change in the approach adopted for the treatment of ‘all investments’ be necessary in your view?</w:t>
      </w:r>
    </w:p>
    <w:p w14:paraId="7F4B4E6E" w14:textId="77777777" w:rsidR="009C41BB" w:rsidRDefault="009C41BB" w:rsidP="009C41BB">
      <w:r>
        <w:t>&lt;ESMA_QUESTION_SFDR_12&gt;</w:t>
      </w:r>
    </w:p>
    <w:p w14:paraId="0ECB2AE8" w14:textId="3417A03B" w:rsidR="009C41BB" w:rsidRDefault="00B12844" w:rsidP="009C41BB">
      <w:permStart w:id="684359195" w:edGrp="everyone"/>
      <w:r>
        <w:t>Please note that the investments in real estate companies are typically much smaller than those in real estate asset</w:t>
      </w:r>
      <w:r w:rsidR="00F41F5F">
        <w:t>s</w:t>
      </w:r>
      <w:r>
        <w:t xml:space="preserve">. As a result, the PAI in direct real estate assets may be underestimated. </w:t>
      </w:r>
      <w:permEnd w:id="684359195"/>
      <w:r w:rsidR="009C41BB">
        <w:t>&lt;ESMA_QUESTION_SFDR_12&gt;</w:t>
      </w:r>
    </w:p>
    <w:p w14:paraId="2339BDE1" w14:textId="77777777" w:rsidR="009C41BB" w:rsidRDefault="009C41BB" w:rsidP="009C41BB"/>
    <w:p w14:paraId="79363208" w14:textId="77777777" w:rsidR="009C41BB" w:rsidRDefault="009C41BB" w:rsidP="009C41BB">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07B8A78C" w14:textId="7A4AB393" w:rsidR="009C41BB" w:rsidRDefault="00B12844" w:rsidP="009C41BB">
      <w:permStart w:id="1426525783" w:edGrp="everyone"/>
      <w:r>
        <w:t xml:space="preserve">Yes, we agree. </w:t>
      </w:r>
    </w:p>
    <w:permEnd w:id="1426525783"/>
    <w:p w14:paraId="52004960" w14:textId="77777777" w:rsidR="009C41BB" w:rsidRDefault="009C41BB" w:rsidP="009C41BB">
      <w:r>
        <w:t>&lt;ESMA_QUESTION_SFDR_13&gt;</w:t>
      </w:r>
    </w:p>
    <w:p w14:paraId="700BC575" w14:textId="77777777" w:rsidR="009C41BB" w:rsidRDefault="009C41BB" w:rsidP="009C41BB"/>
    <w:p w14:paraId="0EA314B0" w14:textId="77777777" w:rsidR="009C41BB" w:rsidRDefault="009C41BB" w:rsidP="009C41BB">
      <w:pPr>
        <w:pStyle w:val="Questionstyle"/>
        <w:numPr>
          <w:ilvl w:val="0"/>
          <w:numId w:val="42"/>
        </w:numPr>
      </w:pPr>
      <w:r>
        <w:t>: Do you agree with the proposed treatment of derivatives in the PAI indicators or would you suggest any other method?</w:t>
      </w:r>
    </w:p>
    <w:p w14:paraId="215D6F18" w14:textId="77777777" w:rsidR="009C41BB" w:rsidRDefault="009C41BB" w:rsidP="009C41BB">
      <w:r>
        <w:t>&lt;ESMA_QUESTION_SFDR_14&gt;</w:t>
      </w:r>
    </w:p>
    <w:p w14:paraId="187BA651" w14:textId="2FD07EE8" w:rsidR="009C41BB" w:rsidRDefault="00B12844" w:rsidP="009C41BB">
      <w:permStart w:id="1609050593" w:edGrp="everyone"/>
      <w:r>
        <w:t>No answer.</w:t>
      </w:r>
    </w:p>
    <w:permEnd w:id="1609050593"/>
    <w:p w14:paraId="5AA8268C" w14:textId="77777777" w:rsidR="009C41BB" w:rsidRDefault="009C41BB" w:rsidP="009C41BB">
      <w:r>
        <w:t>&lt;ESMA_QUESTION_SFDR_14&gt;</w:t>
      </w:r>
    </w:p>
    <w:p w14:paraId="7FDBC0BE" w14:textId="77777777" w:rsidR="009C41BB" w:rsidRDefault="009C41BB" w:rsidP="009C41BB"/>
    <w:p w14:paraId="2C7E2AD7" w14:textId="77777777" w:rsidR="009C41BB" w:rsidRDefault="009C41BB" w:rsidP="009C41BB">
      <w:pPr>
        <w:pStyle w:val="Questionstyle"/>
        <w:numPr>
          <w:ilvl w:val="0"/>
          <w:numId w:val="42"/>
        </w:numPr>
      </w:pPr>
      <w:r>
        <w:t xml:space="preserve">: What are your views with regard to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14A8C247" w14:textId="76A82E4E" w:rsidR="009C41BB" w:rsidRDefault="00B12844" w:rsidP="009C41BB">
      <w:permStart w:id="8979202" w:edGrp="everyone"/>
      <w:r>
        <w:t>No answer.</w:t>
      </w:r>
    </w:p>
    <w:permEnd w:id="8979202"/>
    <w:p w14:paraId="2931ECD8" w14:textId="77777777" w:rsidR="009C41BB" w:rsidRDefault="009C41BB" w:rsidP="009C41BB">
      <w:r>
        <w:t>&lt;ESMA_QUESTION_SFDR_15&gt;</w:t>
      </w:r>
    </w:p>
    <w:p w14:paraId="7B57E625" w14:textId="77777777" w:rsidR="009C41BB" w:rsidRDefault="009C41BB" w:rsidP="009C41BB"/>
    <w:p w14:paraId="762504D0" w14:textId="77777777" w:rsidR="009C41BB" w:rsidRDefault="009C41BB" w:rsidP="009C41BB">
      <w:pPr>
        <w:pStyle w:val="Questionstyle"/>
        <w:numPr>
          <w:ilvl w:val="0"/>
          <w:numId w:val="42"/>
        </w:numPr>
        <w:rPr>
          <w:rFonts w:cstheme="minorHAnsi"/>
          <w:color w:val="000000"/>
        </w:rPr>
      </w:pPr>
      <w:r>
        <w:lastRenderedPageBreak/>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t>&lt;ESMA_QUESTION_SFDR_16&gt;</w:t>
      </w:r>
    </w:p>
    <w:p w14:paraId="178B62C5" w14:textId="5B48C44A" w:rsidR="009C41BB" w:rsidRDefault="00B12844" w:rsidP="009C41BB">
      <w:permStart w:id="1228814638" w:edGrp="everyone"/>
      <w:r>
        <w:t>No answer.</w:t>
      </w:r>
    </w:p>
    <w:permEnd w:id="1228814638"/>
    <w:p w14:paraId="5958D537" w14:textId="77777777" w:rsidR="009C41BB" w:rsidRDefault="009C41BB" w:rsidP="009C41BB">
      <w:r>
        <w:t>&lt;ESMA_QUESTION_SFDR_16&gt;</w:t>
      </w:r>
    </w:p>
    <w:p w14:paraId="3FF87AEB" w14:textId="77777777" w:rsidR="009C41BB" w:rsidRDefault="009C41BB" w:rsidP="009C41BB"/>
    <w:p w14:paraId="3A905E57" w14:textId="77777777" w:rsidR="009C41BB" w:rsidRDefault="009C41BB" w:rsidP="009C41BB">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7DDA6D60" w14:textId="213A910B" w:rsidR="009C41BB" w:rsidRDefault="00B12844" w:rsidP="009C41BB">
      <w:permStart w:id="791154279" w:edGrp="everyone"/>
      <w:r>
        <w:t>We agree with the ESAs view that currently there are significant inherent inconsistencies between the two parallel concepts of sustainability (SFDR’s PAIs and the DNSH framework under the EU Taxonomy). We agree that Level 1 reform of SFDR is required to resolve them and we welcome the “comprehensive assessment” of SFDR announced by the European Commission in January 2023.</w:t>
      </w:r>
    </w:p>
    <w:permEnd w:id="791154279"/>
    <w:p w14:paraId="3FA2FE7A" w14:textId="77777777" w:rsidR="009C41BB" w:rsidRDefault="009C41BB" w:rsidP="009C41BB">
      <w:r>
        <w:t>&lt;ESMA_QUESTION_SFDR_17&gt;</w:t>
      </w:r>
    </w:p>
    <w:p w14:paraId="6B0958DF" w14:textId="77777777" w:rsidR="009C41BB" w:rsidRDefault="009C41BB" w:rsidP="009C41BB"/>
    <w:p w14:paraId="60A358F2" w14:textId="77777777" w:rsidR="009C41BB" w:rsidRDefault="009C41BB" w:rsidP="009C41BB">
      <w:pPr>
        <w:pStyle w:val="Questionstyle"/>
        <w:numPr>
          <w:ilvl w:val="0"/>
          <w:numId w:val="42"/>
        </w:numPr>
      </w:pPr>
      <w:r>
        <w:t>: With regard to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6BBD22C7" w14:textId="7659E3FF" w:rsidR="009C41BB" w:rsidRDefault="001C5955" w:rsidP="009C41BB">
      <w:permStart w:id="984368250" w:edGrp="everyone"/>
      <w:r>
        <w:t>No answer.</w:t>
      </w:r>
    </w:p>
    <w:permEnd w:id="984368250"/>
    <w:p w14:paraId="51EC0BD3" w14:textId="77777777" w:rsidR="009C41BB" w:rsidRDefault="009C41BB" w:rsidP="009C41BB">
      <w:r>
        <w:t>&lt;ESMA_QUESTION_SFDR_18&gt;</w:t>
      </w:r>
    </w:p>
    <w:p w14:paraId="678E8E44" w14:textId="77777777" w:rsidR="009C41BB" w:rsidRDefault="009C41BB" w:rsidP="009C41BB"/>
    <w:p w14:paraId="62F4C721" w14:textId="77777777" w:rsidR="009C41BB" w:rsidRDefault="009C41BB" w:rsidP="009C41BB">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78C93EB3" w14:textId="7222FCB8" w:rsidR="009C41BB" w:rsidRDefault="001C5955" w:rsidP="009C41BB">
      <w:permStart w:id="403253184" w:edGrp="everyone"/>
      <w:r>
        <w:t>No answer.</w:t>
      </w:r>
    </w:p>
    <w:permEnd w:id="403253184"/>
    <w:p w14:paraId="5B774EBD" w14:textId="77777777" w:rsidR="009C41BB" w:rsidRDefault="009C41BB" w:rsidP="009C41BB">
      <w:r>
        <w:t>&lt;ESMA_QUESTION_SFDR_19&gt;</w:t>
      </w:r>
    </w:p>
    <w:p w14:paraId="0B14904A" w14:textId="77777777" w:rsidR="009C41BB" w:rsidRDefault="009C41BB" w:rsidP="009C41BB"/>
    <w:p w14:paraId="2EF02261" w14:textId="77777777" w:rsidR="009C41BB" w:rsidRDefault="009C41BB" w:rsidP="009C41BB">
      <w:pPr>
        <w:pStyle w:val="Questionstyle"/>
        <w:numPr>
          <w:ilvl w:val="0"/>
          <w:numId w:val="42"/>
        </w:numPr>
      </w:pPr>
      <w:r>
        <w:lastRenderedPageBreak/>
        <w:t>: Do you agree with the longer term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06A718F8" w14:textId="63ACEF5F" w:rsidR="001C5955" w:rsidRDefault="001C5955" w:rsidP="001C5955">
      <w:pPr>
        <w:rPr>
          <w:lang w:val="en-US"/>
        </w:rPr>
      </w:pPr>
      <w:permStart w:id="10765956" w:edGrp="everyone"/>
      <w:r w:rsidRPr="00225C92">
        <w:rPr>
          <w:lang w:val="en-US"/>
        </w:rPr>
        <w:t>EPRA does not agree with this view as the objective</w:t>
      </w:r>
      <w:r>
        <w:rPr>
          <w:lang w:val="en-US"/>
        </w:rPr>
        <w:t>s</w:t>
      </w:r>
      <w:r w:rsidRPr="00225C92">
        <w:rPr>
          <w:lang w:val="en-US"/>
        </w:rPr>
        <w:t xml:space="preserve"> of the EU Taxonomy regulation (setting up a standard of what environmentally sustainable economic activity is) and the SFDR regulations (fostering ESG disclosure of FMPs) are different. </w:t>
      </w:r>
    </w:p>
    <w:p w14:paraId="6131511F" w14:textId="7C67ECA5" w:rsidR="001C5955" w:rsidRPr="00225C92" w:rsidRDefault="001C5955" w:rsidP="001C5955">
      <w:pPr>
        <w:rPr>
          <w:lang w:val="en-US"/>
        </w:rPr>
      </w:pPr>
      <w:r w:rsidRPr="00225C92">
        <w:rPr>
          <w:lang w:val="en-US"/>
        </w:rPr>
        <w:t xml:space="preserve">The EU Taxonomy TSCs are setting up a golden standard on environmental sustainability. On the other hand, the DNSH assessment in SFDR (PAI indicators) are to display the negative impact of investments on the environment. The SFDR is not setting up a minimum standard on its own, but creating a framework on ESG disclosure. </w:t>
      </w:r>
    </w:p>
    <w:p w14:paraId="359F7B82" w14:textId="39EE6DAD" w:rsidR="001C5955" w:rsidRPr="00225C92" w:rsidRDefault="001C5955" w:rsidP="001C5955">
      <w:pPr>
        <w:rPr>
          <w:lang w:val="en-US"/>
        </w:rPr>
      </w:pPr>
      <w:r w:rsidRPr="00225C92">
        <w:rPr>
          <w:lang w:val="en-US"/>
        </w:rPr>
        <w:t xml:space="preserve">We believe that the SFDR’s objective should be reinforced by creating a uniform set of rules for ESG disclosure and by moving away from the differentiation between the Articles 8 &amp; 9 which are currently bringing a lot of confusion </w:t>
      </w:r>
      <w:r>
        <w:rPr>
          <w:lang w:val="en-US"/>
        </w:rPr>
        <w:t>on</w:t>
      </w:r>
      <w:r w:rsidRPr="00225C92">
        <w:rPr>
          <w:lang w:val="en-US"/>
        </w:rPr>
        <w:t xml:space="preserve"> the market in terms of their objectives and application.</w:t>
      </w:r>
    </w:p>
    <w:p w14:paraId="01E16D6A" w14:textId="56BF869E" w:rsidR="009C41BB" w:rsidRDefault="001C5955" w:rsidP="001C5955">
      <w:r w:rsidRPr="00225C92">
        <w:rPr>
          <w:lang w:val="en-US"/>
        </w:rPr>
        <w:t xml:space="preserve">We also believe that it is for the ESG labels/products categorization where a deeper discussion needs to take place regarding the setting up </w:t>
      </w:r>
      <w:r>
        <w:rPr>
          <w:lang w:val="en-US"/>
        </w:rPr>
        <w:t>a</w:t>
      </w:r>
      <w:r w:rsidRPr="00225C92">
        <w:rPr>
          <w:lang w:val="en-US"/>
        </w:rPr>
        <w:t xml:space="preserve"> minimum standards. </w:t>
      </w:r>
    </w:p>
    <w:permEnd w:id="10765956"/>
    <w:p w14:paraId="402F2518" w14:textId="77777777" w:rsidR="009C41BB" w:rsidRDefault="009C41BB" w:rsidP="009C41BB">
      <w:r>
        <w:t>&lt;ESMA_QUESTION_SFDR_20&gt;</w:t>
      </w:r>
    </w:p>
    <w:p w14:paraId="6BAEDC4A" w14:textId="77777777" w:rsidR="009C41BB" w:rsidRDefault="009C41BB" w:rsidP="009C41BB"/>
    <w:p w14:paraId="2E45FA2C" w14:textId="77777777" w:rsidR="009C41BB" w:rsidRDefault="009C41BB" w:rsidP="009C41BB">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3C2FE28" w14:textId="04E4B815" w:rsidR="009C41BB" w:rsidRDefault="001C5955" w:rsidP="009C41BB">
      <w:permStart w:id="1098926409" w:edGrp="everyone"/>
      <w:r>
        <w:t>No answer.</w:t>
      </w:r>
    </w:p>
    <w:permEnd w:id="1098926409"/>
    <w:p w14:paraId="7A9D32E6" w14:textId="77777777" w:rsidR="009C41BB" w:rsidRDefault="009C41BB" w:rsidP="009C41BB">
      <w:r>
        <w:t>&lt;ESMA_QUESTION_SFDR_21&gt;</w:t>
      </w:r>
    </w:p>
    <w:p w14:paraId="7BB690BF" w14:textId="77777777" w:rsidR="009C41BB" w:rsidRDefault="009C41BB" w:rsidP="009C41BB"/>
    <w:p w14:paraId="25DBDE82" w14:textId="77777777" w:rsidR="009C41BB" w:rsidRDefault="009C41BB" w:rsidP="009C41BB">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6D5BB63B" w14:textId="504081D3" w:rsidR="009C41BB" w:rsidRDefault="001C5955" w:rsidP="009C41BB">
      <w:permStart w:id="2084635173" w:edGrp="everyone"/>
      <w:r>
        <w:t>No answer.</w:t>
      </w:r>
    </w:p>
    <w:permEnd w:id="2084635173"/>
    <w:p w14:paraId="726ADD5B" w14:textId="77777777" w:rsidR="009C41BB" w:rsidRDefault="009C41BB" w:rsidP="009C41BB">
      <w:r>
        <w:t>&lt;ESMA_QUESTION_SFDR_22&gt;</w:t>
      </w:r>
    </w:p>
    <w:p w14:paraId="08BAE9DE" w14:textId="77777777" w:rsidR="009C41BB" w:rsidRDefault="009C41BB" w:rsidP="009C41BB"/>
    <w:p w14:paraId="05AA9C3B" w14:textId="77777777" w:rsidR="009C41BB" w:rsidRDefault="009C41BB" w:rsidP="009C41BB">
      <w:pPr>
        <w:pStyle w:val="Questionstyle"/>
        <w:numPr>
          <w:ilvl w:val="0"/>
          <w:numId w:val="42"/>
        </w:numPr>
      </w:pPr>
      <w:r>
        <w:lastRenderedPageBreak/>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39562372" w14:textId="1E82584A" w:rsidR="001C5955" w:rsidRDefault="001C5955" w:rsidP="001C5955">
      <w:pPr>
        <w:rPr>
          <w:lang w:val="en-US"/>
        </w:rPr>
      </w:pPr>
      <w:permStart w:id="762907966" w:edGrp="everyone"/>
      <w:r>
        <w:rPr>
          <w:lang w:val="en-US"/>
        </w:rPr>
        <w:t>Yes, we agree with the sufficiency of providing a hyperlink to the benchmark disclosures for products having GHG emissions reduction as their investment objective under Article 9(3) SFDR.</w:t>
      </w:r>
    </w:p>
    <w:p w14:paraId="21308E8B" w14:textId="0981CAC1" w:rsidR="001C5955" w:rsidRDefault="001C5955" w:rsidP="001C5955">
      <w:pPr>
        <w:rPr>
          <w:lang w:val="en-US"/>
        </w:rPr>
      </w:pPr>
      <w:r>
        <w:rPr>
          <w:lang w:val="en-US"/>
        </w:rPr>
        <w:t xml:space="preserve">No, we do not believe that the introduction of GHG emissions reduction target disclosures could lead to confusion between Article 9(3) and other Article 9 and 8 financial products. To the contrary, we believe that it could bring forth a greater clarity on the nature of Article 9(3). In addition, it would more easily enable FMPs to disclose supportive information to demonstrate how they achieve the specific decarbonization objective in these specific financial products. </w:t>
      </w:r>
    </w:p>
    <w:p w14:paraId="4EA3F9FC" w14:textId="534C069C" w:rsidR="001C5955" w:rsidRDefault="001C5955" w:rsidP="001C5955">
      <w:pPr>
        <w:rPr>
          <w:lang w:val="en-US"/>
        </w:rPr>
      </w:pPr>
      <w:r>
        <w:rPr>
          <w:lang w:val="en-US"/>
        </w:rPr>
        <w:t>What we would like to suggest is to redesign entirely the specific indicators which are used for the purpose of Article 9(3) as the existing set of PAIs is almost contradicting the nature of transition finance or impact investing which is sought after within Article 9(3). (See also EPRA response to Q10)</w:t>
      </w:r>
    </w:p>
    <w:p w14:paraId="15576685" w14:textId="26A666DD" w:rsidR="001C5955" w:rsidRDefault="001C5955" w:rsidP="001C5955">
      <w:pPr>
        <w:rPr>
          <w:lang w:val="en-US"/>
        </w:rPr>
      </w:pPr>
      <w:r>
        <w:rPr>
          <w:lang w:val="en-US"/>
        </w:rPr>
        <w:t xml:space="preserve">As an example, we can look at the energy efficiency of buildings (mandatory indicator) under the real estate category. The logic of this indicator, as mandated, is to show that the FMP is doing a significant harm because is investing in energy inefficient buildings, as opposed to those which are energy efficient. However, the purpose of decarbonization investment decisions in real estate means to acquire energy inefficient buildings and their energy renovations so that their energy performance is improved. Here it is a value/impact created by the financial products which are seeking to decrease the existing GHG emissions of the buildings as opposed to simply do a significant harm as suggested by the current logic of the selected PAIs which are mandatory for real estate investments. </w:t>
      </w:r>
    </w:p>
    <w:p w14:paraId="2E68E0F9" w14:textId="58C4FE1B" w:rsidR="001C5955" w:rsidRDefault="001C5955" w:rsidP="001C5955">
      <w:pPr>
        <w:rPr>
          <w:lang w:val="en-US"/>
        </w:rPr>
      </w:pPr>
      <w:r>
        <w:rPr>
          <w:lang w:val="en-US"/>
        </w:rPr>
        <w:t>As a consequence, we suggest to have a very different set of PAIs/indicators for Article 9(3) disclosure rather than introducing an additional set of indicators.</w:t>
      </w:r>
    </w:p>
    <w:p w14:paraId="088B8042" w14:textId="77777777" w:rsidR="001C5955" w:rsidRDefault="001C5955" w:rsidP="001C5955">
      <w:pPr>
        <w:rPr>
          <w:lang w:val="en-US"/>
        </w:rPr>
      </w:pPr>
      <w:r>
        <w:rPr>
          <w:lang w:val="en-US"/>
        </w:rPr>
        <w:t>For example, we proposed the following metrics to be considered for the real estate specific ESRS:</w:t>
      </w:r>
    </w:p>
    <w:p w14:paraId="6CF770B7" w14:textId="606A0D6E" w:rsidR="001C5955" w:rsidRPr="00012FD6" w:rsidRDefault="001C5955" w:rsidP="001C5955">
      <w:pPr>
        <w:pStyle w:val="ListParagraph"/>
        <w:numPr>
          <w:ilvl w:val="0"/>
          <w:numId w:val="44"/>
        </w:numPr>
        <w:spacing w:after="0" w:line="240" w:lineRule="auto"/>
      </w:pPr>
      <w:r w:rsidRPr="00012FD6">
        <w:t xml:space="preserve">To specifically address </w:t>
      </w:r>
      <w:r w:rsidRPr="00012FD6">
        <w:rPr>
          <w:b/>
          <w:bCs/>
        </w:rPr>
        <w:t xml:space="preserve">energy efficiency, </w:t>
      </w:r>
      <w:r w:rsidRPr="00012FD6">
        <w:t xml:space="preserve">EPRA proposes </w:t>
      </w:r>
      <w:r w:rsidRPr="00012FD6">
        <w:rPr>
          <w:b/>
          <w:bCs/>
        </w:rPr>
        <w:t>total energy intensity</w:t>
      </w:r>
      <w:r>
        <w:rPr>
          <w:b/>
          <w:bCs/>
        </w:rPr>
        <w:t xml:space="preserve"> </w:t>
      </w:r>
      <w:r w:rsidRPr="00012FD6">
        <w:rPr>
          <w:b/>
          <w:bCs/>
        </w:rPr>
        <w:t xml:space="preserve">in combination with total CO2 intensity (CO2e/m2) as a performance measurements. </w:t>
      </w:r>
    </w:p>
    <w:p w14:paraId="038206CD" w14:textId="77777777" w:rsidR="00F41F5F" w:rsidRDefault="00F41F5F" w:rsidP="001C5955"/>
    <w:p w14:paraId="450EB4BC" w14:textId="5F921D7C" w:rsidR="001C5955" w:rsidRPr="00012FD6" w:rsidRDefault="001C5955" w:rsidP="001C5955">
      <w:r w:rsidRPr="00012FD6">
        <w:t>Rationale</w:t>
      </w:r>
    </w:p>
    <w:p w14:paraId="60386B09" w14:textId="77777777" w:rsidR="001C5955" w:rsidRPr="00012FD6" w:rsidRDefault="001C5955" w:rsidP="001C5955">
      <w:r w:rsidRPr="00012FD6">
        <w:t xml:space="preserve">Building energy intensity is one of the most effective measures of a building’s overall energy efficiency during the occupation and operational phase of the building’s lifecycle, and enables analysis of performance over time without the need to exclude acquired or sold properties. Building energy intensity is primarily intended to track changes over time for the reporter’s assets and thus </w:t>
      </w:r>
      <w:r w:rsidRPr="00012FD6">
        <w:lastRenderedPageBreak/>
        <w:t>very suitable to see improvements of the companies’ property portfolio on energy efficiency. This measurement is based on the actual data unlike the EPCs which are based on the estimated data, and therefore it is more meaningful to investors.</w:t>
      </w:r>
    </w:p>
    <w:p w14:paraId="12E5B00C" w14:textId="55504A21" w:rsidR="001C5955" w:rsidRPr="001C5955" w:rsidRDefault="001C5955" w:rsidP="001C5955">
      <w:r w:rsidRPr="00012FD6">
        <w:t xml:space="preserve">The total CO2 intensity is then used to describe the real estate sector’s impact on climate change and it is in fact the most wanted performance metric by investors and non-financial rating agencies. </w:t>
      </w:r>
    </w:p>
    <w:p w14:paraId="109F68CC" w14:textId="1261582D" w:rsidR="001C5955" w:rsidRPr="00225C92" w:rsidRDefault="001C5955" w:rsidP="001C5955">
      <w:pPr>
        <w:autoSpaceDE w:val="0"/>
        <w:autoSpaceDN w:val="0"/>
        <w:adjustRightInd w:val="0"/>
        <w:spacing w:after="120"/>
        <w:jc w:val="both"/>
      </w:pPr>
      <w:r>
        <w:rPr>
          <w:lang w:val="en-US"/>
        </w:rPr>
        <w:t>In addition, we would suggest to consider</w:t>
      </w:r>
      <w:r>
        <w:rPr>
          <w:rFonts w:cs="Arial"/>
          <w:color w:val="12497F"/>
          <w:spacing w:val="-2"/>
          <w:szCs w:val="20"/>
        </w:rPr>
        <w:t xml:space="preserve"> </w:t>
      </w:r>
      <w:r w:rsidRPr="00225C92">
        <w:t xml:space="preserve">the </w:t>
      </w:r>
      <w:r w:rsidRPr="00225C92">
        <w:rPr>
          <w:b/>
          <w:bCs/>
        </w:rPr>
        <w:t>‘Average stranded year’</w:t>
      </w:r>
      <w:r w:rsidRPr="00225C92">
        <w:t xml:space="preserve"> </w:t>
      </w:r>
      <w:r>
        <w:t xml:space="preserve">of the portfolio </w:t>
      </w:r>
      <w:r w:rsidRPr="00225C92">
        <w:t xml:space="preserve">as an indicator for real estate assets. </w:t>
      </w:r>
      <w:r>
        <w:t xml:space="preserve">The estimation can be, for example, supported by the CRREM tool. </w:t>
      </w:r>
    </w:p>
    <w:permEnd w:id="762907966"/>
    <w:p w14:paraId="170F8ADF" w14:textId="308C06E3" w:rsidR="009C41BB" w:rsidRDefault="009C41BB" w:rsidP="009C41BB">
      <w:r>
        <w:t>&lt;ESMA_QUESTION_SFDR_23&gt;</w:t>
      </w:r>
    </w:p>
    <w:p w14:paraId="4A4F3D57" w14:textId="77777777" w:rsidR="009C41BB" w:rsidRDefault="009C41BB" w:rsidP="009C41BB"/>
    <w:p w14:paraId="5CF11283" w14:textId="77777777" w:rsidR="009C41BB" w:rsidRDefault="009C41BB" w:rsidP="009C41BB">
      <w:pPr>
        <w:pStyle w:val="Questionstyle"/>
        <w:numPr>
          <w:ilvl w:val="0"/>
          <w:numId w:val="4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2C9CFD87" w14:textId="234BF74B" w:rsidR="009C41BB" w:rsidRDefault="006058FD" w:rsidP="009C41BB">
      <w:permStart w:id="1536640680" w:edGrp="everyone"/>
      <w:r w:rsidRPr="00225C92">
        <w:t>We propose to keep this distinction as the latter is a prerequisite for an actual impact investment.</w:t>
      </w:r>
    </w:p>
    <w:permEnd w:id="1536640680"/>
    <w:p w14:paraId="1DB6EA41" w14:textId="77777777" w:rsidR="009C41BB" w:rsidRDefault="009C41BB" w:rsidP="009C41BB">
      <w:r>
        <w:t>&lt;ESMA_QUESTION_SFDR_24&gt;</w:t>
      </w:r>
    </w:p>
    <w:p w14:paraId="0D457AA9" w14:textId="77777777" w:rsidR="009C41BB" w:rsidRDefault="009C41BB" w:rsidP="009C41BB"/>
    <w:p w14:paraId="3D7F5DF7" w14:textId="77777777" w:rsidR="009C41BB" w:rsidRDefault="009C41BB" w:rsidP="009C41BB">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151967EC" w14:textId="6037176C" w:rsidR="00107E2B" w:rsidRPr="00D50318" w:rsidRDefault="00107E2B" w:rsidP="00107E2B">
      <w:pPr>
        <w:rPr>
          <w:lang w:val="en-US"/>
        </w:rPr>
      </w:pPr>
      <w:permStart w:id="1824523423" w:edGrp="everyone"/>
      <w:r w:rsidRPr="00225C92">
        <w:t>Yes, a number of tools are in existence to enable the sector plan its transition pathways, calculate performance and report on progress. One of the most prominent tools, which was funded by the EU, is called</w:t>
      </w:r>
      <w:r w:rsidRPr="005F6AA0">
        <w:rPr>
          <w:rFonts w:cs="Arial"/>
          <w:color w:val="0070C0"/>
          <w:spacing w:val="-2"/>
          <w:szCs w:val="20"/>
        </w:rPr>
        <w:t xml:space="preserve"> </w:t>
      </w:r>
      <w:hyperlink r:id="rId14" w:history="1">
        <w:r w:rsidRPr="00154946">
          <w:rPr>
            <w:color w:val="0070C0"/>
            <w:szCs w:val="20"/>
            <w:u w:val="single"/>
          </w:rPr>
          <w:t>the CRREM project</w:t>
        </w:r>
      </w:hyperlink>
      <w:r w:rsidRPr="005F6AA0">
        <w:rPr>
          <w:rFonts w:cs="Arial"/>
          <w:color w:val="12497F"/>
          <w:spacing w:val="-2"/>
          <w:szCs w:val="20"/>
        </w:rPr>
        <w:t>.</w:t>
      </w:r>
    </w:p>
    <w:permEnd w:id="1824523423"/>
    <w:p w14:paraId="1B2A7DBF" w14:textId="77777777" w:rsidR="009C41BB" w:rsidRDefault="009C41BB" w:rsidP="009C41BB">
      <w:r>
        <w:t>&lt;ESMA_QUESTION_SFDR_25&gt;</w:t>
      </w:r>
    </w:p>
    <w:p w14:paraId="4826CAD9" w14:textId="77777777" w:rsidR="009C41BB" w:rsidRDefault="009C41BB" w:rsidP="009C41BB"/>
    <w:p w14:paraId="1340C518" w14:textId="77777777" w:rsidR="009C41BB" w:rsidRDefault="009C41BB" w:rsidP="009C41BB">
      <w:pPr>
        <w:pStyle w:val="Questionstyle"/>
        <w:numPr>
          <w:ilvl w:val="0"/>
          <w:numId w:val="42"/>
        </w:numPr>
      </w:pPr>
      <w:r>
        <w:lastRenderedPageBreak/>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48793778" w14:textId="56462E26" w:rsidR="009C41BB" w:rsidRDefault="007A5A44" w:rsidP="009C41BB">
      <w:permStart w:id="1572164812" w:edGrp="everyone"/>
      <w:r>
        <w:t>Please see EPRA comment in Q12.</w:t>
      </w:r>
    </w:p>
    <w:permEnd w:id="1572164812"/>
    <w:p w14:paraId="6D51DAEC" w14:textId="77777777" w:rsidR="009C41BB" w:rsidRDefault="009C41BB" w:rsidP="009C41BB">
      <w:r>
        <w:t>&lt;ESMA_QUESTION_SFDR_26&gt;</w:t>
      </w:r>
    </w:p>
    <w:p w14:paraId="784871E3" w14:textId="77777777" w:rsidR="009C41BB" w:rsidRDefault="009C41BB" w:rsidP="009C41BB"/>
    <w:p w14:paraId="0E460FDF" w14:textId="77777777" w:rsidR="009C41BB" w:rsidRDefault="009C41BB" w:rsidP="009C41BB">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74E19DA1" w14:textId="043FAACB" w:rsidR="009C41BB" w:rsidRDefault="007D19AE" w:rsidP="009C41BB">
      <w:permStart w:id="324808106" w:edGrp="everyone"/>
      <w:r w:rsidRPr="00CE7211">
        <w:t>We agree that there should be a strong alignment between the CSRD, including the ESRS, and the SFDR’s disclosure.</w:t>
      </w:r>
    </w:p>
    <w:permEnd w:id="324808106"/>
    <w:p w14:paraId="0E6910F8" w14:textId="77777777" w:rsidR="009C41BB" w:rsidRDefault="009C41BB" w:rsidP="009C41BB">
      <w:r>
        <w:t>&lt;ESMA_QUESTION_SFDR_27&gt;</w:t>
      </w:r>
    </w:p>
    <w:p w14:paraId="6FBCA7B9" w14:textId="77777777" w:rsidR="009C41BB" w:rsidRDefault="009C41BB" w:rsidP="009C41BB"/>
    <w:p w14:paraId="337B55CD" w14:textId="77777777" w:rsidR="009C41BB" w:rsidRDefault="009C41BB" w:rsidP="009C41BB">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528C3FA3" w14:textId="42771CCA" w:rsidR="009C41BB" w:rsidRDefault="007D19AE" w:rsidP="009C41BB">
      <w:permStart w:id="1690654287" w:edGrp="everyone"/>
      <w:r>
        <w:t>No answer.</w:t>
      </w:r>
    </w:p>
    <w:permEnd w:id="1690654287"/>
    <w:p w14:paraId="6972221C" w14:textId="77777777" w:rsidR="009C41BB" w:rsidRDefault="009C41BB" w:rsidP="009C41BB">
      <w:r>
        <w:t>&lt;ESMA_QUESTION_SFDR_28&gt;</w:t>
      </w:r>
    </w:p>
    <w:p w14:paraId="5A937A77" w14:textId="77777777" w:rsidR="009C41BB" w:rsidRDefault="009C41BB" w:rsidP="009C41BB"/>
    <w:p w14:paraId="66CE0F74" w14:textId="77777777" w:rsidR="009C41BB" w:rsidRDefault="009C41BB" w:rsidP="009C41BB">
      <w:pPr>
        <w:pStyle w:val="Questionstyle"/>
        <w:numPr>
          <w:ilvl w:val="0"/>
          <w:numId w:val="42"/>
        </w:numPr>
      </w:pPr>
      <w:r>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Default="009C41BB" w:rsidP="009C41BB">
      <w:r>
        <w:t>&lt;ESMA_QUESTION_SFDR_29&gt;</w:t>
      </w:r>
    </w:p>
    <w:p w14:paraId="6B53418B" w14:textId="77777777" w:rsidR="007D19AE" w:rsidRDefault="007D19AE" w:rsidP="007D19AE">
      <w:permStart w:id="345583522" w:edGrp="everyone"/>
      <w:r>
        <w:lastRenderedPageBreak/>
        <w:t>No answer.</w:t>
      </w:r>
    </w:p>
    <w:permEnd w:id="345583522"/>
    <w:p w14:paraId="7C1B77E1" w14:textId="77777777" w:rsidR="009C41BB" w:rsidRDefault="009C41BB" w:rsidP="009C41BB">
      <w:r>
        <w:t>&lt;ESMA_QUESTION_SFDR_29&gt;</w:t>
      </w:r>
    </w:p>
    <w:p w14:paraId="44D2F33E" w14:textId="77777777" w:rsidR="009C41BB" w:rsidRDefault="009C41BB" w:rsidP="009C41BB"/>
    <w:p w14:paraId="6BCA58C7" w14:textId="77777777" w:rsidR="009C41BB" w:rsidRDefault="009C41BB" w:rsidP="009C41BB">
      <w:pPr>
        <w:pStyle w:val="Questionstyle"/>
        <w:numPr>
          <w:ilvl w:val="0"/>
          <w:numId w:val="4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43AFA18B" w14:textId="77777777" w:rsidR="007D19AE" w:rsidRDefault="007D19AE" w:rsidP="007D19AE">
      <w:permStart w:id="882537477" w:edGrp="everyone"/>
      <w:r>
        <w:t>No answer.</w:t>
      </w:r>
    </w:p>
    <w:permEnd w:id="882537477"/>
    <w:p w14:paraId="3CC109DF" w14:textId="77777777" w:rsidR="009C41BB" w:rsidRDefault="009C41BB" w:rsidP="009C41BB">
      <w:r>
        <w:t>&lt;ESMA_QUESTION_SFDR_30&gt;</w:t>
      </w:r>
    </w:p>
    <w:p w14:paraId="54A490E5" w14:textId="77777777" w:rsidR="009C41BB" w:rsidRDefault="009C41BB" w:rsidP="009C41BB"/>
    <w:p w14:paraId="48578419" w14:textId="77777777" w:rsidR="009C41BB" w:rsidRDefault="009C41BB" w:rsidP="009C41BB">
      <w:pPr>
        <w:pStyle w:val="Questionstyle"/>
        <w:numPr>
          <w:ilvl w:val="0"/>
          <w:numId w:val="4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6C4B2523" w14:textId="77777777" w:rsidR="007D19AE" w:rsidRDefault="007D19AE" w:rsidP="007D19AE">
      <w:permStart w:id="1707819988" w:edGrp="everyone"/>
      <w:r>
        <w:t>No answer.</w:t>
      </w:r>
    </w:p>
    <w:permEnd w:id="1707819988"/>
    <w:p w14:paraId="6EAACB4A" w14:textId="77777777" w:rsidR="009C41BB" w:rsidRDefault="009C41BB" w:rsidP="009C41BB">
      <w:r>
        <w:t>&lt;ESMA_QUESTION_SFDR_31&gt;</w:t>
      </w:r>
    </w:p>
    <w:p w14:paraId="2945C3E1" w14:textId="77777777" w:rsidR="009C41BB" w:rsidRDefault="009C41BB" w:rsidP="009C41BB"/>
    <w:p w14:paraId="74785B16" w14:textId="77777777" w:rsidR="009C41BB" w:rsidRDefault="009C41BB" w:rsidP="009C41BB">
      <w:pPr>
        <w:pStyle w:val="Questionstyle"/>
        <w:numPr>
          <w:ilvl w:val="0"/>
          <w:numId w:val="42"/>
        </w:numPr>
      </w:pPr>
      <w:r>
        <w:t>: Do you have any suggestion on how to further simplify or enhance the legibility of the current templates?</w:t>
      </w:r>
    </w:p>
    <w:p w14:paraId="484B5EB7" w14:textId="77777777" w:rsidR="009C41BB" w:rsidRDefault="009C41BB" w:rsidP="009C41BB">
      <w:r>
        <w:t>&lt;ESMA_QUESTION_SFDR_32&gt;</w:t>
      </w:r>
    </w:p>
    <w:p w14:paraId="3AB4C0DE" w14:textId="77777777" w:rsidR="007D19AE" w:rsidRDefault="007D19AE" w:rsidP="007D19AE">
      <w:permStart w:id="1048058332" w:edGrp="everyone"/>
      <w:r>
        <w:t>No answer.</w:t>
      </w:r>
    </w:p>
    <w:permEnd w:id="1048058332"/>
    <w:p w14:paraId="7E9441BB" w14:textId="77777777" w:rsidR="009C41BB" w:rsidRDefault="009C41BB" w:rsidP="009C41BB">
      <w:r>
        <w:t>&lt;ESMA_QUESTION_SFDR_32&gt;</w:t>
      </w:r>
    </w:p>
    <w:p w14:paraId="18AAA0E4" w14:textId="77777777" w:rsidR="009C41BB" w:rsidRDefault="009C41BB" w:rsidP="009C41BB"/>
    <w:p w14:paraId="64EB0B57" w14:textId="77777777" w:rsidR="009C41BB" w:rsidRDefault="009C41BB" w:rsidP="009C41BB">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Default="009C41BB" w:rsidP="009C41BB">
      <w:r>
        <w:lastRenderedPageBreak/>
        <w:t>&lt;ESMA_QUESTION_SFDR_33&gt;</w:t>
      </w:r>
    </w:p>
    <w:p w14:paraId="59CC551E" w14:textId="77777777" w:rsidR="007D19AE" w:rsidRDefault="007D19AE" w:rsidP="007D19AE">
      <w:permStart w:id="508707671" w:edGrp="everyone"/>
      <w:r>
        <w:t>No answer.</w:t>
      </w:r>
    </w:p>
    <w:permEnd w:id="508707671"/>
    <w:p w14:paraId="6599A667" w14:textId="77777777" w:rsidR="009C41BB" w:rsidRDefault="009C41BB" w:rsidP="009C41BB">
      <w:r>
        <w:t>&lt;ESMA_QUESTION_SFDR_33&gt;</w:t>
      </w:r>
    </w:p>
    <w:p w14:paraId="5291B095" w14:textId="77777777" w:rsidR="009C41BB" w:rsidRDefault="009C41BB" w:rsidP="009C41BB"/>
    <w:p w14:paraId="3A3024F0" w14:textId="77777777" w:rsidR="009C41BB" w:rsidRDefault="009C41BB" w:rsidP="009C41BB">
      <w:pPr>
        <w:pStyle w:val="Questionstyle"/>
        <w:numPr>
          <w:ilvl w:val="0"/>
          <w:numId w:val="4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123191B1" w14:textId="77777777" w:rsidR="007D19AE" w:rsidRDefault="007D19AE" w:rsidP="007D19AE">
      <w:permStart w:id="1238830826" w:edGrp="everyone"/>
      <w:r>
        <w:t>No answer.</w:t>
      </w:r>
    </w:p>
    <w:permEnd w:id="1238830826"/>
    <w:p w14:paraId="16A8B44E" w14:textId="77777777" w:rsidR="009C41BB" w:rsidRDefault="009C41BB" w:rsidP="009C41BB">
      <w:r>
        <w:t>&lt;ESMA_QUESTION_SFDR_34&gt;</w:t>
      </w:r>
    </w:p>
    <w:p w14:paraId="6119CB7B" w14:textId="77777777" w:rsidR="009C41BB" w:rsidRDefault="009C41BB" w:rsidP="009C41BB"/>
    <w:p w14:paraId="35A021E6" w14:textId="77777777" w:rsidR="009C41BB" w:rsidRDefault="009C41BB" w:rsidP="009C41BB">
      <w:pPr>
        <w:pStyle w:val="Questionstyle"/>
        <w:numPr>
          <w:ilvl w:val="0"/>
          <w:numId w:val="42"/>
        </w:numPr>
      </w:pPr>
      <w:r>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234E152F" w14:textId="77777777" w:rsidR="007D19AE" w:rsidRDefault="007D19AE" w:rsidP="007D19AE">
      <w:permStart w:id="1518801582" w:edGrp="everyone"/>
      <w:r>
        <w:t>No answer.</w:t>
      </w:r>
    </w:p>
    <w:permEnd w:id="1518801582"/>
    <w:p w14:paraId="6C8E5897" w14:textId="77777777" w:rsidR="009C41BB" w:rsidRDefault="009C41BB" w:rsidP="009C41BB">
      <w:r>
        <w:t>&lt;ESMA_QUESTION_SFDR_35&gt;</w:t>
      </w:r>
    </w:p>
    <w:p w14:paraId="2BE97EFC" w14:textId="77777777" w:rsidR="009C41BB" w:rsidRDefault="009C41BB" w:rsidP="009C41BB"/>
    <w:p w14:paraId="37B95334" w14:textId="77777777" w:rsidR="009C41BB" w:rsidRDefault="009C41BB" w:rsidP="009C41BB">
      <w:pPr>
        <w:pStyle w:val="Questionstyle"/>
        <w:numPr>
          <w:ilvl w:val="0"/>
          <w:numId w:val="42"/>
        </w:numPr>
      </w:pPr>
      <w:r>
        <w:t>: Do you have any feedback with regard to the potential criteria for estimates?</w:t>
      </w:r>
    </w:p>
    <w:p w14:paraId="5BB9BA92" w14:textId="77777777" w:rsidR="009C41BB" w:rsidRDefault="009C41BB" w:rsidP="009C41BB">
      <w:r>
        <w:t>&lt;ESMA_QUESTION_SFDR_36&gt;</w:t>
      </w:r>
    </w:p>
    <w:p w14:paraId="11D46DDC" w14:textId="77777777" w:rsidR="007D19AE" w:rsidRDefault="007D19AE" w:rsidP="007D19AE">
      <w:permStart w:id="1790969231" w:edGrp="everyone"/>
      <w:r>
        <w:t>No answer.</w:t>
      </w:r>
    </w:p>
    <w:permEnd w:id="1790969231"/>
    <w:p w14:paraId="08A6D8BD" w14:textId="77777777" w:rsidR="009C41BB" w:rsidRDefault="009C41BB" w:rsidP="009C41BB">
      <w:r>
        <w:t>&lt;ESMA_QUESTION_SFDR_36&gt;</w:t>
      </w:r>
    </w:p>
    <w:p w14:paraId="03D58FD3" w14:textId="77777777" w:rsidR="009C41BB" w:rsidRDefault="009C41BB" w:rsidP="009C41BB"/>
    <w:p w14:paraId="32FB37DE" w14:textId="77777777" w:rsidR="009C41BB" w:rsidRDefault="009C41BB" w:rsidP="009C41BB">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6AC7AD3C" w14:textId="77777777" w:rsidR="007D19AE" w:rsidRDefault="007D19AE" w:rsidP="007D19AE">
      <w:permStart w:id="1749556615" w:edGrp="everyone"/>
      <w:r>
        <w:t>No answer.</w:t>
      </w:r>
    </w:p>
    <w:permEnd w:id="1749556615"/>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Default="009C41BB" w:rsidP="009C41BB">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579E5DF8" w14:textId="77777777" w:rsidR="007D19AE" w:rsidRDefault="007D19AE" w:rsidP="007D19AE">
      <w:permStart w:id="150538573" w:edGrp="everyone"/>
      <w:r>
        <w:t>No answer.</w:t>
      </w:r>
    </w:p>
    <w:permEnd w:id="150538573"/>
    <w:p w14:paraId="2FA3340A" w14:textId="77777777" w:rsidR="009C41BB" w:rsidRDefault="009C41BB" w:rsidP="009C41BB">
      <w:r>
        <w:t>&lt;ESMA_QUESTION_SFDR_38&gt;</w:t>
      </w:r>
    </w:p>
    <w:p w14:paraId="23102D84" w14:textId="77777777" w:rsidR="009C41BB" w:rsidRDefault="009C41BB" w:rsidP="009C41BB"/>
    <w:p w14:paraId="3EAED82D" w14:textId="77777777" w:rsidR="009C41BB" w:rsidRDefault="009C41BB" w:rsidP="009C41BB">
      <w:pPr>
        <w:pStyle w:val="Questionstyle"/>
        <w:numPr>
          <w:ilvl w:val="0"/>
          <w:numId w:val="42"/>
        </w:numPr>
      </w:pPr>
      <w:r>
        <w:t>: Do you agree that cross-referencing in periodic disclosures of financial products with investment options would be beneficial to address information overload?</w:t>
      </w:r>
    </w:p>
    <w:p w14:paraId="54A80B2A" w14:textId="77777777" w:rsidR="009C41BB" w:rsidRDefault="009C41BB" w:rsidP="009C41BB">
      <w:r>
        <w:t>&lt;ESMA_QUESTION_SFDR_39&gt;</w:t>
      </w:r>
    </w:p>
    <w:p w14:paraId="5E6E2650" w14:textId="77777777" w:rsidR="007D19AE" w:rsidRDefault="007D19AE" w:rsidP="007D19AE">
      <w:permStart w:id="66810246" w:edGrp="everyone"/>
      <w:r>
        <w:t>No answer.</w:t>
      </w:r>
    </w:p>
    <w:permEnd w:id="66810246"/>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rsidP="009C41BB">
      <w:pPr>
        <w:pStyle w:val="Questionstyle"/>
        <w:numPr>
          <w:ilvl w:val="0"/>
          <w:numId w:val="42"/>
        </w:numPr>
      </w:pPr>
      <w:r>
        <w:t>: Do you agree with the proposed website disclosures for financial products with investment options?</w:t>
      </w:r>
    </w:p>
    <w:p w14:paraId="66B2AEB5" w14:textId="77777777" w:rsidR="009C41BB" w:rsidRDefault="009C41BB" w:rsidP="009C41BB">
      <w:r>
        <w:t>&lt;ESMA_QUESTION_SFDR_40&gt;</w:t>
      </w:r>
    </w:p>
    <w:p w14:paraId="0984E61F" w14:textId="77777777" w:rsidR="007D19AE" w:rsidRDefault="007D19AE" w:rsidP="007D19AE">
      <w:permStart w:id="1994998464" w:edGrp="everyone"/>
      <w:r>
        <w:t>No answer.</w:t>
      </w:r>
    </w:p>
    <w:permEnd w:id="1994998464"/>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Default="009C41BB" w:rsidP="009C41BB">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0FD97384" w14:textId="77777777" w:rsidR="007D19AE" w:rsidRDefault="007D19AE" w:rsidP="007D19AE">
      <w:permStart w:id="850545276" w:edGrp="everyone"/>
      <w:r>
        <w:t>No answer.</w:t>
      </w:r>
    </w:p>
    <w:permEnd w:id="850545276"/>
    <w:p w14:paraId="37566D76" w14:textId="77777777" w:rsidR="009C41BB" w:rsidRDefault="009C41BB" w:rsidP="009C41BB">
      <w:r>
        <w:lastRenderedPageBreak/>
        <w:t>&lt;ESMA_QUESTION_SFDR_41&gt;</w:t>
      </w:r>
    </w:p>
    <w:p w14:paraId="09B21CC4" w14:textId="77777777" w:rsidR="009C41BB" w:rsidRDefault="009C41BB" w:rsidP="009C41BB"/>
    <w:p w14:paraId="110636F7" w14:textId="77777777" w:rsidR="009C41BB" w:rsidRDefault="009C41BB" w:rsidP="009C41BB">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7985E72" w14:textId="77777777" w:rsidR="007D19AE" w:rsidRDefault="007D19AE" w:rsidP="007D19AE">
      <w:permStart w:id="279847984" w:edGrp="everyone"/>
      <w:r>
        <w:t>No answer.</w:t>
      </w:r>
    </w:p>
    <w:permEnd w:id="279847984"/>
    <w:p w14:paraId="09FA201E" w14:textId="77777777" w:rsidR="009C41BB" w:rsidRDefault="009C41BB" w:rsidP="009C41BB">
      <w:r>
        <w:t>&lt;ESMA_QUESTION_SFDR_42&gt;</w:t>
      </w:r>
    </w:p>
    <w:p w14:paraId="5BAED5BF" w14:textId="77777777" w:rsidR="009C41BB" w:rsidRDefault="009C41BB" w:rsidP="009C41BB"/>
    <w:p w14:paraId="5D4AD8BA" w14:textId="77777777" w:rsidR="009C41BB" w:rsidRDefault="009C41BB" w:rsidP="009C41BB">
      <w:pPr>
        <w:pStyle w:val="Questionstyle"/>
        <w:numPr>
          <w:ilvl w:val="0"/>
          <w:numId w:val="42"/>
        </w:numPr>
      </w:pPr>
      <w:r>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041E5CE0" w14:textId="77777777" w:rsidR="007D19AE" w:rsidRDefault="007D19AE" w:rsidP="007D19AE">
      <w:permStart w:id="169626475" w:edGrp="everyone"/>
      <w:r>
        <w:t>No answer.</w:t>
      </w:r>
    </w:p>
    <w:permEnd w:id="169626475"/>
    <w:p w14:paraId="76F88AAD" w14:textId="77777777" w:rsidR="009C41BB" w:rsidRDefault="009C41BB" w:rsidP="009C41BB">
      <w:r>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5"/>
      <w:headerReference w:type="default" r:id="rId16"/>
      <w:footerReference w:type="even" r:id="rId17"/>
      <w:footerReference w:type="default" r:id="rId18"/>
      <w:headerReference w:type="first" r:id="rId19"/>
      <w:footerReference w:type="first" r:id="rId20"/>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984F" w14:textId="77777777" w:rsidR="00D65F20" w:rsidRDefault="00D65F20" w:rsidP="00707738">
      <w:pPr>
        <w:spacing w:after="0" w:line="240" w:lineRule="auto"/>
      </w:pPr>
      <w:r>
        <w:separator/>
      </w:r>
    </w:p>
  </w:endnote>
  <w:endnote w:type="continuationSeparator" w:id="0">
    <w:p w14:paraId="5FDD39E4" w14:textId="77777777" w:rsidR="00D65F20" w:rsidRDefault="00D65F20"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verpass">
    <w:altName w:val="Cambria"/>
    <w:charset w:val="00"/>
    <w:family w:val="auto"/>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Footer"/>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F27E" w14:textId="77777777" w:rsidR="00D65F20" w:rsidRDefault="00D65F20" w:rsidP="00707738">
      <w:pPr>
        <w:spacing w:after="0" w:line="240" w:lineRule="auto"/>
      </w:pPr>
      <w:r>
        <w:separator/>
      </w:r>
    </w:p>
  </w:footnote>
  <w:footnote w:type="continuationSeparator" w:id="0">
    <w:p w14:paraId="0E6D8D04" w14:textId="77777777" w:rsidR="00D65F20" w:rsidRDefault="00D65F20" w:rsidP="00707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379BD00B">
            <v:group id="Group 2" style="position:absolute;margin-left:0;margin-top:-.05pt;width:424.85pt;height:51.75pt;z-index:251659264;mso-position-horizontal:center;mso-position-horizontal-relative:margin" coordsize="53955,6572" o:spid="_x0000_s1026" w14:anchorId="161CCC8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41077;top:211;width:12878;height:551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cropleft="48719f" o:title="" r:id="rId3"/>
              </v:shape>
              <v:shape id="Graphic 1" style="position:absolute;width:38290;height:6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2"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5276D"/>
    <w:multiLevelType w:val="hybridMultilevel"/>
    <w:tmpl w:val="1682B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A0F69E4"/>
    <w:multiLevelType w:val="hybridMultilevel"/>
    <w:tmpl w:val="7AF47856"/>
    <w:lvl w:ilvl="0" w:tplc="2C52B09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2D2EB0"/>
    <w:multiLevelType w:val="hybridMultilevel"/>
    <w:tmpl w:val="88F22B78"/>
    <w:lvl w:ilvl="0" w:tplc="03A883E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522741">
    <w:abstractNumId w:val="22"/>
  </w:num>
  <w:num w:numId="2" w16cid:durableId="1173495345">
    <w:abstractNumId w:val="1"/>
  </w:num>
  <w:num w:numId="3" w16cid:durableId="166870467">
    <w:abstractNumId w:val="7"/>
  </w:num>
  <w:num w:numId="4" w16cid:durableId="1691951035">
    <w:abstractNumId w:val="23"/>
  </w:num>
  <w:num w:numId="5" w16cid:durableId="1011906559">
    <w:abstractNumId w:val="29"/>
  </w:num>
  <w:num w:numId="6" w16cid:durableId="1277104421">
    <w:abstractNumId w:val="31"/>
  </w:num>
  <w:num w:numId="7" w16cid:durableId="242104871">
    <w:abstractNumId w:val="20"/>
  </w:num>
  <w:num w:numId="8" w16cid:durableId="522284696">
    <w:abstractNumId w:val="12"/>
  </w:num>
  <w:num w:numId="9" w16cid:durableId="1250770362">
    <w:abstractNumId w:val="8"/>
  </w:num>
  <w:num w:numId="10" w16cid:durableId="1358701701">
    <w:abstractNumId w:val="36"/>
  </w:num>
  <w:num w:numId="11" w16cid:durableId="1625037795">
    <w:abstractNumId w:val="21"/>
  </w:num>
  <w:num w:numId="12" w16cid:durableId="61487579">
    <w:abstractNumId w:val="42"/>
  </w:num>
  <w:num w:numId="13" w16cid:durableId="856233915">
    <w:abstractNumId w:val="16"/>
  </w:num>
  <w:num w:numId="14" w16cid:durableId="1381858278">
    <w:abstractNumId w:val="34"/>
  </w:num>
  <w:num w:numId="15" w16cid:durableId="402408764">
    <w:abstractNumId w:val="3"/>
  </w:num>
  <w:num w:numId="16" w16cid:durableId="1085760005">
    <w:abstractNumId w:val="28"/>
  </w:num>
  <w:num w:numId="17" w16cid:durableId="633215943">
    <w:abstractNumId w:val="5"/>
  </w:num>
  <w:num w:numId="18" w16cid:durableId="2020691353">
    <w:abstractNumId w:val="25"/>
  </w:num>
  <w:num w:numId="19" w16cid:durableId="1500385072">
    <w:abstractNumId w:val="10"/>
  </w:num>
  <w:num w:numId="20" w16cid:durableId="1520046844">
    <w:abstractNumId w:val="39"/>
  </w:num>
  <w:num w:numId="21" w16cid:durableId="748115910">
    <w:abstractNumId w:val="4"/>
  </w:num>
  <w:num w:numId="22" w16cid:durableId="717703608">
    <w:abstractNumId w:val="35"/>
  </w:num>
  <w:num w:numId="23" w16cid:durableId="600113171">
    <w:abstractNumId w:val="14"/>
  </w:num>
  <w:num w:numId="24" w16cid:durableId="241523878">
    <w:abstractNumId w:val="37"/>
  </w:num>
  <w:num w:numId="25" w16cid:durableId="80297080">
    <w:abstractNumId w:val="9"/>
  </w:num>
  <w:num w:numId="26" w16cid:durableId="576936923">
    <w:abstractNumId w:val="38"/>
  </w:num>
  <w:num w:numId="27" w16cid:durableId="379136238">
    <w:abstractNumId w:val="19"/>
  </w:num>
  <w:num w:numId="28" w16cid:durableId="1234242114">
    <w:abstractNumId w:val="17"/>
  </w:num>
  <w:num w:numId="29" w16cid:durableId="6490979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5"/>
  </w:num>
  <w:num w:numId="31" w16cid:durableId="2036344500">
    <w:abstractNumId w:val="18"/>
  </w:num>
  <w:num w:numId="32" w16cid:durableId="891308780">
    <w:abstractNumId w:val="27"/>
  </w:num>
  <w:num w:numId="33" w16cid:durableId="2059163146">
    <w:abstractNumId w:val="2"/>
  </w:num>
  <w:num w:numId="34" w16cid:durableId="767845549">
    <w:abstractNumId w:val="11"/>
  </w:num>
  <w:num w:numId="35" w16cid:durableId="1295915667">
    <w:abstractNumId w:val="0"/>
  </w:num>
  <w:num w:numId="36" w16cid:durableId="597906997">
    <w:abstractNumId w:val="32"/>
  </w:num>
  <w:num w:numId="37" w16cid:durableId="860432523">
    <w:abstractNumId w:val="26"/>
  </w:num>
  <w:num w:numId="38" w16cid:durableId="1880386777">
    <w:abstractNumId w:val="24"/>
  </w:num>
  <w:num w:numId="39" w16cid:durableId="140314737">
    <w:abstractNumId w:val="6"/>
  </w:num>
  <w:num w:numId="40" w16cid:durableId="399055937">
    <w:abstractNumId w:val="30"/>
  </w:num>
  <w:num w:numId="41" w16cid:durableId="713895999">
    <w:abstractNumId w:val="13"/>
  </w:num>
  <w:num w:numId="42" w16cid:durableId="184565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1176773">
    <w:abstractNumId w:val="33"/>
  </w:num>
  <w:num w:numId="44" w16cid:durableId="1386563090">
    <w:abstractNumId w:val="41"/>
  </w:num>
  <w:num w:numId="45" w16cid:durableId="97256122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0" w:nlCheck="1" w:checkStyle="0"/>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7975"/>
    <w:rsid w:val="00017CCB"/>
    <w:rsid w:val="00017E26"/>
    <w:rsid w:val="00020224"/>
    <w:rsid w:val="000210DA"/>
    <w:rsid w:val="00021998"/>
    <w:rsid w:val="0002382B"/>
    <w:rsid w:val="0003054A"/>
    <w:rsid w:val="00034BCA"/>
    <w:rsid w:val="00034CD6"/>
    <w:rsid w:val="0003591B"/>
    <w:rsid w:val="00041510"/>
    <w:rsid w:val="0004186B"/>
    <w:rsid w:val="000419D7"/>
    <w:rsid w:val="00045DC1"/>
    <w:rsid w:val="000509EF"/>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625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76A0"/>
    <w:rsid w:val="000D081D"/>
    <w:rsid w:val="000D274A"/>
    <w:rsid w:val="000D5DA1"/>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07E2B"/>
    <w:rsid w:val="00111EE2"/>
    <w:rsid w:val="00114AE5"/>
    <w:rsid w:val="00115964"/>
    <w:rsid w:val="00117F89"/>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EE6"/>
    <w:rsid w:val="00185016"/>
    <w:rsid w:val="00185CBB"/>
    <w:rsid w:val="00185FAB"/>
    <w:rsid w:val="0019445C"/>
    <w:rsid w:val="001A6646"/>
    <w:rsid w:val="001A7191"/>
    <w:rsid w:val="001A7C2A"/>
    <w:rsid w:val="001B4613"/>
    <w:rsid w:val="001B6F96"/>
    <w:rsid w:val="001B78F3"/>
    <w:rsid w:val="001B7B9B"/>
    <w:rsid w:val="001C0B9E"/>
    <w:rsid w:val="001C2449"/>
    <w:rsid w:val="001C39FE"/>
    <w:rsid w:val="001C5955"/>
    <w:rsid w:val="001C71D5"/>
    <w:rsid w:val="001C78E7"/>
    <w:rsid w:val="001D28D2"/>
    <w:rsid w:val="001D3D71"/>
    <w:rsid w:val="001D5DBD"/>
    <w:rsid w:val="001D6744"/>
    <w:rsid w:val="001D6960"/>
    <w:rsid w:val="001D741B"/>
    <w:rsid w:val="001D7E6B"/>
    <w:rsid w:val="001E7466"/>
    <w:rsid w:val="001F049E"/>
    <w:rsid w:val="001F0D95"/>
    <w:rsid w:val="001F0EE1"/>
    <w:rsid w:val="001F1F4E"/>
    <w:rsid w:val="001F204C"/>
    <w:rsid w:val="001F3FCA"/>
    <w:rsid w:val="001F7A65"/>
    <w:rsid w:val="00204003"/>
    <w:rsid w:val="00205962"/>
    <w:rsid w:val="00206F76"/>
    <w:rsid w:val="0021224B"/>
    <w:rsid w:val="00214016"/>
    <w:rsid w:val="0022333D"/>
    <w:rsid w:val="0022392F"/>
    <w:rsid w:val="00223C1A"/>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3135"/>
    <w:rsid w:val="00254757"/>
    <w:rsid w:val="002554C6"/>
    <w:rsid w:val="00256770"/>
    <w:rsid w:val="00262BC4"/>
    <w:rsid w:val="00263177"/>
    <w:rsid w:val="00270481"/>
    <w:rsid w:val="002724C2"/>
    <w:rsid w:val="002742CC"/>
    <w:rsid w:val="00276971"/>
    <w:rsid w:val="00276D48"/>
    <w:rsid w:val="00281EC6"/>
    <w:rsid w:val="00285AAD"/>
    <w:rsid w:val="00286684"/>
    <w:rsid w:val="00294F4A"/>
    <w:rsid w:val="00297997"/>
    <w:rsid w:val="002A3A96"/>
    <w:rsid w:val="002A52F1"/>
    <w:rsid w:val="002B7CAB"/>
    <w:rsid w:val="002C5816"/>
    <w:rsid w:val="002C6DB7"/>
    <w:rsid w:val="002D2AF8"/>
    <w:rsid w:val="002D4E1F"/>
    <w:rsid w:val="002D6035"/>
    <w:rsid w:val="002D609E"/>
    <w:rsid w:val="002D7006"/>
    <w:rsid w:val="002D7454"/>
    <w:rsid w:val="002E18B7"/>
    <w:rsid w:val="002E3A1C"/>
    <w:rsid w:val="002E552F"/>
    <w:rsid w:val="002F16EA"/>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31B7"/>
    <w:rsid w:val="00330F6D"/>
    <w:rsid w:val="00341A52"/>
    <w:rsid w:val="003450BC"/>
    <w:rsid w:val="003458EC"/>
    <w:rsid w:val="0034665F"/>
    <w:rsid w:val="003478C9"/>
    <w:rsid w:val="00351678"/>
    <w:rsid w:val="00351724"/>
    <w:rsid w:val="00352F26"/>
    <w:rsid w:val="00354021"/>
    <w:rsid w:val="0035675F"/>
    <w:rsid w:val="00356CA0"/>
    <w:rsid w:val="00362582"/>
    <w:rsid w:val="003635DC"/>
    <w:rsid w:val="003643E0"/>
    <w:rsid w:val="003653C8"/>
    <w:rsid w:val="003661A6"/>
    <w:rsid w:val="00367B0A"/>
    <w:rsid w:val="00367CD1"/>
    <w:rsid w:val="00367F99"/>
    <w:rsid w:val="003713E2"/>
    <w:rsid w:val="0037316F"/>
    <w:rsid w:val="00377F18"/>
    <w:rsid w:val="00380BED"/>
    <w:rsid w:val="00384600"/>
    <w:rsid w:val="00384678"/>
    <w:rsid w:val="00391785"/>
    <w:rsid w:val="00391C7B"/>
    <w:rsid w:val="00397767"/>
    <w:rsid w:val="00397AF5"/>
    <w:rsid w:val="003A61D4"/>
    <w:rsid w:val="003A6AE1"/>
    <w:rsid w:val="003A758F"/>
    <w:rsid w:val="003B7881"/>
    <w:rsid w:val="003C0B83"/>
    <w:rsid w:val="003C3243"/>
    <w:rsid w:val="003C34DE"/>
    <w:rsid w:val="003C42D8"/>
    <w:rsid w:val="003C58CA"/>
    <w:rsid w:val="003D2755"/>
    <w:rsid w:val="003E3CD5"/>
    <w:rsid w:val="003E6A9E"/>
    <w:rsid w:val="003E6C62"/>
    <w:rsid w:val="003E7FD7"/>
    <w:rsid w:val="003F00E2"/>
    <w:rsid w:val="003F3691"/>
    <w:rsid w:val="003F6D3C"/>
    <w:rsid w:val="003F7DF6"/>
    <w:rsid w:val="00400D2F"/>
    <w:rsid w:val="00401B7C"/>
    <w:rsid w:val="00412F27"/>
    <w:rsid w:val="004151B3"/>
    <w:rsid w:val="00420313"/>
    <w:rsid w:val="00422AB6"/>
    <w:rsid w:val="00423C2C"/>
    <w:rsid w:val="00423DE4"/>
    <w:rsid w:val="004253C7"/>
    <w:rsid w:val="00425C62"/>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D1"/>
    <w:rsid w:val="00463478"/>
    <w:rsid w:val="004678B2"/>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76D1"/>
    <w:rsid w:val="004A7D73"/>
    <w:rsid w:val="004B03A3"/>
    <w:rsid w:val="004B23ED"/>
    <w:rsid w:val="004C1D42"/>
    <w:rsid w:val="004C35E8"/>
    <w:rsid w:val="004C4E78"/>
    <w:rsid w:val="004C5139"/>
    <w:rsid w:val="004D088D"/>
    <w:rsid w:val="004D0D19"/>
    <w:rsid w:val="004D22F3"/>
    <w:rsid w:val="004D41F6"/>
    <w:rsid w:val="004D4970"/>
    <w:rsid w:val="004D4AF2"/>
    <w:rsid w:val="004D588A"/>
    <w:rsid w:val="004D5890"/>
    <w:rsid w:val="004E494E"/>
    <w:rsid w:val="004E5CE6"/>
    <w:rsid w:val="004F0049"/>
    <w:rsid w:val="004F1DEC"/>
    <w:rsid w:val="004F42FC"/>
    <w:rsid w:val="004F4BEB"/>
    <w:rsid w:val="004F586D"/>
    <w:rsid w:val="004F6D56"/>
    <w:rsid w:val="004F7242"/>
    <w:rsid w:val="00500A65"/>
    <w:rsid w:val="00503D9B"/>
    <w:rsid w:val="00504812"/>
    <w:rsid w:val="005072BC"/>
    <w:rsid w:val="005077DE"/>
    <w:rsid w:val="00507F10"/>
    <w:rsid w:val="00510588"/>
    <w:rsid w:val="00514995"/>
    <w:rsid w:val="00514C90"/>
    <w:rsid w:val="00515F4D"/>
    <w:rsid w:val="0051785F"/>
    <w:rsid w:val="005204E8"/>
    <w:rsid w:val="005239A4"/>
    <w:rsid w:val="00526261"/>
    <w:rsid w:val="00526B2E"/>
    <w:rsid w:val="00526FAE"/>
    <w:rsid w:val="00534E5F"/>
    <w:rsid w:val="005375B9"/>
    <w:rsid w:val="00537DC3"/>
    <w:rsid w:val="0054143E"/>
    <w:rsid w:val="005418F4"/>
    <w:rsid w:val="00542EC9"/>
    <w:rsid w:val="0054375F"/>
    <w:rsid w:val="00544090"/>
    <w:rsid w:val="0054452A"/>
    <w:rsid w:val="00544A57"/>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6CD1"/>
    <w:rsid w:val="005B7150"/>
    <w:rsid w:val="005C068C"/>
    <w:rsid w:val="005C1B6F"/>
    <w:rsid w:val="005C1CB4"/>
    <w:rsid w:val="005C2DDB"/>
    <w:rsid w:val="005C5EC5"/>
    <w:rsid w:val="005D0BE0"/>
    <w:rsid w:val="005D136B"/>
    <w:rsid w:val="005D13F5"/>
    <w:rsid w:val="005D15BD"/>
    <w:rsid w:val="005D40D4"/>
    <w:rsid w:val="005D610D"/>
    <w:rsid w:val="005E01AE"/>
    <w:rsid w:val="005E1188"/>
    <w:rsid w:val="005E26AC"/>
    <w:rsid w:val="005E555D"/>
    <w:rsid w:val="005E67FA"/>
    <w:rsid w:val="005E7CFE"/>
    <w:rsid w:val="005F2030"/>
    <w:rsid w:val="005F3295"/>
    <w:rsid w:val="005F75B1"/>
    <w:rsid w:val="005F780B"/>
    <w:rsid w:val="0060301F"/>
    <w:rsid w:val="006058FD"/>
    <w:rsid w:val="00606D3D"/>
    <w:rsid w:val="0061617E"/>
    <w:rsid w:val="00620231"/>
    <w:rsid w:val="006203E8"/>
    <w:rsid w:val="006225D4"/>
    <w:rsid w:val="00622EFB"/>
    <w:rsid w:val="0062470F"/>
    <w:rsid w:val="006248E6"/>
    <w:rsid w:val="0062587F"/>
    <w:rsid w:val="00625B61"/>
    <w:rsid w:val="00626633"/>
    <w:rsid w:val="00633F49"/>
    <w:rsid w:val="00634763"/>
    <w:rsid w:val="0063709B"/>
    <w:rsid w:val="00637DDA"/>
    <w:rsid w:val="00647BF8"/>
    <w:rsid w:val="00656701"/>
    <w:rsid w:val="00656753"/>
    <w:rsid w:val="00657D98"/>
    <w:rsid w:val="00657F93"/>
    <w:rsid w:val="00661297"/>
    <w:rsid w:val="00663F03"/>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C4483"/>
    <w:rsid w:val="006C4FB1"/>
    <w:rsid w:val="006C523F"/>
    <w:rsid w:val="006C642C"/>
    <w:rsid w:val="006D3572"/>
    <w:rsid w:val="006D4637"/>
    <w:rsid w:val="006D5390"/>
    <w:rsid w:val="006D609F"/>
    <w:rsid w:val="006D7A3A"/>
    <w:rsid w:val="006E05CD"/>
    <w:rsid w:val="006E2139"/>
    <w:rsid w:val="006E31A4"/>
    <w:rsid w:val="006E6CA3"/>
    <w:rsid w:val="006F1C44"/>
    <w:rsid w:val="006F1EEE"/>
    <w:rsid w:val="006F1F9C"/>
    <w:rsid w:val="006F3F02"/>
    <w:rsid w:val="006F5051"/>
    <w:rsid w:val="006F6FE7"/>
    <w:rsid w:val="00700DF8"/>
    <w:rsid w:val="00700FF9"/>
    <w:rsid w:val="00702433"/>
    <w:rsid w:val="00704643"/>
    <w:rsid w:val="00704813"/>
    <w:rsid w:val="00704FE8"/>
    <w:rsid w:val="0070560B"/>
    <w:rsid w:val="00706AA9"/>
    <w:rsid w:val="00707738"/>
    <w:rsid w:val="00710360"/>
    <w:rsid w:val="00710682"/>
    <w:rsid w:val="0071268A"/>
    <w:rsid w:val="007130B0"/>
    <w:rsid w:val="00714637"/>
    <w:rsid w:val="00714D3E"/>
    <w:rsid w:val="0071508A"/>
    <w:rsid w:val="00722336"/>
    <w:rsid w:val="00724DAA"/>
    <w:rsid w:val="00726DD9"/>
    <w:rsid w:val="007317EE"/>
    <w:rsid w:val="00733747"/>
    <w:rsid w:val="00733B83"/>
    <w:rsid w:val="0074179A"/>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7FAE"/>
    <w:rsid w:val="0077619B"/>
    <w:rsid w:val="00776B13"/>
    <w:rsid w:val="00777F6A"/>
    <w:rsid w:val="0078616F"/>
    <w:rsid w:val="0079065E"/>
    <w:rsid w:val="007976F0"/>
    <w:rsid w:val="007A09F7"/>
    <w:rsid w:val="007A1D4E"/>
    <w:rsid w:val="007A5215"/>
    <w:rsid w:val="007A5A44"/>
    <w:rsid w:val="007A5DB4"/>
    <w:rsid w:val="007B1EE9"/>
    <w:rsid w:val="007B2568"/>
    <w:rsid w:val="007B4C9B"/>
    <w:rsid w:val="007B53D4"/>
    <w:rsid w:val="007B58FA"/>
    <w:rsid w:val="007B6D83"/>
    <w:rsid w:val="007B6FE8"/>
    <w:rsid w:val="007B70CC"/>
    <w:rsid w:val="007C0FBC"/>
    <w:rsid w:val="007C3375"/>
    <w:rsid w:val="007C4BA8"/>
    <w:rsid w:val="007D19AE"/>
    <w:rsid w:val="007D1F5E"/>
    <w:rsid w:val="007D4841"/>
    <w:rsid w:val="007D655B"/>
    <w:rsid w:val="007D656F"/>
    <w:rsid w:val="007D765D"/>
    <w:rsid w:val="007D7D6A"/>
    <w:rsid w:val="007E09ED"/>
    <w:rsid w:val="007E28F2"/>
    <w:rsid w:val="007E666B"/>
    <w:rsid w:val="007F0870"/>
    <w:rsid w:val="007F5298"/>
    <w:rsid w:val="007F7EEB"/>
    <w:rsid w:val="008002E0"/>
    <w:rsid w:val="00803112"/>
    <w:rsid w:val="0080408D"/>
    <w:rsid w:val="008057FF"/>
    <w:rsid w:val="00807C0E"/>
    <w:rsid w:val="00811675"/>
    <w:rsid w:val="00812D47"/>
    <w:rsid w:val="008171AA"/>
    <w:rsid w:val="0082073B"/>
    <w:rsid w:val="00820FB0"/>
    <w:rsid w:val="00831CD3"/>
    <w:rsid w:val="00833CF1"/>
    <w:rsid w:val="008409D8"/>
    <w:rsid w:val="00841231"/>
    <w:rsid w:val="00841C9C"/>
    <w:rsid w:val="00844083"/>
    <w:rsid w:val="00850751"/>
    <w:rsid w:val="00852C6B"/>
    <w:rsid w:val="00853E06"/>
    <w:rsid w:val="00855F28"/>
    <w:rsid w:val="00856495"/>
    <w:rsid w:val="008569CD"/>
    <w:rsid w:val="00865338"/>
    <w:rsid w:val="008719FE"/>
    <w:rsid w:val="00875FB6"/>
    <w:rsid w:val="008836D6"/>
    <w:rsid w:val="00883EB8"/>
    <w:rsid w:val="0088596C"/>
    <w:rsid w:val="0088693B"/>
    <w:rsid w:val="008A4900"/>
    <w:rsid w:val="008A62FE"/>
    <w:rsid w:val="008A6C4F"/>
    <w:rsid w:val="008A70F0"/>
    <w:rsid w:val="008B3621"/>
    <w:rsid w:val="008B3F2E"/>
    <w:rsid w:val="008B5E48"/>
    <w:rsid w:val="008C3EE4"/>
    <w:rsid w:val="008C6CED"/>
    <w:rsid w:val="008C7273"/>
    <w:rsid w:val="008C754D"/>
    <w:rsid w:val="008D0372"/>
    <w:rsid w:val="008D4F7C"/>
    <w:rsid w:val="008D5779"/>
    <w:rsid w:val="008D5CFA"/>
    <w:rsid w:val="008D64C2"/>
    <w:rsid w:val="008D6593"/>
    <w:rsid w:val="008E38F0"/>
    <w:rsid w:val="008E3D4B"/>
    <w:rsid w:val="008E6AC7"/>
    <w:rsid w:val="008E70C8"/>
    <w:rsid w:val="008F031E"/>
    <w:rsid w:val="008F034A"/>
    <w:rsid w:val="008F1040"/>
    <w:rsid w:val="008F1D85"/>
    <w:rsid w:val="008F4472"/>
    <w:rsid w:val="008F5404"/>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4C45"/>
    <w:rsid w:val="00965447"/>
    <w:rsid w:val="00965995"/>
    <w:rsid w:val="0096626E"/>
    <w:rsid w:val="009706BB"/>
    <w:rsid w:val="00970C96"/>
    <w:rsid w:val="009712AE"/>
    <w:rsid w:val="00971D94"/>
    <w:rsid w:val="00975140"/>
    <w:rsid w:val="00975CCF"/>
    <w:rsid w:val="009773FC"/>
    <w:rsid w:val="00982B6A"/>
    <w:rsid w:val="00983E12"/>
    <w:rsid w:val="00984BE6"/>
    <w:rsid w:val="0098679C"/>
    <w:rsid w:val="009905EF"/>
    <w:rsid w:val="00992820"/>
    <w:rsid w:val="00994DA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41BB"/>
    <w:rsid w:val="009C50B0"/>
    <w:rsid w:val="009D47B6"/>
    <w:rsid w:val="009D48A7"/>
    <w:rsid w:val="009D5692"/>
    <w:rsid w:val="009E545A"/>
    <w:rsid w:val="009E7CF6"/>
    <w:rsid w:val="009F0CD6"/>
    <w:rsid w:val="009F1DFD"/>
    <w:rsid w:val="009F3D64"/>
    <w:rsid w:val="009F4FA5"/>
    <w:rsid w:val="009F5660"/>
    <w:rsid w:val="00A017EB"/>
    <w:rsid w:val="00A02A9C"/>
    <w:rsid w:val="00A05373"/>
    <w:rsid w:val="00A0770D"/>
    <w:rsid w:val="00A11BA8"/>
    <w:rsid w:val="00A11D13"/>
    <w:rsid w:val="00A15416"/>
    <w:rsid w:val="00A15F68"/>
    <w:rsid w:val="00A169C1"/>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66B1"/>
    <w:rsid w:val="00A509B8"/>
    <w:rsid w:val="00A520DD"/>
    <w:rsid w:val="00A54E20"/>
    <w:rsid w:val="00A62138"/>
    <w:rsid w:val="00A73E4E"/>
    <w:rsid w:val="00A773FB"/>
    <w:rsid w:val="00A8089C"/>
    <w:rsid w:val="00A80C70"/>
    <w:rsid w:val="00A80FCD"/>
    <w:rsid w:val="00A822CD"/>
    <w:rsid w:val="00A8348C"/>
    <w:rsid w:val="00A83ED5"/>
    <w:rsid w:val="00A9023A"/>
    <w:rsid w:val="00A92500"/>
    <w:rsid w:val="00A94E8C"/>
    <w:rsid w:val="00AA40EB"/>
    <w:rsid w:val="00AA4DF4"/>
    <w:rsid w:val="00AA5041"/>
    <w:rsid w:val="00AA7786"/>
    <w:rsid w:val="00AB0622"/>
    <w:rsid w:val="00AB1537"/>
    <w:rsid w:val="00AB4E10"/>
    <w:rsid w:val="00AB676D"/>
    <w:rsid w:val="00AC3B99"/>
    <w:rsid w:val="00AC4997"/>
    <w:rsid w:val="00AC61DA"/>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7348"/>
    <w:rsid w:val="00B00142"/>
    <w:rsid w:val="00B013DD"/>
    <w:rsid w:val="00B023CC"/>
    <w:rsid w:val="00B04229"/>
    <w:rsid w:val="00B05E0D"/>
    <w:rsid w:val="00B0621B"/>
    <w:rsid w:val="00B067E8"/>
    <w:rsid w:val="00B073CC"/>
    <w:rsid w:val="00B12844"/>
    <w:rsid w:val="00B14E19"/>
    <w:rsid w:val="00B150DB"/>
    <w:rsid w:val="00B15CE6"/>
    <w:rsid w:val="00B2293E"/>
    <w:rsid w:val="00B2323A"/>
    <w:rsid w:val="00B2344E"/>
    <w:rsid w:val="00B26885"/>
    <w:rsid w:val="00B31E1B"/>
    <w:rsid w:val="00B329F8"/>
    <w:rsid w:val="00B32FA4"/>
    <w:rsid w:val="00B4705A"/>
    <w:rsid w:val="00B53150"/>
    <w:rsid w:val="00B54016"/>
    <w:rsid w:val="00B55EEB"/>
    <w:rsid w:val="00B60A46"/>
    <w:rsid w:val="00B63E25"/>
    <w:rsid w:val="00B66A6F"/>
    <w:rsid w:val="00B767FA"/>
    <w:rsid w:val="00B80B73"/>
    <w:rsid w:val="00B847FA"/>
    <w:rsid w:val="00B9019E"/>
    <w:rsid w:val="00B91640"/>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6737"/>
    <w:rsid w:val="00BD7ECE"/>
    <w:rsid w:val="00BE3997"/>
    <w:rsid w:val="00BE4416"/>
    <w:rsid w:val="00BE5499"/>
    <w:rsid w:val="00BE5623"/>
    <w:rsid w:val="00BE6794"/>
    <w:rsid w:val="00BE79CD"/>
    <w:rsid w:val="00BF1308"/>
    <w:rsid w:val="00BF4812"/>
    <w:rsid w:val="00BF4A3D"/>
    <w:rsid w:val="00BF5BCA"/>
    <w:rsid w:val="00C036D3"/>
    <w:rsid w:val="00C03E79"/>
    <w:rsid w:val="00C11311"/>
    <w:rsid w:val="00C16FE3"/>
    <w:rsid w:val="00C2027E"/>
    <w:rsid w:val="00C206BA"/>
    <w:rsid w:val="00C21A1E"/>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2105"/>
    <w:rsid w:val="00C52159"/>
    <w:rsid w:val="00C536C6"/>
    <w:rsid w:val="00C578D1"/>
    <w:rsid w:val="00C57ADF"/>
    <w:rsid w:val="00C6132C"/>
    <w:rsid w:val="00C62050"/>
    <w:rsid w:val="00C67260"/>
    <w:rsid w:val="00C702A7"/>
    <w:rsid w:val="00C70884"/>
    <w:rsid w:val="00C728F3"/>
    <w:rsid w:val="00C733E6"/>
    <w:rsid w:val="00C74006"/>
    <w:rsid w:val="00C767F9"/>
    <w:rsid w:val="00C80A49"/>
    <w:rsid w:val="00C8199E"/>
    <w:rsid w:val="00C830DE"/>
    <w:rsid w:val="00C84A02"/>
    <w:rsid w:val="00C905FA"/>
    <w:rsid w:val="00C91E56"/>
    <w:rsid w:val="00C936AF"/>
    <w:rsid w:val="00C94533"/>
    <w:rsid w:val="00C95666"/>
    <w:rsid w:val="00C95BE9"/>
    <w:rsid w:val="00CA1322"/>
    <w:rsid w:val="00CA2EC0"/>
    <w:rsid w:val="00CA4703"/>
    <w:rsid w:val="00CA5826"/>
    <w:rsid w:val="00CB1755"/>
    <w:rsid w:val="00CB299B"/>
    <w:rsid w:val="00CB5319"/>
    <w:rsid w:val="00CB53B6"/>
    <w:rsid w:val="00CB65B3"/>
    <w:rsid w:val="00CB66DC"/>
    <w:rsid w:val="00CC270C"/>
    <w:rsid w:val="00CC5015"/>
    <w:rsid w:val="00CC740F"/>
    <w:rsid w:val="00CD7391"/>
    <w:rsid w:val="00CE39E2"/>
    <w:rsid w:val="00CE618F"/>
    <w:rsid w:val="00CF0CE5"/>
    <w:rsid w:val="00CF1D8A"/>
    <w:rsid w:val="00CF2803"/>
    <w:rsid w:val="00CF372A"/>
    <w:rsid w:val="00CF45ED"/>
    <w:rsid w:val="00CF6129"/>
    <w:rsid w:val="00D00BA4"/>
    <w:rsid w:val="00D00F60"/>
    <w:rsid w:val="00D010BF"/>
    <w:rsid w:val="00D01230"/>
    <w:rsid w:val="00D050F1"/>
    <w:rsid w:val="00D1325D"/>
    <w:rsid w:val="00D144F9"/>
    <w:rsid w:val="00D14EF0"/>
    <w:rsid w:val="00D1594B"/>
    <w:rsid w:val="00D16555"/>
    <w:rsid w:val="00D1763F"/>
    <w:rsid w:val="00D179A2"/>
    <w:rsid w:val="00D21915"/>
    <w:rsid w:val="00D265EA"/>
    <w:rsid w:val="00D2745E"/>
    <w:rsid w:val="00D27FAE"/>
    <w:rsid w:val="00D32E53"/>
    <w:rsid w:val="00D34BA7"/>
    <w:rsid w:val="00D36C8C"/>
    <w:rsid w:val="00D36E67"/>
    <w:rsid w:val="00D37034"/>
    <w:rsid w:val="00D42D22"/>
    <w:rsid w:val="00D44A37"/>
    <w:rsid w:val="00D51661"/>
    <w:rsid w:val="00D601D8"/>
    <w:rsid w:val="00D64526"/>
    <w:rsid w:val="00D65F20"/>
    <w:rsid w:val="00D6662D"/>
    <w:rsid w:val="00D669AC"/>
    <w:rsid w:val="00D671D2"/>
    <w:rsid w:val="00D67246"/>
    <w:rsid w:val="00D711D8"/>
    <w:rsid w:val="00D75CA8"/>
    <w:rsid w:val="00D77B76"/>
    <w:rsid w:val="00D81C73"/>
    <w:rsid w:val="00D82D32"/>
    <w:rsid w:val="00D8367C"/>
    <w:rsid w:val="00D904F8"/>
    <w:rsid w:val="00D91440"/>
    <w:rsid w:val="00D92A85"/>
    <w:rsid w:val="00D92EB8"/>
    <w:rsid w:val="00D953C7"/>
    <w:rsid w:val="00D96035"/>
    <w:rsid w:val="00DA0134"/>
    <w:rsid w:val="00DA343D"/>
    <w:rsid w:val="00DA461A"/>
    <w:rsid w:val="00DA546B"/>
    <w:rsid w:val="00DB2253"/>
    <w:rsid w:val="00DB2D57"/>
    <w:rsid w:val="00DB3CC7"/>
    <w:rsid w:val="00DC0197"/>
    <w:rsid w:val="00DC5352"/>
    <w:rsid w:val="00DC7BFE"/>
    <w:rsid w:val="00DD1E52"/>
    <w:rsid w:val="00DD4200"/>
    <w:rsid w:val="00DD72E6"/>
    <w:rsid w:val="00DD7F25"/>
    <w:rsid w:val="00DE2362"/>
    <w:rsid w:val="00DE238B"/>
    <w:rsid w:val="00DE282A"/>
    <w:rsid w:val="00DE49E6"/>
    <w:rsid w:val="00DE6C37"/>
    <w:rsid w:val="00DF3E01"/>
    <w:rsid w:val="00DF6920"/>
    <w:rsid w:val="00E00516"/>
    <w:rsid w:val="00E02A2C"/>
    <w:rsid w:val="00E05480"/>
    <w:rsid w:val="00E06CEF"/>
    <w:rsid w:val="00E1024B"/>
    <w:rsid w:val="00E14891"/>
    <w:rsid w:val="00E16240"/>
    <w:rsid w:val="00E22CDC"/>
    <w:rsid w:val="00E23ADF"/>
    <w:rsid w:val="00E25B0B"/>
    <w:rsid w:val="00E31454"/>
    <w:rsid w:val="00E33074"/>
    <w:rsid w:val="00E33D90"/>
    <w:rsid w:val="00E34B27"/>
    <w:rsid w:val="00E3533D"/>
    <w:rsid w:val="00E4033D"/>
    <w:rsid w:val="00E4289F"/>
    <w:rsid w:val="00E451FD"/>
    <w:rsid w:val="00E459A3"/>
    <w:rsid w:val="00E50375"/>
    <w:rsid w:val="00E50CA5"/>
    <w:rsid w:val="00E54F56"/>
    <w:rsid w:val="00E55896"/>
    <w:rsid w:val="00E57C4C"/>
    <w:rsid w:val="00E57E3F"/>
    <w:rsid w:val="00E602AE"/>
    <w:rsid w:val="00E62551"/>
    <w:rsid w:val="00E65663"/>
    <w:rsid w:val="00E65C88"/>
    <w:rsid w:val="00E679A9"/>
    <w:rsid w:val="00E72AA1"/>
    <w:rsid w:val="00E7310B"/>
    <w:rsid w:val="00E827EB"/>
    <w:rsid w:val="00E82F67"/>
    <w:rsid w:val="00E84BB2"/>
    <w:rsid w:val="00E87D26"/>
    <w:rsid w:val="00E90515"/>
    <w:rsid w:val="00E9189B"/>
    <w:rsid w:val="00E91A26"/>
    <w:rsid w:val="00E94684"/>
    <w:rsid w:val="00E95285"/>
    <w:rsid w:val="00E972E1"/>
    <w:rsid w:val="00EA1644"/>
    <w:rsid w:val="00EA372E"/>
    <w:rsid w:val="00EA55CB"/>
    <w:rsid w:val="00EA7761"/>
    <w:rsid w:val="00EB0062"/>
    <w:rsid w:val="00EB3981"/>
    <w:rsid w:val="00EB4721"/>
    <w:rsid w:val="00EB6F0F"/>
    <w:rsid w:val="00EC1ED4"/>
    <w:rsid w:val="00EC432D"/>
    <w:rsid w:val="00EC5699"/>
    <w:rsid w:val="00ED36BD"/>
    <w:rsid w:val="00EE1EEC"/>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17434"/>
    <w:rsid w:val="00F2033E"/>
    <w:rsid w:val="00F20E0E"/>
    <w:rsid w:val="00F22352"/>
    <w:rsid w:val="00F22DC2"/>
    <w:rsid w:val="00F241F4"/>
    <w:rsid w:val="00F2442C"/>
    <w:rsid w:val="00F278BA"/>
    <w:rsid w:val="00F3341C"/>
    <w:rsid w:val="00F34C4D"/>
    <w:rsid w:val="00F41F5F"/>
    <w:rsid w:val="00F435CD"/>
    <w:rsid w:val="00F4469F"/>
    <w:rsid w:val="00F455DC"/>
    <w:rsid w:val="00F528C8"/>
    <w:rsid w:val="00F533AE"/>
    <w:rsid w:val="00F634A4"/>
    <w:rsid w:val="00F63F39"/>
    <w:rsid w:val="00F64136"/>
    <w:rsid w:val="00F65CBF"/>
    <w:rsid w:val="00F714DB"/>
    <w:rsid w:val="00F74076"/>
    <w:rsid w:val="00F75823"/>
    <w:rsid w:val="00F7785F"/>
    <w:rsid w:val="00F80196"/>
    <w:rsid w:val="00F8055A"/>
    <w:rsid w:val="00F871C8"/>
    <w:rsid w:val="00F87743"/>
    <w:rsid w:val="00F90DA1"/>
    <w:rsid w:val="00F91BA1"/>
    <w:rsid w:val="00F9382E"/>
    <w:rsid w:val="00F94191"/>
    <w:rsid w:val="00F94B5B"/>
    <w:rsid w:val="00F966F6"/>
    <w:rsid w:val="00FA2209"/>
    <w:rsid w:val="00FA2704"/>
    <w:rsid w:val="00FA360E"/>
    <w:rsid w:val="00FA49EE"/>
    <w:rsid w:val="00FA7132"/>
    <w:rsid w:val="00FA7397"/>
    <w:rsid w:val="00FB16B4"/>
    <w:rsid w:val="00FB2E5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AE48E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blicaffairs@epr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j.bour@epr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rrem.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EF864-A2BC-4D23-8318-F4CA46A99FBB}">
  <ds:schemaRefs>
    <ds:schemaRef ds:uri="http://schemas.microsoft.com/sharepoint/events"/>
  </ds:schemaRefs>
</ds:datastoreItem>
</file>

<file path=customXml/itemProps3.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5.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 ESAs letter 2023</Template>
  <TotalTime>0</TotalTime>
  <Pages>16</Pages>
  <Words>3947</Words>
  <Characters>22500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Jana Bour</cp:lastModifiedBy>
  <cp:revision>3</cp:revision>
  <cp:lastPrinted>2022-02-14T13:26:00Z</cp:lastPrinted>
  <dcterms:created xsi:type="dcterms:W3CDTF">2023-07-04T12:43:00Z</dcterms:created>
  <dcterms:modified xsi:type="dcterms:W3CDTF">2023-07-04T13:32:00Z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ies>
</file>