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71A0B" w14:textId="77777777" w:rsidR="009C41BB" w:rsidRDefault="009C41BB" w:rsidP="009C41BB">
      <w:pPr>
        <w:spacing w:after="250"/>
        <w:jc w:val="both"/>
        <w:rPr>
          <w:rFonts w:ascii="Arial" w:eastAsiaTheme="majorEastAsia" w:hAnsi="Arial" w:cs="Arial"/>
          <w:b/>
          <w:bCs/>
          <w:color w:val="00379F"/>
          <w:sz w:val="56"/>
          <w:szCs w:val="56"/>
        </w:rPr>
      </w:pPr>
    </w:p>
    <w:p w14:paraId="3C14CB93" w14:textId="77777777" w:rsidR="009C41BB" w:rsidRDefault="009C41BB" w:rsidP="009C41BB">
      <w:pPr>
        <w:spacing w:after="250"/>
        <w:jc w:val="both"/>
        <w:rPr>
          <w:rFonts w:ascii="Arial" w:eastAsiaTheme="majorEastAsia" w:hAnsi="Arial" w:cs="Arial"/>
          <w:b/>
          <w:bCs/>
          <w:color w:val="00379F"/>
          <w:sz w:val="56"/>
          <w:szCs w:val="56"/>
        </w:rPr>
      </w:pPr>
    </w:p>
    <w:p w14:paraId="7693E271" w14:textId="7D5EE219" w:rsidR="009C41BB" w:rsidRPr="005418F4" w:rsidRDefault="009C41BB" w:rsidP="009C41BB">
      <w:pPr>
        <w:spacing w:after="250"/>
        <w:jc w:val="both"/>
        <w:rPr>
          <w:rFonts w:ascii="Arial" w:eastAsiaTheme="majorEastAsia" w:hAnsi="Arial" w:cs="Arial"/>
          <w:b/>
          <w:bCs/>
          <w:color w:val="00379F"/>
          <w:sz w:val="56"/>
          <w:szCs w:val="56"/>
        </w:rPr>
      </w:pPr>
      <w:r w:rsidRPr="005418F4">
        <w:rPr>
          <w:rFonts w:ascii="Arial" w:eastAsiaTheme="majorEastAsia" w:hAnsi="Arial" w:cs="Arial"/>
          <w:b/>
          <w:bCs/>
          <w:color w:val="00379F"/>
          <w:sz w:val="56"/>
          <w:szCs w:val="56"/>
        </w:rPr>
        <w:t xml:space="preserve">Reply </w:t>
      </w:r>
      <w:proofErr w:type="gramStart"/>
      <w:r w:rsidRPr="005418F4">
        <w:rPr>
          <w:rFonts w:ascii="Arial" w:eastAsiaTheme="majorEastAsia" w:hAnsi="Arial" w:cs="Arial"/>
          <w:b/>
          <w:bCs/>
          <w:color w:val="00379F"/>
          <w:sz w:val="56"/>
          <w:szCs w:val="56"/>
        </w:rPr>
        <w:t>form</w:t>
      </w:r>
      <w:proofErr w:type="gramEnd"/>
    </w:p>
    <w:p w14:paraId="2262F8EC" w14:textId="77777777" w:rsidR="009C41BB" w:rsidRPr="005418F4" w:rsidRDefault="009C41BB" w:rsidP="009C41BB">
      <w:pPr>
        <w:jc w:val="both"/>
        <w:rPr>
          <w:rFonts w:ascii="Arial" w:hAnsi="Arial" w:cs="Arial"/>
          <w:b/>
          <w:bCs/>
          <w:sz w:val="28"/>
          <w:szCs w:val="28"/>
          <w:lang w:val="en-US"/>
        </w:rPr>
      </w:pPr>
      <w:r w:rsidRPr="005418F4">
        <w:rPr>
          <w:rFonts w:ascii="Arial" w:eastAsiaTheme="minorEastAsia" w:hAnsi="Arial" w:cs="Arial"/>
          <w:b/>
          <w:bCs/>
          <w:color w:val="1A1A1A" w:themeColor="background1" w:themeShade="1A"/>
          <w:sz w:val="28"/>
          <w:szCs w:val="28"/>
        </w:rPr>
        <w:t xml:space="preserve">on the </w:t>
      </w:r>
      <w:r>
        <w:rPr>
          <w:rFonts w:ascii="Arial" w:eastAsiaTheme="minorEastAsia" w:hAnsi="Arial" w:cs="Arial"/>
          <w:b/>
          <w:bCs/>
          <w:color w:val="1A1A1A" w:themeColor="background1" w:themeShade="1A"/>
          <w:sz w:val="28"/>
          <w:szCs w:val="28"/>
        </w:rPr>
        <w:t xml:space="preserve">Joint </w:t>
      </w:r>
      <w:r w:rsidRPr="005418F4">
        <w:rPr>
          <w:rFonts w:ascii="Arial" w:eastAsiaTheme="minorEastAsia" w:hAnsi="Arial" w:cs="Arial"/>
          <w:b/>
          <w:bCs/>
          <w:color w:val="1A1A1A" w:themeColor="background1" w:themeShade="1A"/>
          <w:sz w:val="28"/>
          <w:szCs w:val="28"/>
        </w:rPr>
        <w:t>Consultation Paper on</w:t>
      </w:r>
      <w:r>
        <w:rPr>
          <w:rFonts w:ascii="Arial" w:hAnsi="Arial" w:cs="Arial"/>
          <w:b/>
          <w:bCs/>
          <w:sz w:val="28"/>
          <w:szCs w:val="28"/>
        </w:rPr>
        <w:t xml:space="preserve"> the r</w:t>
      </w:r>
      <w:proofErr w:type="spellStart"/>
      <w:r w:rsidRPr="005418F4">
        <w:rPr>
          <w:rFonts w:ascii="Arial" w:hAnsi="Arial" w:cs="Arial"/>
          <w:b/>
          <w:bCs/>
          <w:sz w:val="28"/>
          <w:szCs w:val="28"/>
          <w:lang w:val="en-US"/>
        </w:rPr>
        <w:t>eview</w:t>
      </w:r>
      <w:proofErr w:type="spellEnd"/>
      <w:r w:rsidRPr="005418F4">
        <w:rPr>
          <w:rFonts w:ascii="Arial" w:hAnsi="Arial" w:cs="Arial"/>
          <w:b/>
          <w:bCs/>
          <w:sz w:val="28"/>
          <w:szCs w:val="28"/>
          <w:lang w:val="en-US"/>
        </w:rPr>
        <w:t xml:space="preserve"> of SFDR Delegated</w:t>
      </w:r>
      <w:r>
        <w:rPr>
          <w:rFonts w:ascii="Arial" w:hAnsi="Arial" w:cs="Arial"/>
          <w:b/>
          <w:bCs/>
          <w:sz w:val="28"/>
          <w:szCs w:val="28"/>
          <w:lang w:val="en-US"/>
        </w:rPr>
        <w:t xml:space="preserve"> </w:t>
      </w:r>
      <w:r w:rsidRPr="005418F4">
        <w:rPr>
          <w:rFonts w:ascii="Arial" w:hAnsi="Arial" w:cs="Arial"/>
          <w:b/>
          <w:bCs/>
          <w:sz w:val="28"/>
          <w:szCs w:val="28"/>
          <w:lang w:val="en-US"/>
        </w:rPr>
        <w:t>Regulation regarding PAI and financial product disclosures</w:t>
      </w:r>
    </w:p>
    <w:p w14:paraId="6E3D513D" w14:textId="77777777" w:rsidR="009C41BB" w:rsidRDefault="009C41BB">
      <w:pPr>
        <w:rPr>
          <w:rFonts w:ascii="Arial" w:eastAsiaTheme="minorEastAsia" w:hAnsi="Arial" w:cs="Arial"/>
          <w:b/>
          <w:bCs/>
          <w:color w:val="00379F"/>
          <w:kern w:val="32"/>
          <w:sz w:val="28"/>
          <w:szCs w:val="28"/>
        </w:rPr>
      </w:pPr>
      <w:r>
        <w:rPr>
          <w:rFonts w:ascii="Arial" w:eastAsiaTheme="minorEastAsia" w:hAnsi="Arial" w:cs="Arial"/>
          <w:b/>
          <w:bCs/>
          <w:color w:val="00379F"/>
          <w:kern w:val="32"/>
          <w:sz w:val="28"/>
          <w:szCs w:val="28"/>
        </w:rPr>
        <w:br w:type="page"/>
      </w:r>
    </w:p>
    <w:p w14:paraId="2F0F68FF" w14:textId="77777777" w:rsidR="004B03A3" w:rsidRPr="004B03A3" w:rsidRDefault="004B03A3" w:rsidP="009C41BB">
      <w:pPr>
        <w:spacing w:after="250"/>
        <w:ind w:left="426" w:hanging="426"/>
        <w:jc w:val="both"/>
        <w:rPr>
          <w:rFonts w:ascii="Arial" w:eastAsiaTheme="minorEastAsia" w:hAnsi="Arial" w:cs="Arial"/>
          <w:bCs/>
          <w:color w:val="1A1A1A" w:themeColor="background1" w:themeShade="1A"/>
          <w:sz w:val="16"/>
          <w:szCs w:val="16"/>
        </w:rPr>
      </w:pPr>
      <w:r>
        <w:rPr>
          <w:rFonts w:ascii="Arial" w:eastAsiaTheme="minorEastAsia" w:hAnsi="Arial" w:cs="Arial"/>
          <w:b/>
          <w:color w:val="1A1A1A" w:themeColor="background1" w:themeShade="1A"/>
          <w:sz w:val="28"/>
          <w:szCs w:val="28"/>
        </w:rPr>
        <w:lastRenderedPageBreak/>
        <w:tab/>
      </w:r>
      <w:r>
        <w:rPr>
          <w:rFonts w:ascii="Arial" w:eastAsiaTheme="minorEastAsia" w:hAnsi="Arial" w:cs="Arial"/>
          <w:b/>
          <w:color w:val="1A1A1A" w:themeColor="background1" w:themeShade="1A"/>
          <w:sz w:val="28"/>
          <w:szCs w:val="28"/>
        </w:rPr>
        <w:tab/>
      </w:r>
    </w:p>
    <w:p w14:paraId="26B2F243" w14:textId="231A2DC7" w:rsidR="009C41BB" w:rsidRDefault="004B03A3" w:rsidP="54639287">
      <w:pPr>
        <w:pStyle w:val="02Date"/>
        <w:rPr>
          <w:rFonts w:eastAsiaTheme="minorEastAsia" w:cs="Arial"/>
          <w:b/>
          <w:bCs/>
          <w:color w:val="1A1A1A" w:themeColor="background1" w:themeShade="1A"/>
          <w:sz w:val="28"/>
          <w:szCs w:val="28"/>
        </w:rPr>
      </w:pP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54639287">
        <w:rPr>
          <w:rFonts w:eastAsiaTheme="minorEastAsia" w:cs="Arial"/>
          <w:color w:val="1A1A1A" w:themeColor="background1" w:themeShade="1A"/>
          <w:sz w:val="16"/>
          <w:szCs w:val="16"/>
        </w:rPr>
        <w:t>12 April 2023</w:t>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sidRPr="004B03A3">
        <w:rPr>
          <w:rFonts w:eastAsiaTheme="minorEastAsia" w:cs="Arial"/>
          <w:b/>
          <w:color w:val="1A1A1A" w:themeColor="background1" w:themeShade="1A"/>
          <w:sz w:val="16"/>
          <w:szCs w:val="16"/>
        </w:rPr>
        <w:tab/>
      </w:r>
      <w:r w:rsidR="00CF372A">
        <w:rPr>
          <w:rFonts w:eastAsiaTheme="minorEastAsia" w:cs="Arial"/>
          <w:b/>
          <w:color w:val="1A1A1A" w:themeColor="background1" w:themeShade="1A"/>
          <w:sz w:val="16"/>
          <w:szCs w:val="16"/>
        </w:rPr>
        <w:tab/>
      </w:r>
      <w:r w:rsidRPr="004B03A3">
        <w:rPr>
          <w:rFonts w:cs="Arial"/>
          <w:sz w:val="16"/>
          <w:szCs w:val="16"/>
        </w:rPr>
        <w:t>ESMA</w:t>
      </w:r>
      <w:r w:rsidR="3107FB2D" w:rsidRPr="004B03A3">
        <w:rPr>
          <w:rFonts w:cs="Arial"/>
          <w:sz w:val="16"/>
          <w:szCs w:val="16"/>
        </w:rPr>
        <w:t>34-45-1218</w:t>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p>
    <w:p w14:paraId="7A1108B7" w14:textId="5B1A9AD6" w:rsidR="009C41BB" w:rsidRPr="005418F4" w:rsidRDefault="009C41BB" w:rsidP="009C41BB">
      <w:pPr>
        <w:spacing w:after="250"/>
        <w:ind w:left="426" w:hanging="426"/>
        <w:jc w:val="both"/>
        <w:rPr>
          <w:rFonts w:ascii="Arial" w:eastAsiaTheme="minorEastAsia" w:hAnsi="Arial" w:cs="Arial"/>
          <w:b/>
          <w:color w:val="1A1A1A" w:themeColor="background1" w:themeShade="1A"/>
          <w:sz w:val="28"/>
          <w:szCs w:val="28"/>
        </w:rPr>
      </w:pPr>
      <w:r w:rsidRPr="005418F4">
        <w:rPr>
          <w:rFonts w:ascii="Arial" w:eastAsiaTheme="minorEastAsia" w:hAnsi="Arial" w:cs="Arial"/>
          <w:b/>
          <w:color w:val="1A1A1A" w:themeColor="background1" w:themeShade="1A"/>
          <w:sz w:val="28"/>
          <w:szCs w:val="28"/>
        </w:rPr>
        <w:t xml:space="preserve">Responding to this paper </w:t>
      </w:r>
    </w:p>
    <w:p w14:paraId="7A883F70" w14:textId="77777777" w:rsidR="009C41BB" w:rsidRPr="005418F4" w:rsidRDefault="009C41BB" w:rsidP="009C41BB">
      <w:pPr>
        <w:spacing w:after="250"/>
        <w:jc w:val="both"/>
        <w:rPr>
          <w:rFonts w:ascii="Arial" w:eastAsiaTheme="minorEastAsia" w:hAnsi="Arial" w:cs="Arial"/>
          <w:color w:val="1A1A1A" w:themeColor="background1" w:themeShade="1A"/>
          <w:szCs w:val="20"/>
        </w:rPr>
      </w:pPr>
      <w:r>
        <w:rPr>
          <w:rFonts w:ascii="Arial" w:eastAsiaTheme="minorEastAsia" w:hAnsi="Arial" w:cs="Arial"/>
          <w:color w:val="1A1A1A" w:themeColor="background1" w:themeShade="1A"/>
          <w:szCs w:val="20"/>
        </w:rPr>
        <w:t>The ESAs</w:t>
      </w:r>
      <w:r w:rsidRPr="005418F4">
        <w:rPr>
          <w:rFonts w:ascii="Arial" w:eastAsiaTheme="minorEastAsia" w:hAnsi="Arial" w:cs="Arial"/>
          <w:color w:val="1A1A1A" w:themeColor="background1" w:themeShade="1A"/>
          <w:szCs w:val="20"/>
        </w:rPr>
        <w:t xml:space="preserve"> invite comments on all matters in the </w:t>
      </w:r>
      <w:r>
        <w:rPr>
          <w:rFonts w:ascii="Arial" w:eastAsiaTheme="minorEastAsia" w:hAnsi="Arial" w:cs="Arial"/>
          <w:color w:val="1A1A1A" w:themeColor="background1" w:themeShade="1A"/>
          <w:szCs w:val="20"/>
        </w:rPr>
        <w:t xml:space="preserve">Joint </w:t>
      </w:r>
      <w:r w:rsidRPr="005418F4">
        <w:rPr>
          <w:rFonts w:ascii="Arial" w:eastAsiaTheme="minorEastAsia" w:hAnsi="Arial" w:cs="Arial"/>
          <w:color w:val="1A1A1A" w:themeColor="background1" w:themeShade="1A"/>
          <w:szCs w:val="20"/>
        </w:rPr>
        <w:t xml:space="preserve">Consultation Paper and </w:t>
      </w:r>
      <w:proofErr w:type="gramStart"/>
      <w:r w:rsidRPr="005418F4">
        <w:rPr>
          <w:rFonts w:ascii="Arial" w:eastAsiaTheme="minorEastAsia" w:hAnsi="Arial" w:cs="Arial"/>
          <w:color w:val="1A1A1A" w:themeColor="background1" w:themeShade="1A"/>
          <w:szCs w:val="20"/>
        </w:rPr>
        <w:t>in particular on</w:t>
      </w:r>
      <w:proofErr w:type="gramEnd"/>
      <w:r w:rsidRPr="005418F4">
        <w:rPr>
          <w:rFonts w:ascii="Arial" w:eastAsiaTheme="minorEastAsia" w:hAnsi="Arial" w:cs="Arial"/>
          <w:color w:val="1A1A1A" w:themeColor="background1" w:themeShade="1A"/>
          <w:szCs w:val="20"/>
        </w:rPr>
        <w:t xml:space="preserve"> the specific questions in this reply form. Comments are most helpful if they:</w:t>
      </w:r>
    </w:p>
    <w:p w14:paraId="57F6A3F2" w14:textId="0D7DE7EF" w:rsidR="009C41BB" w:rsidRPr="005418F4" w:rsidRDefault="009C41BB" w:rsidP="279FB398">
      <w:pPr>
        <w:numPr>
          <w:ilvl w:val="0"/>
          <w:numId w:val="37"/>
        </w:numPr>
        <w:spacing w:after="250"/>
        <w:jc w:val="both"/>
        <w:rPr>
          <w:rFonts w:ascii="Arial" w:eastAsiaTheme="minorEastAsia" w:hAnsi="Arial" w:cs="Arial"/>
          <w:color w:val="1A1A1A" w:themeColor="background1" w:themeShade="1A"/>
        </w:rPr>
      </w:pPr>
      <w:r w:rsidRPr="279FB398">
        <w:rPr>
          <w:rFonts w:ascii="Arial" w:eastAsiaTheme="minorEastAsia" w:hAnsi="Arial" w:cs="Arial"/>
          <w:color w:val="1A1A1A"/>
        </w:rPr>
        <w:t xml:space="preserve">respond to the question </w:t>
      </w:r>
      <w:proofErr w:type="gramStart"/>
      <w:r w:rsidRPr="279FB398">
        <w:rPr>
          <w:rFonts w:ascii="Arial" w:eastAsiaTheme="minorEastAsia" w:hAnsi="Arial" w:cs="Arial"/>
          <w:color w:val="1A1A1A"/>
        </w:rPr>
        <w:t>stat</w:t>
      </w:r>
      <w:r w:rsidR="590A19A6" w:rsidRPr="279FB398">
        <w:rPr>
          <w:rFonts w:ascii="Arial" w:eastAsiaTheme="minorEastAsia" w:hAnsi="Arial" w:cs="Arial"/>
          <w:color w:val="1A1A1A"/>
        </w:rPr>
        <w:t>e</w:t>
      </w:r>
      <w:r w:rsidRPr="279FB398">
        <w:rPr>
          <w:rFonts w:ascii="Arial" w:eastAsiaTheme="minorEastAsia" w:hAnsi="Arial" w:cs="Arial"/>
          <w:color w:val="1A1A1A"/>
        </w:rPr>
        <w:t>d;</w:t>
      </w:r>
      <w:proofErr w:type="gramEnd"/>
    </w:p>
    <w:p w14:paraId="2BFC6949"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indicate the specific question to which the comment </w:t>
      </w:r>
      <w:proofErr w:type="gramStart"/>
      <w:r w:rsidRPr="005418F4">
        <w:rPr>
          <w:rFonts w:ascii="Arial" w:eastAsiaTheme="minorEastAsia" w:hAnsi="Arial" w:cs="Arial"/>
          <w:color w:val="1A1A1A" w:themeColor="background1" w:themeShade="1A"/>
          <w:szCs w:val="20"/>
        </w:rPr>
        <w:t>relates;</w:t>
      </w:r>
      <w:proofErr w:type="gramEnd"/>
    </w:p>
    <w:p w14:paraId="0D5FDE5A"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contain a clear rationale; and</w:t>
      </w:r>
    </w:p>
    <w:p w14:paraId="31E1EB74"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describe any alternatives </w:t>
      </w:r>
      <w:r>
        <w:rPr>
          <w:rFonts w:ascii="Arial" w:eastAsiaTheme="minorEastAsia" w:hAnsi="Arial" w:cs="Arial"/>
          <w:color w:val="1A1A1A" w:themeColor="background1" w:themeShade="1A"/>
          <w:szCs w:val="20"/>
        </w:rPr>
        <w:t xml:space="preserve">the </w:t>
      </w:r>
      <w:r w:rsidRPr="005418F4">
        <w:rPr>
          <w:rFonts w:ascii="Arial" w:eastAsiaTheme="minorEastAsia" w:hAnsi="Arial" w:cs="Arial"/>
          <w:color w:val="1A1A1A" w:themeColor="background1" w:themeShade="1A"/>
          <w:szCs w:val="20"/>
        </w:rPr>
        <w:t>ESA</w:t>
      </w:r>
      <w:r>
        <w:rPr>
          <w:rFonts w:ascii="Arial" w:eastAsiaTheme="minorEastAsia" w:hAnsi="Arial" w:cs="Arial"/>
          <w:color w:val="1A1A1A" w:themeColor="background1" w:themeShade="1A"/>
          <w:szCs w:val="20"/>
        </w:rPr>
        <w:t>s</w:t>
      </w:r>
      <w:r w:rsidRPr="005418F4">
        <w:rPr>
          <w:rFonts w:ascii="Arial" w:eastAsiaTheme="minorEastAsia" w:hAnsi="Arial" w:cs="Arial"/>
          <w:color w:val="1A1A1A" w:themeColor="background1" w:themeShade="1A"/>
          <w:szCs w:val="20"/>
        </w:rPr>
        <w:t xml:space="preserve"> should consider.</w:t>
      </w:r>
    </w:p>
    <w:p w14:paraId="431282EE" w14:textId="77777777" w:rsidR="009C41BB" w:rsidRPr="005418F4" w:rsidRDefault="009C41BB" w:rsidP="009C41BB">
      <w:pPr>
        <w:spacing w:after="250"/>
        <w:jc w:val="both"/>
        <w:rPr>
          <w:rFonts w:ascii="Arial" w:eastAsiaTheme="minorEastAsia" w:hAnsi="Arial" w:cs="Arial"/>
          <w:b/>
          <w:color w:val="1A1A1A" w:themeColor="background1" w:themeShade="1A"/>
          <w:szCs w:val="20"/>
        </w:rPr>
      </w:pPr>
      <w:r w:rsidRPr="005418F4">
        <w:rPr>
          <w:rFonts w:ascii="Arial" w:eastAsiaTheme="minorEastAsia" w:hAnsi="Arial" w:cs="Arial"/>
          <w:color w:val="1A1A1A" w:themeColor="background1" w:themeShade="1A"/>
          <w:szCs w:val="20"/>
        </w:rPr>
        <w:t xml:space="preserve">ESMA will consider all comments received by </w:t>
      </w:r>
      <w:r w:rsidRPr="005418F4">
        <w:rPr>
          <w:rFonts w:ascii="Arial" w:eastAsiaTheme="minorEastAsia" w:hAnsi="Arial" w:cs="Arial"/>
          <w:b/>
          <w:bCs/>
          <w:color w:val="1A1A1A" w:themeColor="background1" w:themeShade="1A"/>
          <w:szCs w:val="20"/>
        </w:rPr>
        <w:t>4</w:t>
      </w:r>
      <w:r w:rsidRPr="005418F4">
        <w:rPr>
          <w:rFonts w:ascii="Arial" w:eastAsiaTheme="minorEastAsia" w:hAnsi="Arial" w:cs="Arial"/>
          <w:b/>
          <w:color w:val="1A1A1A" w:themeColor="background1" w:themeShade="1A"/>
          <w:szCs w:val="20"/>
        </w:rPr>
        <w:t xml:space="preserve"> </w:t>
      </w:r>
      <w:proofErr w:type="gramStart"/>
      <w:r>
        <w:rPr>
          <w:rFonts w:ascii="Arial" w:eastAsiaTheme="minorEastAsia" w:hAnsi="Arial" w:cs="Arial"/>
          <w:b/>
          <w:color w:val="1A1A1A" w:themeColor="background1" w:themeShade="1A"/>
          <w:szCs w:val="20"/>
        </w:rPr>
        <w:t xml:space="preserve">July </w:t>
      </w:r>
      <w:r w:rsidRPr="005418F4">
        <w:rPr>
          <w:rFonts w:ascii="Arial" w:eastAsiaTheme="minorEastAsia" w:hAnsi="Arial" w:cs="Arial"/>
          <w:b/>
          <w:color w:val="1A1A1A" w:themeColor="background1" w:themeShade="1A"/>
          <w:szCs w:val="20"/>
        </w:rPr>
        <w:t xml:space="preserve"> 2023</w:t>
      </w:r>
      <w:proofErr w:type="gramEnd"/>
      <w:r w:rsidRPr="005418F4">
        <w:rPr>
          <w:rFonts w:ascii="Arial" w:eastAsiaTheme="minorEastAsia" w:hAnsi="Arial" w:cs="Arial"/>
          <w:b/>
          <w:color w:val="1A1A1A" w:themeColor="background1" w:themeShade="1A"/>
          <w:szCs w:val="20"/>
        </w:rPr>
        <w:t xml:space="preserve">. </w:t>
      </w:r>
    </w:p>
    <w:p w14:paraId="64F0B1AF" w14:textId="77777777" w:rsidR="009C41BB" w:rsidRDefault="009C41BB" w:rsidP="009C41BB">
      <w:pPr>
        <w:spacing w:after="250"/>
        <w:ind w:left="426" w:hanging="426"/>
        <w:jc w:val="both"/>
        <w:rPr>
          <w:rFonts w:ascii="Arial" w:eastAsiaTheme="minorEastAsia" w:hAnsi="Arial" w:cs="Arial"/>
          <w:b/>
          <w:color w:val="1A1A1A" w:themeColor="background1" w:themeShade="1A"/>
          <w:sz w:val="28"/>
          <w:szCs w:val="28"/>
        </w:rPr>
      </w:pPr>
    </w:p>
    <w:p w14:paraId="3835AA5F" w14:textId="3A04CB1C" w:rsidR="009C41BB" w:rsidRPr="005418F4" w:rsidRDefault="009C41BB" w:rsidP="009C41BB">
      <w:pPr>
        <w:spacing w:after="250"/>
        <w:ind w:left="426" w:hanging="426"/>
        <w:jc w:val="both"/>
        <w:rPr>
          <w:rFonts w:ascii="Arial" w:eastAsiaTheme="minorEastAsia" w:hAnsi="Arial" w:cs="Arial"/>
          <w:b/>
          <w:color w:val="1A1A1A" w:themeColor="background1" w:themeShade="1A"/>
          <w:sz w:val="28"/>
          <w:szCs w:val="28"/>
        </w:rPr>
      </w:pPr>
      <w:r w:rsidRPr="005418F4">
        <w:rPr>
          <w:rFonts w:ascii="Arial" w:eastAsiaTheme="minorEastAsia" w:hAnsi="Arial" w:cs="Arial"/>
          <w:b/>
          <w:color w:val="1A1A1A" w:themeColor="background1" w:themeShade="1A"/>
          <w:sz w:val="28"/>
          <w:szCs w:val="28"/>
        </w:rPr>
        <w:t>Instructions</w:t>
      </w:r>
    </w:p>
    <w:p w14:paraId="7DD5C40B" w14:textId="77777777" w:rsidR="009C41BB" w:rsidRPr="005418F4" w:rsidRDefault="009C41BB" w:rsidP="009C41BB">
      <w:pPr>
        <w:spacing w:after="250"/>
        <w:jc w:val="both"/>
        <w:rPr>
          <w:rFonts w:ascii="Arial" w:eastAsiaTheme="minorEastAsia" w:hAnsi="Arial" w:cs="Arial"/>
          <w:color w:val="1A1A1A" w:themeColor="background1" w:themeShade="1A"/>
          <w:szCs w:val="20"/>
        </w:rPr>
      </w:pPr>
      <w:proofErr w:type="gramStart"/>
      <w:r w:rsidRPr="005418F4">
        <w:rPr>
          <w:rFonts w:ascii="Arial" w:eastAsiaTheme="minorEastAsia" w:hAnsi="Arial" w:cs="Arial"/>
          <w:color w:val="1A1A1A" w:themeColor="background1" w:themeShade="1A"/>
          <w:szCs w:val="20"/>
        </w:rPr>
        <w:t>In order to</w:t>
      </w:r>
      <w:proofErr w:type="gramEnd"/>
      <w:r w:rsidRPr="005418F4">
        <w:rPr>
          <w:rFonts w:ascii="Arial" w:eastAsiaTheme="minorEastAsia" w:hAnsi="Arial" w:cs="Arial"/>
          <w:color w:val="1A1A1A" w:themeColor="background1" w:themeShade="1A"/>
          <w:szCs w:val="20"/>
        </w:rPr>
        <w:t xml:space="preserve"> facilitate analysis of responses to the </w:t>
      </w:r>
      <w:r>
        <w:rPr>
          <w:rFonts w:ascii="Arial" w:eastAsiaTheme="minorEastAsia" w:hAnsi="Arial" w:cs="Arial"/>
          <w:color w:val="1A1A1A" w:themeColor="background1" w:themeShade="1A"/>
          <w:szCs w:val="20"/>
        </w:rPr>
        <w:t xml:space="preserve">Joint </w:t>
      </w:r>
      <w:r w:rsidRPr="005418F4">
        <w:rPr>
          <w:rFonts w:ascii="Arial" w:eastAsiaTheme="minorEastAsia" w:hAnsi="Arial" w:cs="Arial"/>
          <w:color w:val="1A1A1A" w:themeColor="background1" w:themeShade="1A"/>
          <w:szCs w:val="20"/>
        </w:rPr>
        <w:t>Consultation Paper, respondents are requested to follow the below steps when preparing and submitting their response:</w:t>
      </w:r>
    </w:p>
    <w:p w14:paraId="0CCEC96B"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Insert your responses to the questions in the </w:t>
      </w:r>
      <w:r>
        <w:rPr>
          <w:rFonts w:ascii="Arial" w:eastAsiaTheme="minorEastAsia" w:hAnsi="Arial" w:cs="Arial"/>
          <w:color w:val="1A1A1A" w:themeColor="background1" w:themeShade="1A"/>
          <w:szCs w:val="20"/>
        </w:rPr>
        <w:t xml:space="preserve">Joint </w:t>
      </w:r>
      <w:r w:rsidRPr="005418F4">
        <w:rPr>
          <w:rFonts w:ascii="Arial" w:eastAsiaTheme="minorEastAsia" w:hAnsi="Arial" w:cs="Arial"/>
          <w:color w:val="1A1A1A" w:themeColor="background1" w:themeShade="1A"/>
          <w:szCs w:val="20"/>
        </w:rPr>
        <w:t xml:space="preserve">Consultation Paper in this reply form. </w:t>
      </w:r>
    </w:p>
    <w:p w14:paraId="7411C53E"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Please do not remove tags of the type &lt;ESMA_QUESTION_</w:t>
      </w:r>
      <w:r>
        <w:rPr>
          <w:rFonts w:ascii="Arial" w:eastAsiaTheme="minorEastAsia" w:hAnsi="Arial" w:cs="Arial"/>
          <w:color w:val="1A1A1A" w:themeColor="background1" w:themeShade="1A"/>
          <w:szCs w:val="20"/>
        </w:rPr>
        <w:t>SFDR</w:t>
      </w:r>
      <w:r w:rsidRPr="005418F4">
        <w:rPr>
          <w:rFonts w:ascii="Arial" w:eastAsiaTheme="minorEastAsia" w:hAnsi="Arial" w:cs="Arial"/>
          <w:color w:val="1A1A1A" w:themeColor="background1" w:themeShade="1A"/>
          <w:szCs w:val="20"/>
        </w:rPr>
        <w:t xml:space="preserve">_1&gt;. Your response to each question </w:t>
      </w:r>
      <w:proofErr w:type="gramStart"/>
      <w:r w:rsidRPr="005418F4">
        <w:rPr>
          <w:rFonts w:ascii="Arial" w:eastAsiaTheme="minorEastAsia" w:hAnsi="Arial" w:cs="Arial"/>
          <w:color w:val="1A1A1A" w:themeColor="background1" w:themeShade="1A"/>
          <w:szCs w:val="20"/>
        </w:rPr>
        <w:t>has to</w:t>
      </w:r>
      <w:proofErr w:type="gramEnd"/>
      <w:r w:rsidRPr="005418F4">
        <w:rPr>
          <w:rFonts w:ascii="Arial" w:eastAsiaTheme="minorEastAsia" w:hAnsi="Arial" w:cs="Arial"/>
          <w:color w:val="1A1A1A" w:themeColor="background1" w:themeShade="1A"/>
          <w:szCs w:val="20"/>
        </w:rPr>
        <w:t xml:space="preserve"> be framed by the two tags corresponding to the question.</w:t>
      </w:r>
    </w:p>
    <w:p w14:paraId="68C8BE47"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If you do not wish to respond to a given question, please do not delete it but simply leave the text “TYPE YOUR TEXT HERE” between the tags.</w:t>
      </w:r>
    </w:p>
    <w:p w14:paraId="78389337"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When you have drafted your responses, save the reply form according to the following convention: ESMA_CP </w:t>
      </w:r>
      <w:r>
        <w:rPr>
          <w:rFonts w:ascii="Arial" w:eastAsiaTheme="minorEastAsia" w:hAnsi="Arial" w:cs="Arial"/>
          <w:color w:val="1A1A1A" w:themeColor="background1" w:themeShade="1A"/>
          <w:szCs w:val="20"/>
        </w:rPr>
        <w:t xml:space="preserve">SFDR </w:t>
      </w:r>
      <w:proofErr w:type="spellStart"/>
      <w:r>
        <w:rPr>
          <w:rFonts w:ascii="Arial" w:eastAsiaTheme="minorEastAsia" w:hAnsi="Arial" w:cs="Arial"/>
          <w:color w:val="1A1A1A" w:themeColor="background1" w:themeShade="1A"/>
          <w:szCs w:val="20"/>
        </w:rPr>
        <w:t>Review</w:t>
      </w:r>
      <w:r w:rsidRPr="005418F4">
        <w:rPr>
          <w:rFonts w:ascii="Arial" w:eastAsiaTheme="minorEastAsia" w:hAnsi="Arial" w:cs="Arial"/>
          <w:color w:val="1A1A1A" w:themeColor="background1" w:themeShade="1A"/>
          <w:szCs w:val="20"/>
        </w:rPr>
        <w:t>_nameofrespondent</w:t>
      </w:r>
      <w:proofErr w:type="spellEnd"/>
      <w:r w:rsidRPr="005418F4">
        <w:rPr>
          <w:rFonts w:ascii="Arial" w:eastAsiaTheme="minorEastAsia" w:hAnsi="Arial" w:cs="Arial"/>
          <w:color w:val="1A1A1A" w:themeColor="background1" w:themeShade="1A"/>
          <w:szCs w:val="20"/>
        </w:rPr>
        <w:t xml:space="preserve">. </w:t>
      </w:r>
    </w:p>
    <w:p w14:paraId="2D7494A0" w14:textId="77777777" w:rsidR="009C41BB" w:rsidRPr="005418F4" w:rsidRDefault="009C41BB" w:rsidP="009C41BB">
      <w:pPr>
        <w:spacing w:after="250"/>
        <w:ind w:left="36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For example, for a respondent named ABCD, the reply form would be saved with the following name: ESMA_CP </w:t>
      </w:r>
      <w:r>
        <w:rPr>
          <w:rFonts w:ascii="Arial" w:eastAsiaTheme="minorEastAsia" w:hAnsi="Arial" w:cs="Arial"/>
          <w:color w:val="1A1A1A" w:themeColor="background1" w:themeShade="1A"/>
          <w:szCs w:val="20"/>
        </w:rPr>
        <w:t xml:space="preserve">SFDR </w:t>
      </w:r>
      <w:proofErr w:type="spellStart"/>
      <w:r>
        <w:rPr>
          <w:rFonts w:ascii="Arial" w:eastAsiaTheme="minorEastAsia" w:hAnsi="Arial" w:cs="Arial"/>
          <w:color w:val="1A1A1A" w:themeColor="background1" w:themeShade="1A"/>
          <w:szCs w:val="20"/>
        </w:rPr>
        <w:t>Review</w:t>
      </w:r>
      <w:r w:rsidRPr="005418F4">
        <w:rPr>
          <w:rFonts w:ascii="Arial" w:eastAsiaTheme="minorEastAsia" w:hAnsi="Arial" w:cs="Arial"/>
          <w:color w:val="1A1A1A" w:themeColor="background1" w:themeShade="1A"/>
          <w:szCs w:val="20"/>
        </w:rPr>
        <w:t>_ABCD</w:t>
      </w:r>
      <w:proofErr w:type="spellEnd"/>
      <w:r w:rsidRPr="005418F4">
        <w:rPr>
          <w:rFonts w:ascii="Arial" w:eastAsiaTheme="minorEastAsia" w:hAnsi="Arial" w:cs="Arial"/>
          <w:color w:val="1A1A1A" w:themeColor="background1" w:themeShade="1A"/>
          <w:szCs w:val="20"/>
        </w:rPr>
        <w:t>.</w:t>
      </w:r>
    </w:p>
    <w:p w14:paraId="6C768A79"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Upload the Word reply form containing your responses to ESMA’s website (</w:t>
      </w:r>
      <w:r w:rsidRPr="005418F4">
        <w:rPr>
          <w:rFonts w:ascii="Arial" w:eastAsiaTheme="minorEastAsia" w:hAnsi="Arial" w:cs="Arial"/>
          <w:b/>
          <w:bCs/>
          <w:color w:val="1A1A1A" w:themeColor="background1" w:themeShade="1A"/>
          <w:szCs w:val="20"/>
        </w:rPr>
        <w:t>pdf documents will not be considered except for annexes</w:t>
      </w:r>
      <w:r w:rsidRPr="005418F4">
        <w:rPr>
          <w:rFonts w:ascii="Arial" w:eastAsiaTheme="minorEastAsia" w:hAnsi="Arial" w:cs="Arial"/>
          <w:color w:val="1A1A1A" w:themeColor="background1" w:themeShade="1A"/>
          <w:szCs w:val="20"/>
        </w:rPr>
        <w:t xml:space="preserve">). All contributions should be submitted online at </w:t>
      </w:r>
      <w:hyperlink r:id="rId12" w:history="1">
        <w:r w:rsidRPr="005418F4">
          <w:rPr>
            <w:rFonts w:ascii="Arial" w:eastAsiaTheme="minorEastAsia" w:hAnsi="Arial" w:cs="Arial"/>
            <w:color w:val="0000FF"/>
            <w:szCs w:val="20"/>
            <w:u w:val="single"/>
          </w:rPr>
          <w:t>www.esma.europa.eu</w:t>
        </w:r>
      </w:hyperlink>
      <w:r w:rsidRPr="005418F4">
        <w:rPr>
          <w:rFonts w:ascii="Arial" w:eastAsiaTheme="minorEastAsia" w:hAnsi="Arial" w:cs="Arial"/>
          <w:color w:val="1A1A1A" w:themeColor="background1" w:themeShade="1A"/>
          <w:szCs w:val="20"/>
        </w:rPr>
        <w:t xml:space="preserve"> under the heading ‘Your input - Consultations’. </w:t>
      </w:r>
    </w:p>
    <w:p w14:paraId="1AAB47AF" w14:textId="77777777" w:rsidR="009C41BB" w:rsidRPr="005418F4" w:rsidRDefault="009C41BB" w:rsidP="009C41BB">
      <w:pPr>
        <w:spacing w:after="250"/>
        <w:jc w:val="both"/>
        <w:rPr>
          <w:rFonts w:ascii="Arial" w:eastAsiaTheme="minorEastAsia" w:hAnsi="Arial" w:cs="Arial"/>
          <w:color w:val="1A1A1A" w:themeColor="background1" w:themeShade="1A"/>
          <w:szCs w:val="20"/>
        </w:rPr>
      </w:pPr>
    </w:p>
    <w:p w14:paraId="37E9C4A4" w14:textId="77777777" w:rsidR="009C41BB" w:rsidRPr="005418F4" w:rsidRDefault="009C41BB" w:rsidP="009C41BB">
      <w:pPr>
        <w:spacing w:after="250"/>
        <w:jc w:val="both"/>
        <w:rPr>
          <w:rFonts w:ascii="Arial" w:eastAsiaTheme="minorEastAsia" w:hAnsi="Arial" w:cs="Arial"/>
          <w:color w:val="1A1A1A" w:themeColor="background1" w:themeShade="1A"/>
          <w:szCs w:val="20"/>
        </w:rPr>
      </w:pPr>
    </w:p>
    <w:p w14:paraId="1E2986AC" w14:textId="77777777" w:rsidR="009C41BB" w:rsidRPr="005418F4" w:rsidRDefault="009C41BB" w:rsidP="009C41BB">
      <w:pPr>
        <w:spacing w:after="250"/>
        <w:jc w:val="both"/>
        <w:rPr>
          <w:rFonts w:ascii="Arial" w:eastAsiaTheme="minorEastAsia" w:hAnsi="Arial" w:cs="Arial"/>
          <w:color w:val="1A1A1A" w:themeColor="background1" w:themeShade="1A"/>
          <w:szCs w:val="20"/>
        </w:rPr>
      </w:pPr>
    </w:p>
    <w:p w14:paraId="3A2025B7" w14:textId="77777777" w:rsidR="009C41BB" w:rsidRPr="005418F4" w:rsidRDefault="009C41BB" w:rsidP="009C41BB">
      <w:pPr>
        <w:spacing w:after="250"/>
        <w:ind w:left="426" w:hanging="426"/>
        <w:jc w:val="both"/>
        <w:rPr>
          <w:rFonts w:ascii="Arial" w:eastAsiaTheme="minorEastAsia" w:hAnsi="Arial" w:cs="Arial"/>
          <w:b/>
          <w:color w:val="1A1A1A" w:themeColor="background1" w:themeShade="1A"/>
          <w:sz w:val="28"/>
          <w:szCs w:val="28"/>
        </w:rPr>
      </w:pPr>
      <w:r w:rsidRPr="005418F4">
        <w:rPr>
          <w:rFonts w:ascii="Arial" w:eastAsiaTheme="minorEastAsia" w:hAnsi="Arial" w:cs="Arial"/>
          <w:b/>
          <w:color w:val="1A1A1A" w:themeColor="background1" w:themeShade="1A"/>
          <w:sz w:val="28"/>
          <w:szCs w:val="28"/>
        </w:rPr>
        <w:t>Publication of responses</w:t>
      </w:r>
    </w:p>
    <w:p w14:paraId="7E539DEA" w14:textId="77777777" w:rsidR="009C41BB" w:rsidRPr="005418F4" w:rsidRDefault="009C41BB" w:rsidP="009C41BB">
      <w:p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All contributions received will be published following the close of the </w:t>
      </w:r>
      <w:proofErr w:type="gramStart"/>
      <w:r w:rsidRPr="005418F4">
        <w:rPr>
          <w:rFonts w:ascii="Arial" w:eastAsiaTheme="minorEastAsia" w:hAnsi="Arial" w:cs="Arial"/>
          <w:color w:val="1A1A1A" w:themeColor="background1" w:themeShade="1A"/>
          <w:szCs w:val="20"/>
        </w:rPr>
        <w:t>consultation, unless</w:t>
      </w:r>
      <w:proofErr w:type="gramEnd"/>
      <w:r w:rsidRPr="005418F4">
        <w:rPr>
          <w:rFonts w:ascii="Arial" w:eastAsiaTheme="minorEastAsia" w:hAnsi="Arial" w:cs="Arial"/>
          <w:color w:val="1A1A1A" w:themeColor="background1" w:themeShade="1A"/>
          <w:szCs w:val="20"/>
        </w:rPr>
        <w:t xml:space="preserve">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ESAs</w:t>
      </w:r>
      <w:r>
        <w:rPr>
          <w:rFonts w:ascii="Arial" w:eastAsiaTheme="minorEastAsia" w:hAnsi="Arial" w:cs="Arial"/>
          <w:color w:val="1A1A1A" w:themeColor="background1" w:themeShade="1A"/>
          <w:szCs w:val="20"/>
        </w:rPr>
        <w:t>’</w:t>
      </w:r>
      <w:r w:rsidRPr="005418F4">
        <w:rPr>
          <w:rFonts w:ascii="Arial" w:eastAsiaTheme="minorEastAsia" w:hAnsi="Arial" w:cs="Arial"/>
          <w:color w:val="1A1A1A" w:themeColor="background1" w:themeShade="1A"/>
          <w:szCs w:val="20"/>
        </w:rPr>
        <w:t xml:space="preserve"> rules on access to documents. We may consult you if we receive such a request. Any decision we make not to disclose the response is reviewable by ESMA’s Board of Appeal and the European Ombudsman.</w:t>
      </w:r>
    </w:p>
    <w:p w14:paraId="68DE224D" w14:textId="77777777" w:rsidR="009C41BB" w:rsidRPr="005418F4" w:rsidRDefault="009C41BB" w:rsidP="009C41BB">
      <w:pPr>
        <w:spacing w:after="250"/>
        <w:jc w:val="both"/>
        <w:rPr>
          <w:rFonts w:ascii="Arial" w:eastAsiaTheme="minorEastAsia" w:hAnsi="Arial" w:cs="Arial"/>
          <w:color w:val="1A1A1A" w:themeColor="background1" w:themeShade="1A"/>
          <w:szCs w:val="20"/>
        </w:rPr>
      </w:pPr>
    </w:p>
    <w:p w14:paraId="2CD6CD66" w14:textId="77777777" w:rsidR="009C41BB" w:rsidRPr="005418F4" w:rsidRDefault="009C41BB" w:rsidP="009C41BB">
      <w:pPr>
        <w:spacing w:after="250"/>
        <w:ind w:left="426" w:hanging="426"/>
        <w:jc w:val="both"/>
        <w:rPr>
          <w:rFonts w:ascii="Arial" w:eastAsiaTheme="minorEastAsia" w:hAnsi="Arial" w:cs="Arial"/>
          <w:b/>
          <w:color w:val="1A1A1A" w:themeColor="background1" w:themeShade="1A"/>
          <w:sz w:val="28"/>
          <w:szCs w:val="28"/>
        </w:rPr>
      </w:pPr>
      <w:r w:rsidRPr="005418F4">
        <w:rPr>
          <w:rFonts w:ascii="Arial" w:eastAsiaTheme="minorEastAsia" w:hAnsi="Arial" w:cs="Arial"/>
          <w:b/>
          <w:color w:val="1A1A1A" w:themeColor="background1" w:themeShade="1A"/>
          <w:sz w:val="28"/>
          <w:szCs w:val="28"/>
        </w:rPr>
        <w:t>Data protection</w:t>
      </w:r>
    </w:p>
    <w:p w14:paraId="47928B56" w14:textId="77777777" w:rsidR="009C41BB" w:rsidRPr="00905E44" w:rsidRDefault="009C41BB" w:rsidP="009C41BB">
      <w:pPr>
        <w:spacing w:after="250"/>
        <w:jc w:val="both"/>
        <w:rPr>
          <w:rFonts w:ascii="Arial" w:eastAsiaTheme="minorEastAsia" w:hAnsi="Arial" w:cs="Arial"/>
          <w:color w:val="1A1A1A" w:themeColor="background1" w:themeShade="1A"/>
          <w:lang w:eastAsia="en-GB"/>
        </w:rPr>
      </w:pPr>
      <w:r w:rsidRPr="00905E44">
        <w:rPr>
          <w:rFonts w:ascii="Arial" w:eastAsiaTheme="minorEastAsia" w:hAnsi="Arial" w:cs="Arial"/>
          <w:color w:val="1A1A1A" w:themeColor="background1" w:themeShade="1A"/>
          <w:lang w:eastAsia="en-GB"/>
        </w:rPr>
        <w:t xml:space="preserve">The protection of individuals </w:t>
      </w:r>
      <w:proofErr w:type="gramStart"/>
      <w:r w:rsidRPr="00905E44">
        <w:rPr>
          <w:rFonts w:ascii="Arial" w:eastAsiaTheme="minorEastAsia" w:hAnsi="Arial" w:cs="Arial"/>
          <w:color w:val="1A1A1A" w:themeColor="background1" w:themeShade="1A"/>
          <w:lang w:eastAsia="en-GB"/>
        </w:rPr>
        <w:t>with regard to</w:t>
      </w:r>
      <w:proofErr w:type="gramEnd"/>
      <w:r w:rsidRPr="00905E44">
        <w:rPr>
          <w:rFonts w:ascii="Arial" w:eastAsiaTheme="minorEastAsia" w:hAnsi="Arial" w:cs="Arial"/>
          <w:color w:val="1A1A1A" w:themeColor="background1" w:themeShade="1A"/>
          <w:lang w:eastAsia="en-GB"/>
        </w:rPr>
        <w:t xml:space="preserve"> the processing of personal data by the ESAs is based on Regulation (EU) 2018/1725</w:t>
      </w:r>
      <w:r w:rsidRPr="00905E44">
        <w:rPr>
          <w:rFonts w:ascii="Arial" w:eastAsiaTheme="minorEastAsia" w:hAnsi="Arial" w:cs="Arial"/>
          <w:color w:val="1A1A1A" w:themeColor="background1" w:themeShade="1A"/>
          <w:vertAlign w:val="superscript"/>
          <w:lang w:eastAsia="en-GB"/>
        </w:rPr>
        <w:footnoteReference w:id="1"/>
      </w:r>
      <w:r w:rsidRPr="00905E44">
        <w:rPr>
          <w:rFonts w:ascii="Arial" w:eastAsiaTheme="minorEastAsia" w:hAnsi="Arial" w:cs="Arial"/>
          <w:color w:val="1A1A1A" w:themeColor="background1" w:themeShade="1A"/>
          <w:lang w:eastAsia="en-GB"/>
        </w:rPr>
        <w:t xml:space="preserve">. Further information on data protection can be found under the </w:t>
      </w:r>
      <w:hyperlink r:id="rId13" w:history="1">
        <w:r w:rsidRPr="00905E44">
          <w:rPr>
            <w:rStyle w:val="Hyperlink"/>
            <w:rFonts w:ascii="Arial" w:eastAsiaTheme="minorEastAsia" w:hAnsi="Arial" w:cs="Arial"/>
            <w:lang w:eastAsia="en-GB"/>
          </w:rPr>
          <w:t>Legal notice</w:t>
        </w:r>
      </w:hyperlink>
      <w:r w:rsidRPr="00905E44">
        <w:rPr>
          <w:rFonts w:ascii="Arial" w:eastAsiaTheme="minorEastAsia" w:hAnsi="Arial" w:cs="Arial"/>
          <w:color w:val="1A1A1A" w:themeColor="background1" w:themeShade="1A"/>
          <w:lang w:eastAsia="en-GB"/>
        </w:rPr>
        <w:t xml:space="preserve"> section of the EBA website and under the </w:t>
      </w:r>
      <w:hyperlink r:id="rId14" w:history="1">
        <w:r w:rsidRPr="00905E44">
          <w:rPr>
            <w:rStyle w:val="Hyperlink"/>
            <w:rFonts w:ascii="Arial" w:eastAsiaTheme="minorEastAsia" w:hAnsi="Arial" w:cs="Arial"/>
            <w:lang w:eastAsia="en-GB"/>
          </w:rPr>
          <w:t>Legal notice</w:t>
        </w:r>
      </w:hyperlink>
      <w:r w:rsidRPr="00905E44">
        <w:rPr>
          <w:rFonts w:ascii="Arial" w:eastAsiaTheme="minorEastAsia" w:hAnsi="Arial" w:cs="Arial"/>
          <w:color w:val="1A1A1A" w:themeColor="background1" w:themeShade="1A"/>
          <w:lang w:eastAsia="en-GB"/>
        </w:rPr>
        <w:t xml:space="preserve"> section of the EIOPA website and under the </w:t>
      </w:r>
      <w:hyperlink r:id="rId15" w:history="1">
        <w:r w:rsidRPr="00905E44">
          <w:rPr>
            <w:rStyle w:val="Hyperlink"/>
            <w:rFonts w:ascii="Arial" w:eastAsiaTheme="minorEastAsia" w:hAnsi="Arial" w:cs="Arial"/>
            <w:lang w:eastAsia="en-GB"/>
          </w:rPr>
          <w:t>Legal notice</w:t>
        </w:r>
      </w:hyperlink>
      <w:r w:rsidRPr="00905E44">
        <w:rPr>
          <w:rFonts w:ascii="Arial" w:eastAsiaTheme="minorEastAsia" w:hAnsi="Arial" w:cs="Arial"/>
          <w:color w:val="1A1A1A" w:themeColor="background1" w:themeShade="1A"/>
          <w:lang w:eastAsia="en-GB"/>
        </w:rPr>
        <w:t xml:space="preserve"> section of the ESMA website.</w:t>
      </w:r>
    </w:p>
    <w:p w14:paraId="1CBF5A34" w14:textId="77777777" w:rsidR="009C41BB" w:rsidRDefault="009C41BB">
      <w:pPr>
        <w:rPr>
          <w:rFonts w:ascii="Arial" w:eastAsiaTheme="minorEastAsia" w:hAnsi="Arial" w:cs="Arial"/>
          <w:b/>
          <w:bCs/>
          <w:color w:val="00379F"/>
          <w:kern w:val="32"/>
          <w:sz w:val="28"/>
          <w:szCs w:val="28"/>
        </w:rPr>
      </w:pPr>
      <w:r>
        <w:rPr>
          <w:rFonts w:ascii="Arial" w:eastAsiaTheme="minorEastAsia" w:hAnsi="Arial" w:cs="Arial"/>
          <w:b/>
          <w:bCs/>
          <w:color w:val="00379F"/>
          <w:kern w:val="32"/>
          <w:sz w:val="28"/>
          <w:szCs w:val="28"/>
        </w:rPr>
        <w:br w:type="page"/>
      </w:r>
    </w:p>
    <w:p w14:paraId="4A0A5A2F" w14:textId="77777777" w:rsidR="009C41BB" w:rsidRDefault="009C41BB" w:rsidP="005418F4">
      <w:pPr>
        <w:keepNext/>
        <w:spacing w:before="240" w:after="60" w:line="360" w:lineRule="auto"/>
        <w:ind w:left="720" w:hanging="360"/>
        <w:jc w:val="both"/>
        <w:outlineLvl w:val="0"/>
        <w:rPr>
          <w:rFonts w:ascii="Arial" w:eastAsiaTheme="minorEastAsia" w:hAnsi="Arial" w:cs="Arial"/>
          <w:b/>
          <w:bCs/>
          <w:color w:val="00379F"/>
          <w:kern w:val="32"/>
          <w:sz w:val="28"/>
          <w:szCs w:val="28"/>
        </w:rPr>
      </w:pPr>
    </w:p>
    <w:p w14:paraId="6BE4B484" w14:textId="00DD6F7A" w:rsidR="005418F4" w:rsidRPr="009C41BB" w:rsidRDefault="005418F4" w:rsidP="005418F4">
      <w:pPr>
        <w:keepNext/>
        <w:spacing w:before="240" w:after="60" w:line="360" w:lineRule="auto"/>
        <w:ind w:left="720" w:hanging="360"/>
        <w:jc w:val="both"/>
        <w:outlineLvl w:val="0"/>
        <w:rPr>
          <w:rFonts w:ascii="Arial" w:eastAsiaTheme="minorEastAsia" w:hAnsi="Arial" w:cs="Arial"/>
          <w:b/>
          <w:color w:val="1A1A1A" w:themeColor="background1" w:themeShade="1A"/>
          <w:sz w:val="28"/>
          <w:szCs w:val="28"/>
        </w:rPr>
      </w:pPr>
      <w:r w:rsidRPr="009C41BB">
        <w:rPr>
          <w:rFonts w:ascii="Arial" w:eastAsiaTheme="minorEastAsia" w:hAnsi="Arial" w:cs="Arial"/>
          <w:b/>
          <w:color w:val="1A1A1A" w:themeColor="background1" w:themeShade="1A"/>
          <w:sz w:val="28"/>
          <w:szCs w:val="28"/>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5418F4" w:rsidRPr="005418F4" w14:paraId="41EDECFD" w14:textId="77777777" w:rsidTr="00123714">
        <w:tc>
          <w:tcPr>
            <w:tcW w:w="3929" w:type="dxa"/>
            <w:shd w:val="clear" w:color="auto" w:fill="auto"/>
            <w:vAlign w:val="center"/>
          </w:tcPr>
          <w:p w14:paraId="3FEE209E" w14:textId="77777777" w:rsidR="005418F4" w:rsidRPr="005418F4" w:rsidRDefault="005418F4" w:rsidP="005418F4">
            <w:pPr>
              <w:spacing w:after="250"/>
              <w:rPr>
                <w:rFonts w:ascii="Arial" w:eastAsiaTheme="minorEastAsia" w:hAnsi="Arial" w:cs="Arial"/>
                <w:color w:val="00379F"/>
                <w:szCs w:val="20"/>
              </w:rPr>
            </w:pPr>
            <w:permStart w:id="761084185" w:edGrp="everyone" w:colFirst="1" w:colLast="1"/>
            <w:r w:rsidRPr="009C41BB">
              <w:rPr>
                <w:rFonts w:ascii="Arial" w:eastAsiaTheme="minorEastAsia" w:hAnsi="Arial" w:cs="Arial"/>
                <w:szCs w:val="20"/>
              </w:rPr>
              <w:t>Name of the company / organisation</w:t>
            </w:r>
          </w:p>
        </w:tc>
        <w:sdt>
          <w:sdtPr>
            <w:rPr>
              <w:rFonts w:ascii="Arial" w:eastAsiaTheme="minorEastAsia" w:hAnsi="Arial" w:cs="Arial"/>
              <w:color w:val="808080"/>
              <w:szCs w:val="20"/>
            </w:rPr>
            <w:id w:val="651570699"/>
            <w:text/>
          </w:sdtPr>
          <w:sdtContent>
            <w:tc>
              <w:tcPr>
                <w:tcW w:w="5595" w:type="dxa"/>
                <w:shd w:val="clear" w:color="auto" w:fill="auto"/>
                <w:vAlign w:val="center"/>
              </w:tcPr>
              <w:p w14:paraId="2D662032" w14:textId="33BCB0B6" w:rsidR="005418F4" w:rsidRPr="005418F4" w:rsidRDefault="00471FAC" w:rsidP="005418F4">
                <w:pPr>
                  <w:spacing w:after="250"/>
                  <w:rPr>
                    <w:rFonts w:ascii="Arial" w:eastAsiaTheme="minorEastAsia" w:hAnsi="Arial" w:cs="Arial"/>
                    <w:color w:val="808080"/>
                    <w:szCs w:val="20"/>
                  </w:rPr>
                </w:pPr>
                <w:r>
                  <w:rPr>
                    <w:rFonts w:ascii="Arial" w:eastAsiaTheme="minorEastAsia" w:hAnsi="Arial" w:cs="Arial"/>
                    <w:color w:val="808080"/>
                    <w:szCs w:val="20"/>
                  </w:rPr>
                  <w:t>Fran</w:t>
                </w:r>
                <w:r w:rsidR="00EE6804">
                  <w:rPr>
                    <w:rFonts w:ascii="Arial" w:eastAsiaTheme="minorEastAsia" w:hAnsi="Arial" w:cs="Arial"/>
                    <w:color w:val="808080"/>
                    <w:szCs w:val="20"/>
                  </w:rPr>
                  <w:t>k</w:t>
                </w:r>
                <w:r>
                  <w:rPr>
                    <w:rFonts w:ascii="Arial" w:eastAsiaTheme="minorEastAsia" w:hAnsi="Arial" w:cs="Arial"/>
                    <w:color w:val="808080"/>
                    <w:szCs w:val="20"/>
                  </w:rPr>
                  <w:t xml:space="preserve"> Bold Society</w:t>
                </w:r>
              </w:p>
            </w:tc>
          </w:sdtContent>
        </w:sdt>
      </w:tr>
      <w:tr w:rsidR="005418F4" w:rsidRPr="005418F4" w14:paraId="1994CDD1" w14:textId="77777777" w:rsidTr="00123714">
        <w:tc>
          <w:tcPr>
            <w:tcW w:w="3929" w:type="dxa"/>
            <w:shd w:val="clear" w:color="auto" w:fill="auto"/>
            <w:vAlign w:val="center"/>
          </w:tcPr>
          <w:p w14:paraId="5FA9830B" w14:textId="77777777" w:rsidR="005418F4" w:rsidRPr="009C41BB" w:rsidRDefault="005418F4" w:rsidP="005418F4">
            <w:pPr>
              <w:spacing w:after="250"/>
              <w:rPr>
                <w:rFonts w:ascii="Arial" w:eastAsiaTheme="minorEastAsia" w:hAnsi="Arial" w:cs="Arial"/>
                <w:szCs w:val="20"/>
              </w:rPr>
            </w:pPr>
            <w:permStart w:id="334762462" w:edGrp="everyone" w:colFirst="1" w:colLast="1"/>
            <w:permEnd w:id="761084185"/>
            <w:r w:rsidRPr="009C41BB">
              <w:rPr>
                <w:rFonts w:ascii="Arial" w:eastAsiaTheme="minorEastAsia" w:hAnsi="Arial" w:cs="Arial"/>
                <w:szCs w:val="20"/>
              </w:rPr>
              <w:t>Activity</w:t>
            </w:r>
          </w:p>
        </w:tc>
        <w:tc>
          <w:tcPr>
            <w:tcW w:w="5595" w:type="dxa"/>
            <w:shd w:val="clear" w:color="auto" w:fill="auto"/>
            <w:vAlign w:val="center"/>
          </w:tcPr>
          <w:p w14:paraId="051534BC" w14:textId="38076750" w:rsidR="005418F4" w:rsidRPr="005418F4" w:rsidRDefault="00000000" w:rsidP="005418F4">
            <w:pPr>
              <w:spacing w:after="250"/>
              <w:rPr>
                <w:rFonts w:ascii="Arial" w:eastAsiaTheme="minorEastAsia" w:hAnsi="Arial" w:cs="Arial"/>
                <w:color w:val="1A1A1A" w:themeColor="background1" w:themeShade="1A"/>
                <w:szCs w:val="20"/>
              </w:rPr>
            </w:pPr>
            <w:sdt>
              <w:sdtPr>
                <w:rPr>
                  <w:rFonts w:ascii="Arial" w:eastAsiaTheme="minorEastAsia" w:hAnsi="Arial" w:cs="Arial"/>
                  <w:color w:val="1A1A1A" w:themeColor="background1" w:themeShade="1A"/>
                  <w:szCs w:val="20"/>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471FAC">
                  <w:rPr>
                    <w:rFonts w:ascii="Arial" w:eastAsiaTheme="minorEastAsia" w:hAnsi="Arial" w:cs="Arial"/>
                    <w:color w:val="1A1A1A" w:themeColor="background1" w:themeShade="1A"/>
                    <w:szCs w:val="20"/>
                  </w:rPr>
                  <w:t>Audit/Legal/Individual</w:t>
                </w:r>
              </w:sdtContent>
            </w:sdt>
          </w:p>
        </w:tc>
      </w:tr>
      <w:tr w:rsidR="005418F4" w:rsidRPr="005418F4" w14:paraId="6D2BB9B6" w14:textId="77777777" w:rsidTr="00123714">
        <w:tc>
          <w:tcPr>
            <w:tcW w:w="3929" w:type="dxa"/>
            <w:shd w:val="clear" w:color="auto" w:fill="auto"/>
            <w:vAlign w:val="center"/>
          </w:tcPr>
          <w:p w14:paraId="7CA88345" w14:textId="77777777" w:rsidR="005418F4" w:rsidRPr="009C41BB" w:rsidRDefault="005418F4" w:rsidP="005418F4">
            <w:pPr>
              <w:spacing w:after="250"/>
              <w:rPr>
                <w:rFonts w:ascii="Arial" w:eastAsiaTheme="minorEastAsia" w:hAnsi="Arial" w:cs="Arial"/>
                <w:szCs w:val="20"/>
              </w:rPr>
            </w:pPr>
            <w:permStart w:id="587276884" w:edGrp="everyone" w:colFirst="1" w:colLast="1"/>
            <w:permEnd w:id="334762462"/>
            <w:r w:rsidRPr="009C41BB">
              <w:rPr>
                <w:rFonts w:ascii="Arial" w:eastAsiaTheme="minorEastAsia" w:hAnsi="Arial" w:cs="Arial"/>
                <w:szCs w:val="20"/>
              </w:rPr>
              <w:t>Are you representing an association?</w:t>
            </w:r>
          </w:p>
        </w:tc>
        <w:sdt>
          <w:sdtPr>
            <w:rPr>
              <w:rFonts w:ascii="Arial" w:eastAsiaTheme="minorEastAsia" w:hAnsi="Arial" w:cs="Arial"/>
              <w:color w:val="1A1A1A" w:themeColor="background1" w:themeShade="1A"/>
              <w:szCs w:val="20"/>
            </w:rPr>
            <w:id w:val="-226150188"/>
            <w14:checkbox>
              <w14:checked w14:val="0"/>
              <w14:checkedState w14:val="2612" w14:font="MS Gothic"/>
              <w14:uncheckedState w14:val="2610" w14:font="MS Gothic"/>
            </w14:checkbox>
          </w:sdtPr>
          <w:sdtContent>
            <w:tc>
              <w:tcPr>
                <w:tcW w:w="5595" w:type="dxa"/>
                <w:shd w:val="clear" w:color="auto" w:fill="auto"/>
                <w:vAlign w:val="center"/>
              </w:tcPr>
              <w:p w14:paraId="67C0DEAE" w14:textId="77777777" w:rsidR="005418F4" w:rsidRPr="005418F4" w:rsidRDefault="005418F4" w:rsidP="005418F4">
                <w:pPr>
                  <w:spacing w:after="250"/>
                  <w:rPr>
                    <w:rFonts w:ascii="Arial" w:eastAsiaTheme="minorEastAsia" w:hAnsi="Arial" w:cs="Arial"/>
                    <w:color w:val="1A1A1A" w:themeColor="background1" w:themeShade="1A"/>
                    <w:szCs w:val="20"/>
                  </w:rPr>
                </w:pPr>
                <w:r w:rsidRPr="005418F4">
                  <w:rPr>
                    <w:rFonts w:ascii="Segoe UI Symbol" w:eastAsiaTheme="minorEastAsia" w:hAnsi="Segoe UI Symbol" w:cs="Segoe UI Symbol"/>
                    <w:color w:val="1A1A1A" w:themeColor="background1" w:themeShade="1A"/>
                    <w:szCs w:val="20"/>
                  </w:rPr>
                  <w:t>☐</w:t>
                </w:r>
              </w:p>
            </w:tc>
          </w:sdtContent>
        </w:sdt>
      </w:tr>
      <w:tr w:rsidR="005418F4" w:rsidRPr="005418F4" w14:paraId="7877AB38" w14:textId="77777777" w:rsidTr="00123714">
        <w:tc>
          <w:tcPr>
            <w:tcW w:w="3929" w:type="dxa"/>
            <w:shd w:val="clear" w:color="auto" w:fill="auto"/>
            <w:vAlign w:val="center"/>
          </w:tcPr>
          <w:p w14:paraId="418068AA" w14:textId="77777777" w:rsidR="005418F4" w:rsidRPr="009C41BB" w:rsidRDefault="005418F4" w:rsidP="005418F4">
            <w:pPr>
              <w:spacing w:after="250"/>
              <w:rPr>
                <w:rFonts w:ascii="Arial" w:eastAsiaTheme="minorEastAsia" w:hAnsi="Arial" w:cs="Arial"/>
                <w:szCs w:val="20"/>
              </w:rPr>
            </w:pPr>
            <w:permStart w:id="1969555385" w:edGrp="everyone" w:colFirst="1" w:colLast="1"/>
            <w:permEnd w:id="587276884"/>
            <w:r w:rsidRPr="009C41BB">
              <w:rPr>
                <w:rFonts w:ascii="Arial" w:eastAsiaTheme="minorEastAsia" w:hAnsi="Arial" w:cs="Arial"/>
                <w:szCs w:val="20"/>
              </w:rPr>
              <w:t>Country/Region</w:t>
            </w:r>
          </w:p>
        </w:tc>
        <w:sdt>
          <w:sdtPr>
            <w:rPr>
              <w:rFonts w:ascii="Arial" w:eastAsiaTheme="minorEastAsia" w:hAnsi="Arial" w:cs="Arial"/>
              <w:color w:val="1A1A1A" w:themeColor="background1" w:themeShade="1A"/>
              <w:szCs w:val="20"/>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763C0ACF" w14:textId="125960EF" w:rsidR="005418F4" w:rsidRPr="005418F4" w:rsidRDefault="00471FAC" w:rsidP="005418F4">
                <w:pPr>
                  <w:spacing w:after="250"/>
                  <w:rPr>
                    <w:rFonts w:ascii="Arial" w:eastAsiaTheme="minorEastAsia" w:hAnsi="Arial" w:cs="Arial"/>
                    <w:color w:val="1A1A1A" w:themeColor="background1" w:themeShade="1A"/>
                    <w:szCs w:val="20"/>
                  </w:rPr>
                </w:pPr>
                <w:r>
                  <w:rPr>
                    <w:rFonts w:ascii="Arial" w:eastAsiaTheme="minorEastAsia" w:hAnsi="Arial" w:cs="Arial"/>
                    <w:color w:val="1A1A1A" w:themeColor="background1" w:themeShade="1A"/>
                    <w:szCs w:val="20"/>
                  </w:rPr>
                  <w:t>Belgium</w:t>
                </w:r>
              </w:p>
            </w:tc>
          </w:sdtContent>
        </w:sdt>
      </w:tr>
      <w:permEnd w:id="1969555385"/>
    </w:tbl>
    <w:p w14:paraId="21F085A5" w14:textId="77777777" w:rsidR="005418F4" w:rsidRPr="005418F4" w:rsidRDefault="005418F4" w:rsidP="005418F4">
      <w:pPr>
        <w:spacing w:after="250"/>
        <w:jc w:val="both"/>
        <w:rPr>
          <w:rFonts w:ascii="Arial" w:eastAsiaTheme="minorEastAsia" w:hAnsi="Arial" w:cs="Arial"/>
          <w:color w:val="1A1A1A" w:themeColor="background1" w:themeShade="1A"/>
          <w:szCs w:val="20"/>
        </w:rPr>
      </w:pPr>
    </w:p>
    <w:p w14:paraId="2343DFFD" w14:textId="77777777" w:rsidR="005418F4" w:rsidRPr="009C41BB" w:rsidRDefault="005418F4" w:rsidP="005418F4">
      <w:pPr>
        <w:keepNext/>
        <w:spacing w:before="240" w:after="60" w:line="360" w:lineRule="auto"/>
        <w:ind w:left="720" w:hanging="360"/>
        <w:jc w:val="both"/>
        <w:outlineLvl w:val="0"/>
        <w:rPr>
          <w:rFonts w:ascii="Arial" w:eastAsiaTheme="minorEastAsia" w:hAnsi="Arial" w:cs="Arial"/>
          <w:b/>
          <w:color w:val="1A1A1A" w:themeColor="background1" w:themeShade="1A"/>
          <w:sz w:val="28"/>
          <w:szCs w:val="28"/>
        </w:rPr>
      </w:pPr>
      <w:r w:rsidRPr="009C41BB">
        <w:rPr>
          <w:rFonts w:ascii="Arial" w:eastAsiaTheme="minorEastAsia" w:hAnsi="Arial" w:cs="Arial"/>
          <w:b/>
          <w:color w:val="1A1A1A" w:themeColor="background1" w:themeShade="1A"/>
          <w:sz w:val="28"/>
          <w:szCs w:val="28"/>
        </w:rPr>
        <w:t>Questions</w:t>
      </w:r>
    </w:p>
    <w:p w14:paraId="3423BAEF" w14:textId="1C4B4347" w:rsidR="009C41BB" w:rsidRDefault="009C41BB" w:rsidP="009C41BB">
      <w:pPr>
        <w:pStyle w:val="Questionstyle"/>
        <w:numPr>
          <w:ilvl w:val="0"/>
          <w:numId w:val="42"/>
        </w:numPr>
      </w:pPr>
      <w:bookmarkStart w:id="0" w:name="_Hlk131609827"/>
      <w:r>
        <w:t>: Do you agree with the newly proposed mandatory social indicators in Annex I, Table I (amount of accumulated earnings in non-cooperative tax jurisdictions for undertakings whose turnover exceeds € 750 million, exposure to companies involved in the cultivation and production of tobacco, interference with the formation of trade unions or election worker representatives, share of employees earning less than the adequate wage)?</w:t>
      </w:r>
    </w:p>
    <w:bookmarkEnd w:id="0"/>
    <w:p w14:paraId="59C73552" w14:textId="77777777" w:rsidR="009C41BB" w:rsidRDefault="009C41BB" w:rsidP="009C41BB">
      <w:r>
        <w:t>&lt;ESMA_QUESTION_SFDR_1&gt;</w:t>
      </w:r>
      <w:permStart w:id="5929778" w:edGrp="everyone"/>
      <w:permEnd w:id="5929778"/>
    </w:p>
    <w:p w14:paraId="3ADA5490" w14:textId="09E867D3" w:rsidR="003450DA" w:rsidRPr="00D45D33" w:rsidRDefault="003450DA" w:rsidP="003450DA">
      <w:pPr>
        <w:spacing w:line="259" w:lineRule="auto"/>
        <w:jc w:val="both"/>
        <w:rPr>
          <w:iCs/>
        </w:rPr>
      </w:pPr>
      <w:r w:rsidRPr="00D45D33">
        <w:rPr>
          <w:iCs/>
        </w:rPr>
        <w:t>We welcome the strengthening of the SFDR social indicators and would support the inclusion of the proposed new mandatory indicators to ensure consistency with the upcoming CSRD Delegated Act with the European Sustainability Reporting Standards.</w:t>
      </w:r>
    </w:p>
    <w:p w14:paraId="228F8868" w14:textId="05D96AC5" w:rsidR="003450DA" w:rsidRPr="00D45D33" w:rsidRDefault="003450DA" w:rsidP="003450DA">
      <w:pPr>
        <w:numPr>
          <w:ilvl w:val="0"/>
          <w:numId w:val="43"/>
        </w:numPr>
        <w:spacing w:after="0" w:line="259" w:lineRule="auto"/>
        <w:jc w:val="both"/>
        <w:rPr>
          <w:iCs/>
        </w:rPr>
      </w:pPr>
      <w:r w:rsidRPr="00D45D33">
        <w:rPr>
          <w:iCs/>
        </w:rPr>
        <w:t>Share of employees earning less than the adequate wage</w:t>
      </w:r>
    </w:p>
    <w:p w14:paraId="6F3EA1C0" w14:textId="77777777" w:rsidR="00471FAC" w:rsidRPr="00D45D33" w:rsidRDefault="00471FAC" w:rsidP="00471FAC">
      <w:pPr>
        <w:spacing w:after="0" w:line="259" w:lineRule="auto"/>
        <w:ind w:left="720"/>
        <w:jc w:val="both"/>
        <w:rPr>
          <w:iCs/>
        </w:rPr>
      </w:pPr>
    </w:p>
    <w:p w14:paraId="39B19E1F" w14:textId="50D03F5B" w:rsidR="003450DA" w:rsidRPr="00D45D33" w:rsidRDefault="003450DA" w:rsidP="003450DA">
      <w:pPr>
        <w:spacing w:line="259" w:lineRule="auto"/>
        <w:jc w:val="both"/>
        <w:rPr>
          <w:iCs/>
        </w:rPr>
      </w:pPr>
      <w:r w:rsidRPr="00D45D33">
        <w:rPr>
          <w:iCs/>
        </w:rPr>
        <w:t>We believe this indicator is particularly important to shed light on the contribution of investment portfolios to the reduction of income inequalities, which impact others forms of inequality in wealth and opportunity.</w:t>
      </w:r>
    </w:p>
    <w:p w14:paraId="5AB418DB" w14:textId="415A4D29" w:rsidR="003450DA" w:rsidRPr="00D45D33" w:rsidRDefault="003450DA" w:rsidP="003450DA">
      <w:pPr>
        <w:numPr>
          <w:ilvl w:val="0"/>
          <w:numId w:val="43"/>
        </w:numPr>
        <w:spacing w:after="0" w:line="259" w:lineRule="auto"/>
        <w:jc w:val="both"/>
        <w:rPr>
          <w:iCs/>
        </w:rPr>
      </w:pPr>
      <w:r w:rsidRPr="00D45D33">
        <w:rPr>
          <w:iCs/>
        </w:rPr>
        <w:t>Interference in the formation of trade unions or election of worker representatives</w:t>
      </w:r>
    </w:p>
    <w:p w14:paraId="2D695CAA" w14:textId="77777777" w:rsidR="00471FAC" w:rsidRPr="00D45D33" w:rsidRDefault="00471FAC" w:rsidP="00471FAC">
      <w:pPr>
        <w:spacing w:after="0" w:line="259" w:lineRule="auto"/>
        <w:ind w:left="720"/>
        <w:jc w:val="both"/>
        <w:rPr>
          <w:iCs/>
        </w:rPr>
      </w:pPr>
    </w:p>
    <w:p w14:paraId="4A2A6F63" w14:textId="73ED3BDF" w:rsidR="003450DA" w:rsidRPr="00D45D33" w:rsidRDefault="003450DA" w:rsidP="003450DA">
      <w:pPr>
        <w:spacing w:line="259" w:lineRule="auto"/>
        <w:jc w:val="both"/>
        <w:rPr>
          <w:iCs/>
        </w:rPr>
      </w:pPr>
      <w:r w:rsidRPr="00D45D33">
        <w:rPr>
          <w:iCs/>
        </w:rPr>
        <w:t xml:space="preserve">We strongly agree with the indicator in principle, but we believe that it could be better </w:t>
      </w:r>
      <w:proofErr w:type="gramStart"/>
      <w:r w:rsidRPr="00D45D33">
        <w:rPr>
          <w:iCs/>
        </w:rPr>
        <w:t>formulated  to</w:t>
      </w:r>
      <w:proofErr w:type="gramEnd"/>
      <w:r w:rsidRPr="00D45D33">
        <w:rPr>
          <w:iCs/>
        </w:rPr>
        <w:t xml:space="preserve"> provide more meaningful insights into the issue. In the absence of any data provided by the investee company on the implementation of its commitments, investors would either have to accept such statements as a sufficient proof of </w:t>
      </w:r>
      <w:proofErr w:type="spellStart"/>
      <w:proofErr w:type="gramStart"/>
      <w:r w:rsidRPr="00D45D33">
        <w:rPr>
          <w:iCs/>
        </w:rPr>
        <w:t>non interference</w:t>
      </w:r>
      <w:proofErr w:type="spellEnd"/>
      <w:proofErr w:type="gramEnd"/>
      <w:r w:rsidRPr="00D45D33">
        <w:rPr>
          <w:iCs/>
        </w:rPr>
        <w:t xml:space="preserve">, which would ignore the many instances where this is not the case and could undermine the intent of the indicator; or they would have to invest substantial resources into investigation of every single investee company. </w:t>
      </w:r>
      <w:r w:rsidRPr="00D45D33">
        <w:rPr>
          <w:b/>
          <w:iCs/>
        </w:rPr>
        <w:t>A solution to this problem would be also to include in this KPI an additional criterion of transparency on trade union and/or collective bargaining coverage.</w:t>
      </w:r>
      <w:r w:rsidRPr="00D45D33">
        <w:rPr>
          <w:iCs/>
        </w:rPr>
        <w:t xml:space="preserve"> This would provide the investors with additional data allowing them to assess investee companies’ claims and prioritise only the </w:t>
      </w:r>
      <w:proofErr w:type="gramStart"/>
      <w:r w:rsidRPr="00D45D33">
        <w:rPr>
          <w:iCs/>
        </w:rPr>
        <w:t>most risky</w:t>
      </w:r>
      <w:proofErr w:type="gramEnd"/>
      <w:r w:rsidRPr="00D45D33">
        <w:rPr>
          <w:iCs/>
        </w:rPr>
        <w:t xml:space="preserve"> ones for any further assessment/ investigation.</w:t>
      </w:r>
    </w:p>
    <w:p w14:paraId="58FFFD08" w14:textId="77777777" w:rsidR="003450DA" w:rsidRPr="00D45D33" w:rsidRDefault="003450DA" w:rsidP="003450DA">
      <w:pPr>
        <w:spacing w:line="259" w:lineRule="auto"/>
        <w:jc w:val="both"/>
        <w:rPr>
          <w:iCs/>
        </w:rPr>
      </w:pPr>
    </w:p>
    <w:p w14:paraId="36910157" w14:textId="4FFFAF39" w:rsidR="00471FAC" w:rsidRPr="00D45D33" w:rsidRDefault="003450DA" w:rsidP="009C41BB">
      <w:pPr>
        <w:rPr>
          <w:b/>
          <w:iCs/>
        </w:rPr>
      </w:pPr>
      <w:r w:rsidRPr="00D45D33">
        <w:rPr>
          <w:iCs/>
        </w:rPr>
        <w:t xml:space="preserve">Interference in the formation of trade unions or election of worker representatives </w:t>
      </w:r>
      <w:r w:rsidRPr="00D45D33">
        <w:rPr>
          <w:b/>
          <w:iCs/>
        </w:rPr>
        <w:t>and transparency on trade union and collective bargaining coverage</w:t>
      </w:r>
      <w:r w:rsidR="00D45D33" w:rsidRPr="00D45D33">
        <w:rPr>
          <w:b/>
          <w:iCs/>
        </w:rPr>
        <w:t>.</w:t>
      </w:r>
    </w:p>
    <w:p w14:paraId="735D870C" w14:textId="3AF07A4F" w:rsidR="009C41BB" w:rsidRDefault="009C41BB" w:rsidP="009C41BB">
      <w:r>
        <w:t>&lt;ESMA_QUESTION_SFDR_1&gt;</w:t>
      </w:r>
    </w:p>
    <w:p w14:paraId="6612C953" w14:textId="77777777" w:rsidR="009C41BB" w:rsidRDefault="009C41BB" w:rsidP="009C41BB">
      <w:pPr>
        <w:pStyle w:val="Questionstyle"/>
        <w:numPr>
          <w:ilvl w:val="0"/>
          <w:numId w:val="42"/>
        </w:numPr>
      </w:pPr>
      <w:bookmarkStart w:id="1" w:name="_Hlk131609829"/>
      <w:r>
        <w:t>: Would you recommend any other mandatory social indicator or adjust any of the ones proposed?</w:t>
      </w:r>
    </w:p>
    <w:bookmarkEnd w:id="1"/>
    <w:p w14:paraId="79C259A1" w14:textId="77777777" w:rsidR="009C41BB" w:rsidRDefault="009C41BB" w:rsidP="009C41BB">
      <w:r>
        <w:t>&lt;ESMA_QUESTION_SFDR_2&gt;</w:t>
      </w:r>
    </w:p>
    <w:p w14:paraId="3F25EC98" w14:textId="6F1ECEF9" w:rsidR="003450DA" w:rsidRPr="00D45D33" w:rsidRDefault="003450DA" w:rsidP="003450DA">
      <w:pPr>
        <w:spacing w:line="259" w:lineRule="auto"/>
        <w:jc w:val="both"/>
        <w:rPr>
          <w:iCs/>
        </w:rPr>
      </w:pPr>
      <w:r w:rsidRPr="00D45D33">
        <w:rPr>
          <w:iCs/>
        </w:rPr>
        <w:t xml:space="preserve">On top of the proposed mandatory social indicators, we would recommend to move the three following indicators from opt-in to mandatory </w:t>
      </w:r>
      <w:proofErr w:type="gramStart"/>
      <w:r w:rsidRPr="00D45D33">
        <w:rPr>
          <w:iCs/>
        </w:rPr>
        <w:t>indicators  :</w:t>
      </w:r>
      <w:proofErr w:type="gramEnd"/>
      <w:r w:rsidRPr="00D45D33">
        <w:rPr>
          <w:iCs/>
        </w:rPr>
        <w:t xml:space="preserve"> </w:t>
      </w:r>
    </w:p>
    <w:p w14:paraId="2CF24D8D" w14:textId="77777777" w:rsidR="003450DA" w:rsidRPr="00D45D33" w:rsidRDefault="003450DA" w:rsidP="003450DA">
      <w:pPr>
        <w:numPr>
          <w:ilvl w:val="0"/>
          <w:numId w:val="45"/>
        </w:numPr>
        <w:spacing w:after="0" w:line="259" w:lineRule="auto"/>
        <w:jc w:val="both"/>
        <w:rPr>
          <w:iCs/>
        </w:rPr>
      </w:pPr>
      <w:proofErr w:type="gramStart"/>
      <w:r w:rsidRPr="00D45D33">
        <w:rPr>
          <w:iCs/>
        </w:rPr>
        <w:t>Excessive  use</w:t>
      </w:r>
      <w:proofErr w:type="gramEnd"/>
      <w:r w:rsidRPr="00D45D33">
        <w:rPr>
          <w:iCs/>
        </w:rPr>
        <w:t xml:space="preserve"> of non-employee workers in investee companies; </w:t>
      </w:r>
    </w:p>
    <w:p w14:paraId="6695D4E4" w14:textId="77777777" w:rsidR="003450DA" w:rsidRPr="00D45D33" w:rsidRDefault="003450DA" w:rsidP="003450DA">
      <w:pPr>
        <w:numPr>
          <w:ilvl w:val="0"/>
          <w:numId w:val="45"/>
        </w:numPr>
        <w:spacing w:after="0" w:line="259" w:lineRule="auto"/>
        <w:jc w:val="both"/>
        <w:rPr>
          <w:iCs/>
        </w:rPr>
      </w:pPr>
      <w:r w:rsidRPr="00D45D33">
        <w:rPr>
          <w:iCs/>
        </w:rPr>
        <w:t xml:space="preserve">Excessive use of non-guaranteed hour contracts in investee companies; and </w:t>
      </w:r>
    </w:p>
    <w:p w14:paraId="1D151149" w14:textId="77777777" w:rsidR="003450DA" w:rsidRPr="00D45D33" w:rsidRDefault="003450DA" w:rsidP="003450DA">
      <w:pPr>
        <w:numPr>
          <w:ilvl w:val="0"/>
          <w:numId w:val="45"/>
        </w:numPr>
        <w:spacing w:after="0" w:line="259" w:lineRule="auto"/>
        <w:jc w:val="both"/>
        <w:rPr>
          <w:iCs/>
        </w:rPr>
      </w:pPr>
      <w:r w:rsidRPr="00D45D33">
        <w:rPr>
          <w:iCs/>
        </w:rPr>
        <w:t xml:space="preserve">Excessive use of temporary contract employees in investee companies. </w:t>
      </w:r>
    </w:p>
    <w:p w14:paraId="4C44EAEC" w14:textId="77777777" w:rsidR="003450DA" w:rsidRPr="00D45D33" w:rsidRDefault="003450DA" w:rsidP="003450DA">
      <w:pPr>
        <w:spacing w:line="259" w:lineRule="auto"/>
        <w:jc w:val="both"/>
        <w:rPr>
          <w:iCs/>
        </w:rPr>
      </w:pPr>
    </w:p>
    <w:p w14:paraId="7A950641" w14:textId="5A7FA2F0" w:rsidR="003450DA" w:rsidRPr="00D45D33" w:rsidRDefault="003450DA" w:rsidP="003450DA">
      <w:pPr>
        <w:spacing w:line="259" w:lineRule="auto"/>
        <w:jc w:val="both"/>
        <w:rPr>
          <w:iCs/>
        </w:rPr>
      </w:pPr>
      <w:r w:rsidRPr="00D45D33">
        <w:rPr>
          <w:iCs/>
        </w:rPr>
        <w:t xml:space="preserve">These indicators are crucial to understand the structure of the own workforce of the investee companies and their contribution to increasing inequalities. </w:t>
      </w:r>
      <w:proofErr w:type="gramStart"/>
      <w:r w:rsidRPr="00D45D33">
        <w:rPr>
          <w:iCs/>
        </w:rPr>
        <w:t>In particular non-</w:t>
      </w:r>
      <w:proofErr w:type="gramEnd"/>
      <w:r w:rsidRPr="00D45D33">
        <w:rPr>
          <w:iCs/>
        </w:rPr>
        <w:t>employee workers are the most vulnerable part of the workforce with lower incomes and less access to social security or collective bargaining.</w:t>
      </w:r>
    </w:p>
    <w:p w14:paraId="0B29C206" w14:textId="5C051F58" w:rsidR="00471FAC" w:rsidRPr="00D45D33" w:rsidRDefault="003450DA" w:rsidP="003450DA">
      <w:pPr>
        <w:spacing w:line="259" w:lineRule="auto"/>
        <w:jc w:val="both"/>
        <w:rPr>
          <w:iCs/>
        </w:rPr>
      </w:pPr>
      <w:r w:rsidRPr="00D45D33">
        <w:rPr>
          <w:iCs/>
        </w:rPr>
        <w:t xml:space="preserve">However, as formulated, it would be very difficult for investors to assess what constitutes ‘excessive’ use. In some industries, for example in agriculture during harvest season, it is legitimate to significantly use such arrangements. In others, significant use of non-employee workers has simply become a means of paying less in wages and benefits, to the detriment of the financial security and human rights of these workers. Even within single industries, it is important to consider context and specific circumstances. Therefore, we would suggest </w:t>
      </w:r>
      <w:proofErr w:type="gramStart"/>
      <w:r w:rsidRPr="00D45D33">
        <w:rPr>
          <w:iCs/>
        </w:rPr>
        <w:t>to reformulate</w:t>
      </w:r>
      <w:proofErr w:type="gramEnd"/>
      <w:r w:rsidRPr="00D45D33">
        <w:rPr>
          <w:iCs/>
        </w:rPr>
        <w:t xml:space="preserve"> these indicators as follows:</w:t>
      </w:r>
    </w:p>
    <w:p w14:paraId="285C5B20" w14:textId="5F378BBF" w:rsidR="003450DA" w:rsidRPr="00D45D33" w:rsidRDefault="003450DA" w:rsidP="003450DA">
      <w:pPr>
        <w:numPr>
          <w:ilvl w:val="0"/>
          <w:numId w:val="45"/>
        </w:numPr>
        <w:spacing w:after="0" w:line="259" w:lineRule="auto"/>
        <w:jc w:val="both"/>
        <w:rPr>
          <w:iCs/>
        </w:rPr>
      </w:pPr>
      <w:r w:rsidRPr="00D45D33">
        <w:rPr>
          <w:b/>
          <w:iCs/>
        </w:rPr>
        <w:t>Significant</w:t>
      </w:r>
      <w:r w:rsidRPr="00D45D33">
        <w:rPr>
          <w:iCs/>
        </w:rPr>
        <w:t xml:space="preserve"> use of non-employee workers in investee companies</w:t>
      </w:r>
      <w:r w:rsidRPr="00D45D33">
        <w:rPr>
          <w:b/>
          <w:iCs/>
        </w:rPr>
        <w:t xml:space="preserve"> in the absence of an explanation that they are provided with an adequate wage and social </w:t>
      </w:r>
      <w:proofErr w:type="gramStart"/>
      <w:r w:rsidRPr="00D45D33">
        <w:rPr>
          <w:b/>
          <w:iCs/>
        </w:rPr>
        <w:t>security</w:t>
      </w:r>
      <w:proofErr w:type="gramEnd"/>
    </w:p>
    <w:p w14:paraId="1BD8C96A" w14:textId="77777777" w:rsidR="00471FAC" w:rsidRPr="00D45D33" w:rsidRDefault="00471FAC" w:rsidP="00471FAC">
      <w:pPr>
        <w:spacing w:after="0" w:line="259" w:lineRule="auto"/>
        <w:ind w:left="720"/>
        <w:jc w:val="both"/>
        <w:rPr>
          <w:iCs/>
        </w:rPr>
      </w:pPr>
    </w:p>
    <w:p w14:paraId="7A20A194" w14:textId="77777777" w:rsidR="003450DA" w:rsidRPr="00D45D33" w:rsidRDefault="003450DA" w:rsidP="003450DA">
      <w:pPr>
        <w:spacing w:line="259" w:lineRule="auto"/>
        <w:jc w:val="both"/>
        <w:rPr>
          <w:iCs/>
        </w:rPr>
      </w:pPr>
      <w:r w:rsidRPr="00D45D33">
        <w:rPr>
          <w:iCs/>
        </w:rPr>
        <w:t xml:space="preserve">This formulation would enable investors to </w:t>
      </w:r>
    </w:p>
    <w:p w14:paraId="50E3AB7E" w14:textId="1EDCB33D" w:rsidR="003450DA" w:rsidRPr="00D45D33" w:rsidRDefault="003450DA" w:rsidP="003450DA">
      <w:pPr>
        <w:numPr>
          <w:ilvl w:val="0"/>
          <w:numId w:val="44"/>
        </w:numPr>
        <w:spacing w:after="0" w:line="259" w:lineRule="auto"/>
        <w:jc w:val="both"/>
        <w:rPr>
          <w:iCs/>
        </w:rPr>
      </w:pPr>
      <w:r w:rsidRPr="00D45D33">
        <w:rPr>
          <w:iCs/>
        </w:rPr>
        <w:t>Clearly distinguish between companies that either don’t use non-employee workers or use them but are transparent about their working conditions on one hand; and those companies who use them but are not transparent (this would also correspond to the formulation of the related disclosure requirements in the ESRS)</w:t>
      </w:r>
      <w:r w:rsidR="00D45D33">
        <w:rPr>
          <w:iCs/>
        </w:rPr>
        <w:t>.</w:t>
      </w:r>
    </w:p>
    <w:p w14:paraId="4936DD03" w14:textId="37E31D02" w:rsidR="003450DA" w:rsidRPr="00D45D33" w:rsidRDefault="003450DA" w:rsidP="003450DA">
      <w:pPr>
        <w:numPr>
          <w:ilvl w:val="0"/>
          <w:numId w:val="44"/>
        </w:numPr>
        <w:spacing w:after="0" w:line="259" w:lineRule="auto"/>
        <w:jc w:val="both"/>
        <w:rPr>
          <w:iCs/>
        </w:rPr>
      </w:pPr>
      <w:r w:rsidRPr="00D45D33">
        <w:rPr>
          <w:iCs/>
        </w:rPr>
        <w:t>Provide clear information basis for investors to assess legitimacy of the practice and determine their own additional indicators as regards minimal standards</w:t>
      </w:r>
      <w:r w:rsidR="00D45D33">
        <w:rPr>
          <w:iCs/>
        </w:rPr>
        <w:t>.</w:t>
      </w:r>
    </w:p>
    <w:p w14:paraId="16B75FE8" w14:textId="77777777" w:rsidR="00471FAC" w:rsidRDefault="00471FAC" w:rsidP="00471FAC">
      <w:pPr>
        <w:spacing w:after="0" w:line="259" w:lineRule="auto"/>
        <w:ind w:left="720"/>
        <w:jc w:val="both"/>
        <w:rPr>
          <w:i/>
        </w:rPr>
      </w:pPr>
    </w:p>
    <w:p w14:paraId="7446D4C6" w14:textId="77777777" w:rsidR="009C41BB" w:rsidRDefault="009C41BB" w:rsidP="009C41BB">
      <w:r>
        <w:t>&lt;ESMA_QUESTION_SFDR_2&gt;</w:t>
      </w:r>
    </w:p>
    <w:p w14:paraId="5C5DB35A" w14:textId="77777777" w:rsidR="009C41BB" w:rsidRDefault="009C41BB" w:rsidP="009C41BB"/>
    <w:p w14:paraId="11B6749E" w14:textId="77777777" w:rsidR="009C41BB" w:rsidRDefault="009C41BB" w:rsidP="009C41BB">
      <w:pPr>
        <w:pStyle w:val="Questionstyle"/>
        <w:numPr>
          <w:ilvl w:val="0"/>
          <w:numId w:val="42"/>
        </w:numPr>
      </w:pPr>
      <w:bookmarkStart w:id="2" w:name="_Hlk131609830"/>
      <w:r>
        <w:lastRenderedPageBreak/>
        <w:t>: Do you agree with the newly proposed opt-in social indicators in Annex I, Table III (excessive use of non-guaranteed-hour employees in investee companies, excessive use of temporary contract employees in investee companies, excessive use of non-employee workers in investee companies, insufficient employment of persons with disabilities in the workforce, lack of grievance/complaints handling mechanism for stakeholders materially affected by the operations of investee companies, lack of grievance/complaints handling mechanism for consumers/ end-users of the investee companies)?</w:t>
      </w:r>
    </w:p>
    <w:bookmarkEnd w:id="2"/>
    <w:p w14:paraId="1FA47A9C" w14:textId="77777777" w:rsidR="009C41BB" w:rsidRDefault="009C41BB" w:rsidP="009C41BB">
      <w:r>
        <w:t>&lt;ESMA_QUESTION_SFDR_3&gt;</w:t>
      </w:r>
    </w:p>
    <w:p w14:paraId="47BC26CA" w14:textId="6931FEB3" w:rsidR="003450DA" w:rsidRPr="00D45D33" w:rsidRDefault="003450DA" w:rsidP="003450DA">
      <w:pPr>
        <w:spacing w:line="259" w:lineRule="auto"/>
        <w:jc w:val="both"/>
        <w:rPr>
          <w:iCs/>
        </w:rPr>
      </w:pPr>
      <w:r w:rsidRPr="00D45D33">
        <w:rPr>
          <w:iCs/>
        </w:rPr>
        <w:t>Please see response to question 2. We would recommend making the first three of these indicators mandatory and reformulate them.</w:t>
      </w:r>
    </w:p>
    <w:p w14:paraId="75ED8C32" w14:textId="3E05011A" w:rsidR="003450DA" w:rsidRPr="00D45D33" w:rsidRDefault="003450DA" w:rsidP="003450DA">
      <w:pPr>
        <w:spacing w:line="259" w:lineRule="auto"/>
        <w:jc w:val="both"/>
        <w:rPr>
          <w:iCs/>
        </w:rPr>
      </w:pPr>
      <w:r w:rsidRPr="00D45D33">
        <w:rPr>
          <w:iCs/>
        </w:rPr>
        <w:t xml:space="preserve">However, we don’t believe that the remaining opt-in indicators are meaningful, </w:t>
      </w:r>
    </w:p>
    <w:p w14:paraId="6473A41C" w14:textId="2E629D25" w:rsidR="003450DA" w:rsidRPr="00D45D33" w:rsidRDefault="003450DA" w:rsidP="003450DA">
      <w:pPr>
        <w:numPr>
          <w:ilvl w:val="0"/>
          <w:numId w:val="43"/>
        </w:numPr>
        <w:spacing w:after="0" w:line="259" w:lineRule="auto"/>
        <w:jc w:val="both"/>
        <w:rPr>
          <w:iCs/>
        </w:rPr>
      </w:pPr>
      <w:r w:rsidRPr="00D45D33">
        <w:rPr>
          <w:iCs/>
        </w:rPr>
        <w:t>Insufficient employment of persons with disabilities within the workforce</w:t>
      </w:r>
    </w:p>
    <w:p w14:paraId="057FAFD6" w14:textId="77777777" w:rsidR="003450DA" w:rsidRPr="00D45D33" w:rsidRDefault="003450DA" w:rsidP="003450DA">
      <w:pPr>
        <w:spacing w:after="0" w:line="259" w:lineRule="auto"/>
        <w:ind w:left="720"/>
        <w:jc w:val="both"/>
        <w:rPr>
          <w:iCs/>
        </w:rPr>
      </w:pPr>
    </w:p>
    <w:p w14:paraId="138FFD22" w14:textId="0E8954C6" w:rsidR="003450DA" w:rsidRPr="00D45D33" w:rsidRDefault="003450DA" w:rsidP="003450DA">
      <w:pPr>
        <w:spacing w:line="259" w:lineRule="auto"/>
        <w:jc w:val="both"/>
        <w:rPr>
          <w:iCs/>
        </w:rPr>
      </w:pPr>
      <w:r w:rsidRPr="00D45D33">
        <w:rPr>
          <w:iCs/>
        </w:rPr>
        <w:t>This indicator would be very difficult to apply in practice. There are major differences in legal regimes for employment and transparency among even EU countries. It is very difficult to provide objective criteria for what is ‘insufficient’. It highly depends on sector and type of business activities, as well as on individual business context.</w:t>
      </w:r>
    </w:p>
    <w:p w14:paraId="15EECDC8" w14:textId="77777777" w:rsidR="003450DA" w:rsidRPr="00D45D33" w:rsidRDefault="003450DA" w:rsidP="003450DA">
      <w:pPr>
        <w:spacing w:line="259" w:lineRule="auto"/>
        <w:jc w:val="both"/>
        <w:rPr>
          <w:iCs/>
        </w:rPr>
      </w:pPr>
      <w:r w:rsidRPr="00D45D33">
        <w:rPr>
          <w:iCs/>
        </w:rPr>
        <w:t xml:space="preserve">We would recommend deleting this </w:t>
      </w:r>
      <w:proofErr w:type="gramStart"/>
      <w:r w:rsidRPr="00D45D33">
        <w:rPr>
          <w:iCs/>
        </w:rPr>
        <w:t>KPI, or</w:t>
      </w:r>
      <w:proofErr w:type="gramEnd"/>
      <w:r w:rsidRPr="00D45D33">
        <w:rPr>
          <w:iCs/>
        </w:rPr>
        <w:t xml:space="preserve"> reformulating it in terms of transparency regarding employment of persons with disabilities. E.g. </w:t>
      </w:r>
    </w:p>
    <w:p w14:paraId="061CB744" w14:textId="3D9D0EBC" w:rsidR="003450DA" w:rsidRDefault="003450DA" w:rsidP="003450DA">
      <w:pPr>
        <w:numPr>
          <w:ilvl w:val="0"/>
          <w:numId w:val="46"/>
        </w:numPr>
        <w:spacing w:after="0" w:line="259" w:lineRule="auto"/>
        <w:jc w:val="both"/>
        <w:rPr>
          <w:iCs/>
        </w:rPr>
      </w:pPr>
      <w:r w:rsidRPr="00D45D33">
        <w:rPr>
          <w:iCs/>
        </w:rPr>
        <w:t>“</w:t>
      </w:r>
      <w:r w:rsidRPr="00D45D33">
        <w:rPr>
          <w:b/>
          <w:iCs/>
        </w:rPr>
        <w:t>Lack of transparency regarding employment of persons with disabilities”</w:t>
      </w:r>
    </w:p>
    <w:p w14:paraId="5715C148" w14:textId="77777777" w:rsidR="00D45D33" w:rsidRPr="00D45D33" w:rsidRDefault="00D45D33" w:rsidP="00D45D33">
      <w:pPr>
        <w:spacing w:after="0" w:line="259" w:lineRule="auto"/>
        <w:ind w:left="720"/>
        <w:jc w:val="both"/>
        <w:rPr>
          <w:iCs/>
        </w:rPr>
      </w:pPr>
    </w:p>
    <w:p w14:paraId="16AF61A8" w14:textId="77777777" w:rsidR="003450DA" w:rsidRPr="00D45D33" w:rsidRDefault="003450DA" w:rsidP="003450DA">
      <w:pPr>
        <w:spacing w:line="259" w:lineRule="auto"/>
        <w:jc w:val="both"/>
        <w:rPr>
          <w:iCs/>
        </w:rPr>
      </w:pPr>
      <w:r w:rsidRPr="00D45D33">
        <w:rPr>
          <w:iCs/>
        </w:rPr>
        <w:t>As regards the remaining two:</w:t>
      </w:r>
    </w:p>
    <w:p w14:paraId="6142151D" w14:textId="77777777" w:rsidR="003450DA" w:rsidRPr="00280104" w:rsidRDefault="003450DA" w:rsidP="003450DA">
      <w:pPr>
        <w:numPr>
          <w:ilvl w:val="0"/>
          <w:numId w:val="43"/>
        </w:numPr>
        <w:spacing w:after="0" w:line="259" w:lineRule="auto"/>
        <w:jc w:val="both"/>
        <w:rPr>
          <w:iCs/>
        </w:rPr>
      </w:pPr>
      <w:r w:rsidRPr="00280104">
        <w:rPr>
          <w:iCs/>
        </w:rPr>
        <w:t xml:space="preserve">Lack of grievance/complaints handling mechanism for communities affected by the operations of the investee </w:t>
      </w:r>
      <w:proofErr w:type="gramStart"/>
      <w:r w:rsidRPr="00280104">
        <w:rPr>
          <w:iCs/>
        </w:rPr>
        <w:t>companies</w:t>
      </w:r>
      <w:proofErr w:type="gramEnd"/>
      <w:r w:rsidRPr="00280104">
        <w:rPr>
          <w:iCs/>
        </w:rPr>
        <w:t xml:space="preserve"> </w:t>
      </w:r>
    </w:p>
    <w:p w14:paraId="51B65E30" w14:textId="07A134F2" w:rsidR="003450DA" w:rsidRPr="00280104" w:rsidRDefault="003450DA" w:rsidP="003450DA">
      <w:pPr>
        <w:numPr>
          <w:ilvl w:val="0"/>
          <w:numId w:val="43"/>
        </w:numPr>
        <w:spacing w:after="0" w:line="259" w:lineRule="auto"/>
        <w:jc w:val="both"/>
        <w:rPr>
          <w:iCs/>
        </w:rPr>
      </w:pPr>
      <w:r w:rsidRPr="00280104">
        <w:rPr>
          <w:iCs/>
        </w:rPr>
        <w:t xml:space="preserve">Lack of grievance/complaints handling mechanism for consumers/end-users of the investee company </w:t>
      </w:r>
    </w:p>
    <w:p w14:paraId="0FBBA387" w14:textId="77777777" w:rsidR="003450DA" w:rsidRPr="003450DA" w:rsidRDefault="003450DA" w:rsidP="003450DA">
      <w:pPr>
        <w:spacing w:after="0" w:line="259" w:lineRule="auto"/>
        <w:ind w:left="720"/>
        <w:jc w:val="both"/>
      </w:pPr>
    </w:p>
    <w:p w14:paraId="680259FB" w14:textId="5C48486E" w:rsidR="003450DA" w:rsidRDefault="003450DA" w:rsidP="003450DA">
      <w:r w:rsidRPr="00D45D33">
        <w:rPr>
          <w:b/>
          <w:iCs/>
          <w:u w:val="single"/>
        </w:rPr>
        <w:t>We suggest not including these two KPIs.</w:t>
      </w:r>
      <w:r w:rsidRPr="00D45D33">
        <w:rPr>
          <w:iCs/>
        </w:rPr>
        <w:t xml:space="preserve"> The fact that a company has a grievance mechanism for outside stakeholders does not provide meaningful insight into whether it is known and trusted by intended users, nor whether it has in practice proven to be a means of identifying and addressing stakeholder concerns. Too many such mechanisms are put in place to tick a box and not for the purposes they should meet. A meaningful indicator could ask about the proportion of issues raised through a grievance mechanism that are resolved to the satisfaction of complainants; </w:t>
      </w:r>
      <w:proofErr w:type="gramStart"/>
      <w:r w:rsidRPr="00D45D33">
        <w:rPr>
          <w:iCs/>
        </w:rPr>
        <w:t>however</w:t>
      </w:r>
      <w:proofErr w:type="gramEnd"/>
      <w:r w:rsidRPr="00D45D33">
        <w:rPr>
          <w:iCs/>
        </w:rPr>
        <w:t xml:space="preserve"> investors are currently unlikely to have that information available</w:t>
      </w:r>
      <w:r>
        <w:rPr>
          <w:i/>
        </w:rPr>
        <w:t>.</w:t>
      </w:r>
    </w:p>
    <w:p w14:paraId="238B95BB" w14:textId="3A9E5A7E" w:rsidR="009C41BB" w:rsidRDefault="009C41BB" w:rsidP="009C41BB">
      <w:r>
        <w:t>&lt;ESMA_QUESTION_SFDR_3&gt;</w:t>
      </w:r>
    </w:p>
    <w:p w14:paraId="3CFBE832" w14:textId="77777777" w:rsidR="009C41BB" w:rsidRDefault="009C41BB" w:rsidP="009C41BB"/>
    <w:p w14:paraId="2707A806" w14:textId="77777777" w:rsidR="009C41BB" w:rsidRDefault="009C41BB" w:rsidP="009C41BB">
      <w:pPr>
        <w:pStyle w:val="Questionstyle"/>
        <w:numPr>
          <w:ilvl w:val="0"/>
          <w:numId w:val="42"/>
        </w:numPr>
      </w:pPr>
      <w:bookmarkStart w:id="3" w:name="_Hlk131609831"/>
      <w:r>
        <w:lastRenderedPageBreak/>
        <w:t>: Would you recommend any other social indicator or adjust any of the ones proposed?</w:t>
      </w:r>
    </w:p>
    <w:bookmarkEnd w:id="3"/>
    <w:p w14:paraId="6BC5AA32" w14:textId="77777777" w:rsidR="009C41BB" w:rsidRDefault="009C41BB" w:rsidP="009C41BB">
      <w:r>
        <w:t>&lt;ESMA_QUESTION_SFDR_4&gt;</w:t>
      </w:r>
    </w:p>
    <w:p w14:paraId="71639D9B" w14:textId="1881D625" w:rsidR="003450DA" w:rsidRPr="00280104" w:rsidRDefault="003450DA" w:rsidP="003450DA">
      <w:pPr>
        <w:spacing w:line="259" w:lineRule="auto"/>
        <w:jc w:val="both"/>
        <w:rPr>
          <w:b/>
          <w:iCs/>
        </w:rPr>
      </w:pPr>
      <w:r w:rsidRPr="00280104">
        <w:rPr>
          <w:iCs/>
        </w:rPr>
        <w:t xml:space="preserve">Reflecting the content of the draft ESRS, we would recommend the following indicator on </w:t>
      </w:r>
      <w:proofErr w:type="gramStart"/>
      <w:r w:rsidRPr="00280104">
        <w:rPr>
          <w:iCs/>
        </w:rPr>
        <w:t>diversity</w:t>
      </w:r>
      <w:proofErr w:type="gramEnd"/>
    </w:p>
    <w:p w14:paraId="0ADFC2F7" w14:textId="62C83A85" w:rsidR="003450DA" w:rsidRPr="00280104" w:rsidRDefault="00280104" w:rsidP="003450DA">
      <w:pPr>
        <w:numPr>
          <w:ilvl w:val="0"/>
          <w:numId w:val="43"/>
        </w:numPr>
        <w:spacing w:after="0" w:line="259" w:lineRule="auto"/>
        <w:jc w:val="both"/>
        <w:rPr>
          <w:b/>
          <w:iCs/>
        </w:rPr>
      </w:pPr>
      <w:r>
        <w:rPr>
          <w:b/>
          <w:iCs/>
        </w:rPr>
        <w:t>Percentage</w:t>
      </w:r>
      <w:r w:rsidR="003450DA" w:rsidRPr="00280104">
        <w:rPr>
          <w:b/>
          <w:iCs/>
        </w:rPr>
        <w:t xml:space="preserve"> of women in management positions</w:t>
      </w:r>
    </w:p>
    <w:p w14:paraId="2FA430F1" w14:textId="77777777" w:rsidR="003450DA" w:rsidRPr="00280104" w:rsidRDefault="003450DA" w:rsidP="003450DA">
      <w:pPr>
        <w:spacing w:after="0" w:line="259" w:lineRule="auto"/>
        <w:ind w:left="720"/>
        <w:jc w:val="both"/>
        <w:rPr>
          <w:b/>
          <w:iCs/>
        </w:rPr>
      </w:pPr>
    </w:p>
    <w:p w14:paraId="2FE6BE27" w14:textId="5784B0DC" w:rsidR="003450DA" w:rsidRPr="00280104" w:rsidRDefault="003450DA" w:rsidP="003450DA">
      <w:pPr>
        <w:spacing w:line="259" w:lineRule="auto"/>
        <w:jc w:val="both"/>
        <w:rPr>
          <w:iCs/>
        </w:rPr>
      </w:pPr>
      <w:r w:rsidRPr="00280104">
        <w:rPr>
          <w:iCs/>
        </w:rPr>
        <w:t xml:space="preserve">This indicator is aligned with the existing mandatory KPI on board gender </w:t>
      </w:r>
      <w:proofErr w:type="gramStart"/>
      <w:r w:rsidRPr="00280104">
        <w:rPr>
          <w:iCs/>
        </w:rPr>
        <w:t>diversity, but</w:t>
      </w:r>
      <w:proofErr w:type="gramEnd"/>
      <w:r w:rsidRPr="00280104">
        <w:rPr>
          <w:iCs/>
        </w:rPr>
        <w:t xml:space="preserve"> provides better insight into the company's culture and diversity and is relevant for a larger number of affected people.</w:t>
      </w:r>
    </w:p>
    <w:p w14:paraId="4219B28A" w14:textId="77777777" w:rsidR="003450DA" w:rsidRPr="00280104" w:rsidRDefault="003450DA" w:rsidP="003450DA">
      <w:pPr>
        <w:spacing w:line="259" w:lineRule="auto"/>
        <w:jc w:val="both"/>
        <w:rPr>
          <w:iCs/>
        </w:rPr>
      </w:pPr>
      <w:r w:rsidRPr="00280104">
        <w:rPr>
          <w:iCs/>
        </w:rPr>
        <w:t>In addition, we recommend ESA to consider additional indicators on governance derived from the draft ESRS, including:</w:t>
      </w:r>
    </w:p>
    <w:p w14:paraId="6EE31FD6" w14:textId="77777777" w:rsidR="003450DA" w:rsidRPr="00280104" w:rsidRDefault="003450DA" w:rsidP="003450DA">
      <w:pPr>
        <w:numPr>
          <w:ilvl w:val="0"/>
          <w:numId w:val="47"/>
        </w:numPr>
        <w:spacing w:after="0" w:line="259" w:lineRule="auto"/>
        <w:jc w:val="both"/>
        <w:rPr>
          <w:iCs/>
        </w:rPr>
      </w:pPr>
      <w:r w:rsidRPr="00280104">
        <w:rPr>
          <w:iCs/>
        </w:rPr>
        <w:t xml:space="preserve">Expertise on material sustainability matters available to the investee company’s management, administrative and oversight </w:t>
      </w:r>
      <w:proofErr w:type="gramStart"/>
      <w:r w:rsidRPr="00280104">
        <w:rPr>
          <w:iCs/>
        </w:rPr>
        <w:t>bodies</w:t>
      </w:r>
      <w:proofErr w:type="gramEnd"/>
    </w:p>
    <w:p w14:paraId="1A494E6E" w14:textId="77777777" w:rsidR="003450DA" w:rsidRPr="00280104" w:rsidRDefault="003450DA" w:rsidP="003450DA">
      <w:pPr>
        <w:numPr>
          <w:ilvl w:val="0"/>
          <w:numId w:val="47"/>
        </w:numPr>
        <w:spacing w:after="0" w:line="259" w:lineRule="auto"/>
        <w:jc w:val="both"/>
        <w:rPr>
          <w:iCs/>
        </w:rPr>
      </w:pPr>
      <w:r w:rsidRPr="00280104">
        <w:rPr>
          <w:iCs/>
        </w:rPr>
        <w:t xml:space="preserve">Transparency on the processes through which these bodies are informed on material impacts, risks and opportunities and sustainability due diligence and on sustainability matters specifically discussed by these </w:t>
      </w:r>
      <w:proofErr w:type="gramStart"/>
      <w:r w:rsidRPr="00280104">
        <w:rPr>
          <w:iCs/>
        </w:rPr>
        <w:t>bodies</w:t>
      </w:r>
      <w:proofErr w:type="gramEnd"/>
    </w:p>
    <w:p w14:paraId="095284D7" w14:textId="77777777" w:rsidR="003450DA" w:rsidRPr="00280104" w:rsidRDefault="003450DA" w:rsidP="003450DA">
      <w:pPr>
        <w:numPr>
          <w:ilvl w:val="0"/>
          <w:numId w:val="47"/>
        </w:numPr>
        <w:spacing w:after="0" w:line="259" w:lineRule="auto"/>
        <w:jc w:val="both"/>
        <w:rPr>
          <w:iCs/>
        </w:rPr>
      </w:pPr>
      <w:r w:rsidRPr="00280104">
        <w:rPr>
          <w:iCs/>
        </w:rPr>
        <w:t>Climate-related incentives</w:t>
      </w:r>
    </w:p>
    <w:p w14:paraId="3DBEEC65" w14:textId="77777777" w:rsidR="003450DA" w:rsidRDefault="003450DA" w:rsidP="003450DA">
      <w:pPr>
        <w:numPr>
          <w:ilvl w:val="0"/>
          <w:numId w:val="47"/>
        </w:numPr>
        <w:spacing w:after="0" w:line="259" w:lineRule="auto"/>
        <w:jc w:val="both"/>
        <w:rPr>
          <w:i/>
        </w:rPr>
      </w:pPr>
      <w:r w:rsidRPr="00280104">
        <w:rPr>
          <w:iCs/>
        </w:rPr>
        <w:t>Excessive payment times to small and medium enterprises</w:t>
      </w:r>
    </w:p>
    <w:p w14:paraId="2F6ABEB1" w14:textId="77777777" w:rsidR="003450DA" w:rsidRDefault="003450DA" w:rsidP="003450DA">
      <w:pPr>
        <w:spacing w:after="0" w:line="259" w:lineRule="auto"/>
        <w:ind w:left="720"/>
        <w:jc w:val="both"/>
        <w:rPr>
          <w:i/>
        </w:rPr>
      </w:pPr>
    </w:p>
    <w:p w14:paraId="5C0CA950" w14:textId="77777777" w:rsidR="009C41BB" w:rsidRDefault="009C41BB" w:rsidP="009C41BB">
      <w:r>
        <w:t>&lt;ESMA_QUESTION_SFDR_4&gt;</w:t>
      </w:r>
    </w:p>
    <w:p w14:paraId="6CC85AFF" w14:textId="77777777" w:rsidR="009C41BB" w:rsidRDefault="009C41BB" w:rsidP="009C41BB"/>
    <w:p w14:paraId="5D57C8EB" w14:textId="77777777" w:rsidR="009C41BB" w:rsidRDefault="009C41BB" w:rsidP="009C41BB">
      <w:pPr>
        <w:pStyle w:val="Questionstyle"/>
        <w:numPr>
          <w:ilvl w:val="0"/>
          <w:numId w:val="42"/>
        </w:numPr>
      </w:pPr>
      <w:bookmarkStart w:id="4" w:name="_Hlk131609833"/>
      <w:r>
        <w:t>: Do you agree with the changes proposed to the existing mandatory and opt-in social indicators in Annex I, Table I and III (</w:t>
      </w:r>
      <w:proofErr w:type="gramStart"/>
      <w:r>
        <w:t>i.e.</w:t>
      </w:r>
      <w:proofErr w:type="gramEnd"/>
      <w:r>
        <w:t xml:space="preserve"> replacing the UN Global Compact Principles with the UN Guiding Principles and ILO Declaration on Fundamental Principles and Rights at Work)? Do you have any additional suggestions for changes to other indicators not considered by the ESAs?</w:t>
      </w:r>
    </w:p>
    <w:bookmarkEnd w:id="4"/>
    <w:p w14:paraId="0BC3C8F3" w14:textId="77777777" w:rsidR="009C41BB" w:rsidRDefault="009C41BB" w:rsidP="009C41BB">
      <w:r>
        <w:t>&lt;ESMA_QUESTION_SFDR_5&gt;</w:t>
      </w:r>
    </w:p>
    <w:p w14:paraId="03420E22" w14:textId="77777777" w:rsidR="003450DA" w:rsidRPr="00280104" w:rsidRDefault="003450DA" w:rsidP="003450DA">
      <w:pPr>
        <w:spacing w:line="259" w:lineRule="auto"/>
        <w:jc w:val="both"/>
        <w:rPr>
          <w:iCs/>
        </w:rPr>
      </w:pPr>
      <w:r w:rsidRPr="00280104">
        <w:rPr>
          <w:iCs/>
        </w:rPr>
        <w:t xml:space="preserve">We support replacing the reference to the UN Global Compact Principles by the UN Guiding Principles on Business and Human Rights. In addition, it is critically important to keep the reference to the OECD Guidelines, as the latter provides guidance on how sustainability due diligence should be applied to other ESG matters. </w:t>
      </w:r>
    </w:p>
    <w:p w14:paraId="1824D0AC" w14:textId="77777777" w:rsidR="003450DA" w:rsidRPr="00280104" w:rsidRDefault="003450DA" w:rsidP="003450DA">
      <w:pPr>
        <w:spacing w:line="259" w:lineRule="auto"/>
        <w:jc w:val="both"/>
        <w:rPr>
          <w:iCs/>
        </w:rPr>
      </w:pPr>
      <w:r w:rsidRPr="00280104">
        <w:rPr>
          <w:iCs/>
        </w:rPr>
        <w:t xml:space="preserve">However, PAI indicator 10 is not effective in its </w:t>
      </w:r>
      <w:proofErr w:type="gramStart"/>
      <w:r w:rsidRPr="00280104">
        <w:rPr>
          <w:iCs/>
        </w:rPr>
        <w:t>application</w:t>
      </w:r>
      <w:proofErr w:type="gramEnd"/>
      <w:r w:rsidRPr="00280104">
        <w:rPr>
          <w:iCs/>
        </w:rPr>
        <w:t xml:space="preserve"> and we propose its removal. Instead, PAI indicator 11 and related metric should be enhanced to achieve meaningful disclosure of social data. The reference to the UN Guiding Principles should therefore be included in the PAI Indicator #11, and the metric for this indicator expanded and clarified to be aligned with ESRS, UNGPs and OECD GLs. </w:t>
      </w:r>
    </w:p>
    <w:p w14:paraId="01B2BE5F" w14:textId="690C1F45" w:rsidR="003450DA" w:rsidRPr="00280104" w:rsidRDefault="003450DA" w:rsidP="003450DA">
      <w:pPr>
        <w:spacing w:line="259" w:lineRule="auto"/>
        <w:jc w:val="both"/>
        <w:rPr>
          <w:iCs/>
          <w:color w:val="444746"/>
          <w:highlight w:val="yellow"/>
        </w:rPr>
      </w:pPr>
      <w:r w:rsidRPr="00280104">
        <w:rPr>
          <w:iCs/>
        </w:rPr>
        <w:t xml:space="preserve">In </w:t>
      </w:r>
      <w:proofErr w:type="gramStart"/>
      <w:r w:rsidRPr="00280104">
        <w:rPr>
          <w:iCs/>
        </w:rPr>
        <w:t>coherence,  we</w:t>
      </w:r>
      <w:proofErr w:type="gramEnd"/>
      <w:r w:rsidRPr="00280104">
        <w:rPr>
          <w:iCs/>
        </w:rPr>
        <w:t xml:space="preserve"> suggest a reduction of the newly formulated social KPIs in table 3 of which content is more robustly covered under the enhanced indicator #11 and related metric combined with new ESRS based indicators in table 1. Such changes do not aim at reducing the scope of social PAIs but rather to sharpen and enhance the effectiveness of few.</w:t>
      </w:r>
      <w:r w:rsidRPr="00280104">
        <w:rPr>
          <w:iCs/>
          <w:color w:val="444746"/>
          <w:highlight w:val="yellow"/>
        </w:rPr>
        <w:t xml:space="preserve"> </w:t>
      </w:r>
    </w:p>
    <w:p w14:paraId="507B21F2" w14:textId="541E8783" w:rsidR="003450DA" w:rsidRPr="00280104" w:rsidRDefault="003450DA" w:rsidP="003450DA">
      <w:pPr>
        <w:spacing w:line="259" w:lineRule="auto"/>
        <w:jc w:val="both"/>
        <w:rPr>
          <w:iCs/>
        </w:rPr>
      </w:pPr>
      <w:r w:rsidRPr="00280104">
        <w:rPr>
          <w:iCs/>
        </w:rPr>
        <w:lastRenderedPageBreak/>
        <w:t>Below we provide a comprehensive assessment and proposals in these matters:</w:t>
      </w:r>
    </w:p>
    <w:p w14:paraId="1ED23129" w14:textId="77777777" w:rsidR="003450DA" w:rsidRPr="00280104" w:rsidRDefault="003450DA" w:rsidP="003450DA">
      <w:pPr>
        <w:spacing w:line="259" w:lineRule="auto"/>
        <w:jc w:val="both"/>
        <w:rPr>
          <w:b/>
          <w:iCs/>
          <w:u w:val="single"/>
        </w:rPr>
      </w:pPr>
      <w:r w:rsidRPr="00280104">
        <w:rPr>
          <w:b/>
          <w:iCs/>
          <w:u w:val="single"/>
        </w:rPr>
        <w:t>PAI INDICATOR 10 IN TABLE 1</w:t>
      </w:r>
    </w:p>
    <w:p w14:paraId="46D4326E" w14:textId="1CF04178" w:rsidR="003450DA" w:rsidRPr="00280104" w:rsidRDefault="003450DA" w:rsidP="003450DA">
      <w:pPr>
        <w:numPr>
          <w:ilvl w:val="0"/>
          <w:numId w:val="50"/>
        </w:numPr>
        <w:spacing w:after="0" w:line="259" w:lineRule="auto"/>
        <w:jc w:val="both"/>
        <w:rPr>
          <w:iCs/>
        </w:rPr>
      </w:pPr>
      <w:r w:rsidRPr="00280104">
        <w:rPr>
          <w:iCs/>
        </w:rPr>
        <w:t xml:space="preserve">Indicator #10 on </w:t>
      </w:r>
      <w:r w:rsidRPr="00280104">
        <w:rPr>
          <w:iCs/>
          <w:color w:val="333333"/>
          <w:highlight w:val="white"/>
        </w:rPr>
        <w:t xml:space="preserve">Violations of UN Global Compact principles and Organisation for Economic Cooperation and Development (OECD) Guidelines for Multinational Enterprises </w:t>
      </w:r>
    </w:p>
    <w:p w14:paraId="1B7B9874" w14:textId="77777777" w:rsidR="003450DA" w:rsidRPr="00280104" w:rsidRDefault="003450DA" w:rsidP="003450DA">
      <w:pPr>
        <w:spacing w:after="0" w:line="259" w:lineRule="auto"/>
        <w:ind w:left="720"/>
        <w:jc w:val="both"/>
        <w:rPr>
          <w:iCs/>
        </w:rPr>
      </w:pPr>
    </w:p>
    <w:p w14:paraId="65BE1D2C" w14:textId="56CF480E" w:rsidR="003450DA" w:rsidRPr="00280104" w:rsidRDefault="003450DA" w:rsidP="003450DA">
      <w:pPr>
        <w:spacing w:line="259" w:lineRule="auto"/>
        <w:jc w:val="both"/>
        <w:rPr>
          <w:b/>
          <w:iCs/>
        </w:rPr>
      </w:pPr>
      <w:r w:rsidRPr="00280104">
        <w:rPr>
          <w:b/>
          <w:iCs/>
        </w:rPr>
        <w:t>We propose to delete this KPI.</w:t>
      </w:r>
    </w:p>
    <w:p w14:paraId="3784A1BC" w14:textId="2DEC2189" w:rsidR="003450DA" w:rsidRPr="00280104" w:rsidRDefault="003450DA" w:rsidP="003450DA">
      <w:pPr>
        <w:spacing w:line="259" w:lineRule="auto"/>
        <w:jc w:val="both"/>
        <w:rPr>
          <w:iCs/>
        </w:rPr>
      </w:pPr>
      <w:r w:rsidRPr="00280104">
        <w:rPr>
          <w:iCs/>
        </w:rPr>
        <w:t>This KPI is too broad to represent meaningful information for investors. The broad reference to violations does not allow for a differentiation between companies that are working towards implementation of these standards, and those that have never sought to align their practices.  Furthermore, there are no clear mechanisms through which it would be possible to determine the violations of these instruments that wouldn’t require investors to carry out extensive investigations. The OECD GL are supported by a system of National Contact Points which should address complaints called ‘specific instances’, but this in no way can be taken to reflect all situations where some aspect of the OECD Guidelines is breached by a company.</w:t>
      </w:r>
    </w:p>
    <w:p w14:paraId="3063ECD2" w14:textId="41CFEB86" w:rsidR="003450DA" w:rsidRPr="00280104" w:rsidRDefault="003450DA" w:rsidP="003450DA">
      <w:pPr>
        <w:spacing w:line="259" w:lineRule="auto"/>
        <w:jc w:val="both"/>
        <w:rPr>
          <w:iCs/>
        </w:rPr>
      </w:pPr>
      <w:r w:rsidRPr="00280104">
        <w:rPr>
          <w:iCs/>
        </w:rPr>
        <w:t xml:space="preserve">This KPI represents a fundamental misunderstanding of the fact that the UN Guiding Principles and OECD Guidelines are </w:t>
      </w:r>
      <w:r w:rsidRPr="00280104">
        <w:rPr>
          <w:iCs/>
          <w:u w:val="single"/>
        </w:rPr>
        <w:t>standards of conduct</w:t>
      </w:r>
      <w:r w:rsidRPr="00280104">
        <w:rPr>
          <w:iCs/>
        </w:rPr>
        <w:t>. Very few mid-sized or large companies have implemented them fully across their operations and value chains. The indicator is therefore pointless, since if properly interpreted, investors would need to reflect 100% of their portfolio as having such “violations”. Any alternative measure of ‘violations’, for example based on lawsuits and complaints to the National Contact Points, would undermine the integrity of what these standards are about</w:t>
      </w:r>
      <w:r w:rsidR="00D206A4">
        <w:rPr>
          <w:iCs/>
        </w:rPr>
        <w:t xml:space="preserve">. </w:t>
      </w:r>
    </w:p>
    <w:p w14:paraId="0FCC1DC7" w14:textId="6F946272" w:rsidR="003450DA" w:rsidRPr="00280104" w:rsidRDefault="003450DA" w:rsidP="003450DA">
      <w:pPr>
        <w:spacing w:line="259" w:lineRule="auto"/>
        <w:jc w:val="both"/>
        <w:rPr>
          <w:iCs/>
        </w:rPr>
      </w:pPr>
      <w:r w:rsidRPr="00280104">
        <w:rPr>
          <w:iCs/>
        </w:rPr>
        <w:t>In this regard PAI indicator 11 represents a much more meaningful way of addressing the issue.</w:t>
      </w:r>
    </w:p>
    <w:p w14:paraId="0628C02E" w14:textId="13E7077F" w:rsidR="003450DA" w:rsidRPr="00280104" w:rsidRDefault="003450DA" w:rsidP="003450DA">
      <w:pPr>
        <w:spacing w:line="259" w:lineRule="auto"/>
        <w:jc w:val="both"/>
        <w:rPr>
          <w:b/>
          <w:iCs/>
          <w:u w:val="single"/>
        </w:rPr>
      </w:pPr>
      <w:r w:rsidRPr="00280104">
        <w:rPr>
          <w:b/>
          <w:iCs/>
          <w:u w:val="single"/>
        </w:rPr>
        <w:t>PAI INDICATOR 11 IN TABLE 1</w:t>
      </w:r>
    </w:p>
    <w:p w14:paraId="64615D81" w14:textId="77777777" w:rsidR="003450DA" w:rsidRPr="00280104" w:rsidRDefault="003450DA" w:rsidP="003450DA">
      <w:pPr>
        <w:numPr>
          <w:ilvl w:val="0"/>
          <w:numId w:val="48"/>
        </w:numPr>
        <w:spacing w:after="0" w:line="259" w:lineRule="auto"/>
        <w:jc w:val="both"/>
        <w:rPr>
          <w:iCs/>
          <w:color w:val="333333"/>
          <w:highlight w:val="white"/>
        </w:rPr>
      </w:pPr>
      <w:r w:rsidRPr="00280104">
        <w:rPr>
          <w:iCs/>
          <w:color w:val="333333"/>
          <w:highlight w:val="white"/>
        </w:rPr>
        <w:t>Lack of processes and compliance mechanisms to monitor compliance with UN Global Compact principles and OECD Guidelines for Multinational Enterprises</w:t>
      </w:r>
    </w:p>
    <w:p w14:paraId="064D11EE" w14:textId="77777777" w:rsidR="003450DA" w:rsidRPr="00280104" w:rsidRDefault="003450DA" w:rsidP="003450DA">
      <w:pPr>
        <w:spacing w:line="259" w:lineRule="auto"/>
        <w:jc w:val="both"/>
        <w:rPr>
          <w:iCs/>
        </w:rPr>
      </w:pPr>
    </w:p>
    <w:p w14:paraId="55B598CC" w14:textId="77777777" w:rsidR="003450DA" w:rsidRPr="00280104" w:rsidRDefault="003450DA" w:rsidP="003450DA">
      <w:pPr>
        <w:numPr>
          <w:ilvl w:val="0"/>
          <w:numId w:val="51"/>
        </w:numPr>
        <w:spacing w:after="0" w:line="259" w:lineRule="auto"/>
        <w:jc w:val="both"/>
        <w:rPr>
          <w:iCs/>
        </w:rPr>
      </w:pPr>
      <w:r w:rsidRPr="00280104">
        <w:rPr>
          <w:iCs/>
        </w:rPr>
        <w:t xml:space="preserve">We support replacing the reference to the UN Global Compact Principles by the UN Guiding Principles on Business and Human Rights, as the first one is nothing more than a voluntary standard for companies whereas the second one is the global standard of business conduct for all companies. </w:t>
      </w:r>
    </w:p>
    <w:p w14:paraId="32B3B2EF" w14:textId="77777777" w:rsidR="003450DA" w:rsidRPr="00280104" w:rsidRDefault="003450DA" w:rsidP="003450DA">
      <w:pPr>
        <w:spacing w:line="259" w:lineRule="auto"/>
        <w:jc w:val="both"/>
        <w:rPr>
          <w:iCs/>
        </w:rPr>
      </w:pPr>
    </w:p>
    <w:p w14:paraId="32E45916" w14:textId="77777777" w:rsidR="003450DA" w:rsidRPr="00280104" w:rsidRDefault="003450DA" w:rsidP="003450DA">
      <w:pPr>
        <w:numPr>
          <w:ilvl w:val="0"/>
          <w:numId w:val="51"/>
        </w:numPr>
        <w:spacing w:after="0" w:line="259" w:lineRule="auto"/>
        <w:jc w:val="both"/>
        <w:rPr>
          <w:iCs/>
        </w:rPr>
      </w:pPr>
      <w:r w:rsidRPr="00280104">
        <w:rPr>
          <w:iCs/>
        </w:rPr>
        <w:t xml:space="preserve">However, the KPI and its metric needs to make a clear distinction between </w:t>
      </w:r>
      <w:proofErr w:type="gramStart"/>
      <w:r w:rsidRPr="00280104">
        <w:rPr>
          <w:iCs/>
        </w:rPr>
        <w:t>the  UN</w:t>
      </w:r>
      <w:proofErr w:type="gramEnd"/>
      <w:r w:rsidRPr="00280104">
        <w:rPr>
          <w:iCs/>
        </w:rPr>
        <w:t xml:space="preserve"> Guiding Principles on Business and Human Rights (UNGPs) and the OECD Guidelines (OECD GLs) - i.e. standards of conduct - and the actual human rights to which these standards refer and which are contained in the ILO Declaration and the International Bill of Human Rights on the other hand. This is also important for clarification of the connection with the EU Taxonomy’s minimum safeguards:  Therefore the following clarification should be added to the formulation of the </w:t>
      </w:r>
      <w:proofErr w:type="gramStart"/>
      <w:r w:rsidRPr="00280104">
        <w:rPr>
          <w:iCs/>
        </w:rPr>
        <w:t>KPI :</w:t>
      </w:r>
      <w:proofErr w:type="gramEnd"/>
    </w:p>
    <w:p w14:paraId="7D3A67CC" w14:textId="77777777" w:rsidR="003450DA" w:rsidRPr="00280104" w:rsidRDefault="003450DA" w:rsidP="003450DA">
      <w:pPr>
        <w:spacing w:line="259" w:lineRule="auto"/>
        <w:ind w:left="720"/>
        <w:jc w:val="both"/>
        <w:rPr>
          <w:iCs/>
        </w:rPr>
      </w:pPr>
    </w:p>
    <w:p w14:paraId="44ACEFE6" w14:textId="77777777" w:rsidR="003450DA" w:rsidRPr="00280104" w:rsidRDefault="003450DA" w:rsidP="003450DA">
      <w:pPr>
        <w:spacing w:line="259" w:lineRule="auto"/>
        <w:ind w:left="720"/>
        <w:jc w:val="both"/>
        <w:rPr>
          <w:iCs/>
        </w:rPr>
      </w:pPr>
      <w:r w:rsidRPr="00280104">
        <w:rPr>
          <w:iCs/>
          <w:u w:val="single"/>
        </w:rPr>
        <w:lastRenderedPageBreak/>
        <w:t>“</w:t>
      </w:r>
      <w:r w:rsidRPr="00280104">
        <w:rPr>
          <w:iCs/>
          <w:highlight w:val="white"/>
        </w:rPr>
        <w:t xml:space="preserve">Lack of processes and compliance mechanisms to monitor compliance with </w:t>
      </w:r>
      <w:r w:rsidRPr="00280104">
        <w:rPr>
          <w:iCs/>
          <w:strike/>
          <w:highlight w:val="white"/>
        </w:rPr>
        <w:t>UN Global Compact principles</w:t>
      </w:r>
      <w:r w:rsidRPr="00280104">
        <w:rPr>
          <w:iCs/>
          <w:highlight w:val="white"/>
        </w:rPr>
        <w:t xml:space="preserve"> </w:t>
      </w:r>
      <w:r w:rsidRPr="00280104">
        <w:rPr>
          <w:b/>
          <w:iCs/>
          <w:highlight w:val="white"/>
        </w:rPr>
        <w:t xml:space="preserve">UN Guiding Principles on Business and Human Rights </w:t>
      </w:r>
      <w:r w:rsidRPr="00280104">
        <w:rPr>
          <w:iCs/>
          <w:highlight w:val="white"/>
        </w:rPr>
        <w:t xml:space="preserve">and OECD Guidelines for Multinational Enterprises </w:t>
      </w:r>
      <w:r w:rsidRPr="00280104">
        <w:rPr>
          <w:iCs/>
          <w:u w:val="single"/>
        </w:rPr>
        <w:t xml:space="preserve">including </w:t>
      </w:r>
      <w:r w:rsidRPr="00280104">
        <w:rPr>
          <w:b/>
          <w:iCs/>
          <w:u w:val="single"/>
        </w:rPr>
        <w:t xml:space="preserve">with regard to </w:t>
      </w:r>
      <w:r w:rsidRPr="00280104">
        <w:rPr>
          <w:iCs/>
          <w:u w:val="single"/>
        </w:rPr>
        <w:t xml:space="preserve">the principles and rights set out in the eight fundamental conventions identified in the ILO Declaration and the International Bill of Human </w:t>
      </w:r>
      <w:proofErr w:type="gramStart"/>
      <w:r w:rsidRPr="00280104">
        <w:rPr>
          <w:iCs/>
          <w:u w:val="single"/>
        </w:rPr>
        <w:t>Rights”</w:t>
      </w:r>
      <w:proofErr w:type="gramEnd"/>
    </w:p>
    <w:p w14:paraId="397C2EE2" w14:textId="77777777" w:rsidR="003450DA" w:rsidRPr="00280104" w:rsidRDefault="003450DA" w:rsidP="003450DA">
      <w:pPr>
        <w:spacing w:line="259" w:lineRule="auto"/>
        <w:jc w:val="both"/>
        <w:rPr>
          <w:iCs/>
        </w:rPr>
      </w:pPr>
    </w:p>
    <w:p w14:paraId="6C1F7641" w14:textId="77777777" w:rsidR="003450DA" w:rsidRPr="00280104" w:rsidRDefault="003450DA" w:rsidP="003450DA">
      <w:pPr>
        <w:numPr>
          <w:ilvl w:val="0"/>
          <w:numId w:val="51"/>
        </w:numPr>
        <w:spacing w:after="0" w:line="259" w:lineRule="auto"/>
        <w:jc w:val="both"/>
        <w:rPr>
          <w:iCs/>
        </w:rPr>
      </w:pPr>
      <w:r w:rsidRPr="00280104">
        <w:rPr>
          <w:iCs/>
        </w:rPr>
        <w:t xml:space="preserve">We strongly suggest </w:t>
      </w:r>
      <w:proofErr w:type="gramStart"/>
      <w:r w:rsidRPr="00280104">
        <w:rPr>
          <w:iCs/>
        </w:rPr>
        <w:t>to reformulate</w:t>
      </w:r>
      <w:proofErr w:type="gramEnd"/>
      <w:r w:rsidRPr="00280104">
        <w:rPr>
          <w:iCs/>
        </w:rPr>
        <w:t xml:space="preserve"> the </w:t>
      </w:r>
      <w:r w:rsidRPr="00280104">
        <w:rPr>
          <w:b/>
          <w:iCs/>
        </w:rPr>
        <w:t>metric</w:t>
      </w:r>
      <w:r w:rsidRPr="00280104">
        <w:rPr>
          <w:iCs/>
        </w:rPr>
        <w:t xml:space="preserve"> used for this KPI to ensure that it is actually aligned with the text of the KPI as well as with the international instruments (i.e. UNGPs and OECD GLs) to which it refers. Paradoxically, the formulation of the KPI is more accurate and specific than the formulation of the metric, as the latter restricts the focus of the KPI to policies only.  </w:t>
      </w:r>
    </w:p>
    <w:p w14:paraId="0E0899DF" w14:textId="77777777" w:rsidR="003450DA" w:rsidRPr="00280104" w:rsidRDefault="003450DA" w:rsidP="003450DA">
      <w:pPr>
        <w:spacing w:line="259" w:lineRule="auto"/>
        <w:ind w:left="720"/>
        <w:jc w:val="both"/>
        <w:rPr>
          <w:iCs/>
        </w:rPr>
      </w:pPr>
    </w:p>
    <w:p w14:paraId="586B4FAF" w14:textId="11188046" w:rsidR="003450DA" w:rsidRPr="00280104" w:rsidRDefault="003450DA" w:rsidP="003450DA">
      <w:pPr>
        <w:spacing w:line="259" w:lineRule="auto"/>
        <w:ind w:left="720"/>
        <w:jc w:val="both"/>
        <w:rPr>
          <w:iCs/>
        </w:rPr>
      </w:pPr>
      <w:r w:rsidRPr="00280104">
        <w:rPr>
          <w:iCs/>
        </w:rPr>
        <w:t xml:space="preserve">To ensure policy coherence and consistency in the information reported, further alignment between this indicator and the information required under the ESRS 2 Disclosure Requirement GOV-2 – Information provided </w:t>
      </w:r>
      <w:proofErr w:type="gramStart"/>
      <w:r w:rsidRPr="00280104">
        <w:rPr>
          <w:iCs/>
        </w:rPr>
        <w:t>to</w:t>
      </w:r>
      <w:proofErr w:type="gramEnd"/>
      <w:r w:rsidRPr="00280104">
        <w:rPr>
          <w:iCs/>
        </w:rPr>
        <w:t xml:space="preserve"> and sustainability matters addressed by the undertaking’s administrative, management and supervisory bodies- is recommended. We also believe that this indicator - appropriately reformulated - will cover the issues that are currently addressed in isolation in human rights indicators in Table 3. </w:t>
      </w:r>
    </w:p>
    <w:p w14:paraId="5DA30BEF" w14:textId="4E9C70BD" w:rsidR="003450DA" w:rsidRPr="00280104" w:rsidRDefault="003450DA" w:rsidP="003450DA">
      <w:pPr>
        <w:spacing w:line="259" w:lineRule="auto"/>
        <w:ind w:left="720"/>
        <w:jc w:val="both"/>
        <w:rPr>
          <w:iCs/>
        </w:rPr>
      </w:pPr>
      <w:r w:rsidRPr="00280104">
        <w:rPr>
          <w:iCs/>
        </w:rPr>
        <w:t xml:space="preserve">Furthermore, the existence of a grievance mechanism does not represent a “compliance mechanism for monitoring compliance with [UN Guiding Principles and OECD Guidelines]”. Grievance mechanism represent an element of </w:t>
      </w:r>
      <w:proofErr w:type="spellStart"/>
      <w:r w:rsidRPr="00280104">
        <w:rPr>
          <w:iCs/>
        </w:rPr>
        <w:t>sustianability</w:t>
      </w:r>
      <w:proofErr w:type="spellEnd"/>
      <w:r w:rsidRPr="00280104">
        <w:rPr>
          <w:iCs/>
        </w:rPr>
        <w:t xml:space="preserve"> due diligence, not an alternative to it. Similarly, it may be a useful source of information for the compliance system, but it is not a compliance system on its own. In addition, as explained in our response to Question 1, the fact that a company has a grievance mechanism for outside stakeholders does not provide meaningful insight into whether it is known and trusted by intended users.  </w:t>
      </w:r>
    </w:p>
    <w:p w14:paraId="5123CE8C" w14:textId="629DD6BA" w:rsidR="003450DA" w:rsidRPr="00280104" w:rsidRDefault="003450DA" w:rsidP="003450DA">
      <w:pPr>
        <w:spacing w:line="259" w:lineRule="auto"/>
        <w:ind w:left="720"/>
        <w:jc w:val="both"/>
        <w:rPr>
          <w:iCs/>
        </w:rPr>
      </w:pPr>
      <w:r w:rsidRPr="00280104">
        <w:rPr>
          <w:iCs/>
        </w:rPr>
        <w:t xml:space="preserve">Therefore, we suggest </w:t>
      </w:r>
      <w:proofErr w:type="gramStart"/>
      <w:r w:rsidRPr="00280104">
        <w:rPr>
          <w:iCs/>
        </w:rPr>
        <w:t>to improve</w:t>
      </w:r>
      <w:proofErr w:type="gramEnd"/>
      <w:r w:rsidRPr="00280104">
        <w:rPr>
          <w:iCs/>
        </w:rPr>
        <w:t xml:space="preserve"> the formulation of the metric for PAI #11 as follows:</w:t>
      </w:r>
    </w:p>
    <w:p w14:paraId="76916250" w14:textId="5C439621" w:rsidR="003450DA" w:rsidRPr="00280104" w:rsidRDefault="003450DA" w:rsidP="003450DA">
      <w:pPr>
        <w:spacing w:line="259" w:lineRule="auto"/>
        <w:ind w:left="720"/>
        <w:jc w:val="both"/>
        <w:rPr>
          <w:iCs/>
          <w:strike/>
        </w:rPr>
      </w:pPr>
      <w:r w:rsidRPr="00280104">
        <w:rPr>
          <w:iCs/>
          <w:color w:val="333333"/>
        </w:rPr>
        <w:t>[Metric:]</w:t>
      </w:r>
      <w:r w:rsidRPr="00280104">
        <w:rPr>
          <w:b/>
          <w:iCs/>
          <w:color w:val="333333"/>
        </w:rPr>
        <w:t xml:space="preserve"> </w:t>
      </w:r>
      <w:r w:rsidRPr="00280104">
        <w:rPr>
          <w:iCs/>
          <w:color w:val="333333"/>
          <w:u w:val="single"/>
        </w:rPr>
        <w:t xml:space="preserve">Share of investments in investee companies without </w:t>
      </w:r>
      <w:r w:rsidRPr="00280104">
        <w:rPr>
          <w:iCs/>
          <w:strike/>
          <w:color w:val="333333"/>
          <w:u w:val="single"/>
        </w:rPr>
        <w:t>policies</w:t>
      </w:r>
      <w:r w:rsidRPr="00280104">
        <w:rPr>
          <w:iCs/>
          <w:color w:val="333333"/>
          <w:u w:val="single"/>
        </w:rPr>
        <w:t xml:space="preserve"> </w:t>
      </w:r>
      <w:r w:rsidRPr="00280104">
        <w:rPr>
          <w:b/>
          <w:iCs/>
          <w:color w:val="333333"/>
          <w:u w:val="single"/>
        </w:rPr>
        <w:t xml:space="preserve">processes, including a sustainability due diligence process supported by internal controls and board oversight, </w:t>
      </w:r>
      <w:r w:rsidRPr="00280104">
        <w:rPr>
          <w:iCs/>
          <w:color w:val="333333"/>
          <w:u w:val="single"/>
        </w:rPr>
        <w:t xml:space="preserve">to </w:t>
      </w:r>
      <w:proofErr w:type="gramStart"/>
      <w:r w:rsidRPr="00280104">
        <w:rPr>
          <w:b/>
          <w:iCs/>
          <w:color w:val="333333"/>
          <w:u w:val="single"/>
        </w:rPr>
        <w:t>enable  and</w:t>
      </w:r>
      <w:proofErr w:type="gramEnd"/>
      <w:r w:rsidRPr="00280104">
        <w:rPr>
          <w:b/>
          <w:iCs/>
          <w:color w:val="333333"/>
          <w:u w:val="single"/>
        </w:rPr>
        <w:t xml:space="preserve"> </w:t>
      </w:r>
      <w:r w:rsidRPr="00280104">
        <w:rPr>
          <w:iCs/>
          <w:color w:val="333333"/>
          <w:u w:val="single"/>
        </w:rPr>
        <w:t xml:space="preserve">monitor compliance with the </w:t>
      </w:r>
      <w:r w:rsidRPr="00280104">
        <w:rPr>
          <w:b/>
          <w:iCs/>
          <w:color w:val="333333"/>
          <w:u w:val="single"/>
        </w:rPr>
        <w:t>UN Guiding Principles on Business and Human Rights</w:t>
      </w:r>
      <w:r w:rsidRPr="00280104">
        <w:rPr>
          <w:iCs/>
          <w:color w:val="333333"/>
          <w:u w:val="single"/>
        </w:rPr>
        <w:t xml:space="preserve"> </w:t>
      </w:r>
      <w:r w:rsidRPr="00280104">
        <w:rPr>
          <w:b/>
          <w:iCs/>
          <w:color w:val="333333"/>
          <w:u w:val="single"/>
        </w:rPr>
        <w:t>and</w:t>
      </w:r>
      <w:r w:rsidRPr="00280104">
        <w:rPr>
          <w:iCs/>
          <w:color w:val="333333"/>
          <w:u w:val="single"/>
        </w:rPr>
        <w:t xml:space="preserve"> OECD Guidelines for Multinational Enterprises, </w:t>
      </w:r>
      <w:r w:rsidRPr="00280104">
        <w:rPr>
          <w:iCs/>
          <w:color w:val="333333"/>
        </w:rPr>
        <w:t xml:space="preserve"> </w:t>
      </w:r>
      <w:r w:rsidRPr="00280104">
        <w:rPr>
          <w:iCs/>
          <w:strike/>
          <w:color w:val="333333"/>
        </w:rPr>
        <w:t>or grievance/complaints handling mechanisms to address violations of the UNGC principles or OECD Guidelines for Multinational Enterprises</w:t>
      </w:r>
    </w:p>
    <w:p w14:paraId="31F71785" w14:textId="27E353CB" w:rsidR="003450DA" w:rsidRPr="00280104" w:rsidRDefault="003450DA" w:rsidP="003450DA">
      <w:pPr>
        <w:spacing w:line="259" w:lineRule="auto"/>
        <w:jc w:val="both"/>
        <w:rPr>
          <w:b/>
          <w:iCs/>
          <w:u w:val="single"/>
        </w:rPr>
      </w:pPr>
      <w:r w:rsidRPr="00280104">
        <w:rPr>
          <w:b/>
          <w:iCs/>
          <w:u w:val="single"/>
        </w:rPr>
        <w:t>PROBLEMS WITH OTHER SOCIAL KPIs in TABLE 3</w:t>
      </w:r>
    </w:p>
    <w:p w14:paraId="23542AF5" w14:textId="57126A7C" w:rsidR="003450DA" w:rsidRPr="00280104" w:rsidRDefault="003450DA" w:rsidP="003450DA">
      <w:pPr>
        <w:spacing w:line="259" w:lineRule="auto"/>
        <w:jc w:val="both"/>
        <w:rPr>
          <w:iCs/>
        </w:rPr>
      </w:pPr>
      <w:proofErr w:type="gramStart"/>
      <w:r w:rsidRPr="00280104">
        <w:rPr>
          <w:iCs/>
        </w:rPr>
        <w:t>A number of</w:t>
      </w:r>
      <w:proofErr w:type="gramEnd"/>
      <w:r w:rsidRPr="00280104">
        <w:rPr>
          <w:iCs/>
        </w:rPr>
        <w:t xml:space="preserve"> social indicators in Table 3 are not meaningful, because they provide insights into isolated - and mostly only formal - aspects of companies’ implementation of the abovementioned international instruments. </w:t>
      </w:r>
    </w:p>
    <w:p w14:paraId="0880F560" w14:textId="608B5802" w:rsidR="003450DA" w:rsidRPr="00280104" w:rsidRDefault="003450DA" w:rsidP="003450DA">
      <w:pPr>
        <w:spacing w:line="259" w:lineRule="auto"/>
        <w:jc w:val="both"/>
        <w:rPr>
          <w:iCs/>
        </w:rPr>
      </w:pPr>
      <w:r w:rsidRPr="00280104">
        <w:rPr>
          <w:iCs/>
        </w:rPr>
        <w:t xml:space="preserve">These indicators in Table </w:t>
      </w:r>
      <w:proofErr w:type="gramStart"/>
      <w:r w:rsidRPr="00280104">
        <w:rPr>
          <w:iCs/>
        </w:rPr>
        <w:t>3  include</w:t>
      </w:r>
      <w:proofErr w:type="gramEnd"/>
      <w:r w:rsidRPr="00280104">
        <w:rPr>
          <w:iCs/>
        </w:rPr>
        <w:t xml:space="preserve"> indicators #1, #4, #7, #8, #9, #10, #11, #12, #13, #14</w:t>
      </w:r>
      <w:r w:rsidR="00D206A4">
        <w:rPr>
          <w:iCs/>
        </w:rPr>
        <w:t>.</w:t>
      </w:r>
    </w:p>
    <w:p w14:paraId="276A9CF4" w14:textId="2FACF7B6" w:rsidR="003450DA" w:rsidRPr="00280104" w:rsidRDefault="003450DA" w:rsidP="003450DA">
      <w:pPr>
        <w:spacing w:line="259" w:lineRule="auto"/>
        <w:jc w:val="both"/>
        <w:rPr>
          <w:iCs/>
        </w:rPr>
      </w:pPr>
      <w:r w:rsidRPr="00280104">
        <w:rPr>
          <w:iCs/>
        </w:rPr>
        <w:lastRenderedPageBreak/>
        <w:t xml:space="preserve">Instead, we support the inclusion of new ESRS-based indicators in table 1 and the reformulation of the PAI #11, which combined will provide more useful insights and reliable information, diminishing the need for some of the new social indicators under table 3. </w:t>
      </w:r>
    </w:p>
    <w:p w14:paraId="5BD213D2" w14:textId="19A7C4EE" w:rsidR="003450DA" w:rsidRPr="00280104" w:rsidRDefault="003450DA" w:rsidP="003450DA">
      <w:pPr>
        <w:spacing w:line="259" w:lineRule="auto"/>
        <w:jc w:val="both"/>
        <w:rPr>
          <w:b/>
          <w:iCs/>
          <w:highlight w:val="yellow"/>
        </w:rPr>
      </w:pPr>
      <w:r w:rsidRPr="00280104">
        <w:rPr>
          <w:b/>
          <w:iCs/>
        </w:rPr>
        <w:t>Group 1: Indicators #1, #4, #7, #8 in Table 3 provide unreliable and misleading information in the absence of more detailed criteria and metrics.</w:t>
      </w:r>
    </w:p>
    <w:p w14:paraId="7006C257" w14:textId="3292CCC3" w:rsidR="003450DA" w:rsidRPr="00280104" w:rsidRDefault="003450DA" w:rsidP="003450DA">
      <w:pPr>
        <w:numPr>
          <w:ilvl w:val="0"/>
          <w:numId w:val="50"/>
        </w:numPr>
        <w:spacing w:after="0" w:line="259" w:lineRule="auto"/>
        <w:jc w:val="both"/>
        <w:rPr>
          <w:iCs/>
        </w:rPr>
      </w:pPr>
      <w:r w:rsidRPr="00280104">
        <w:rPr>
          <w:iCs/>
        </w:rPr>
        <w:t xml:space="preserve">Indicator #1 </w:t>
      </w:r>
      <w:r w:rsidRPr="00280104">
        <w:rPr>
          <w:iCs/>
          <w:color w:val="333333"/>
          <w:highlight w:val="white"/>
        </w:rPr>
        <w:t>Investments in companies without workplace accident prevention policies</w:t>
      </w:r>
    </w:p>
    <w:p w14:paraId="00D747F3" w14:textId="77777777" w:rsidR="003450DA" w:rsidRPr="00280104" w:rsidRDefault="003450DA" w:rsidP="003450DA">
      <w:pPr>
        <w:spacing w:after="0" w:line="259" w:lineRule="auto"/>
        <w:jc w:val="both"/>
        <w:rPr>
          <w:iCs/>
        </w:rPr>
      </w:pPr>
    </w:p>
    <w:p w14:paraId="00C1B67C" w14:textId="5DEFE288" w:rsidR="003450DA" w:rsidRPr="00280104" w:rsidRDefault="003450DA" w:rsidP="003450DA">
      <w:pPr>
        <w:spacing w:line="259" w:lineRule="auto"/>
        <w:jc w:val="both"/>
        <w:rPr>
          <w:iCs/>
          <w:color w:val="333333"/>
          <w:highlight w:val="white"/>
        </w:rPr>
      </w:pPr>
      <w:r w:rsidRPr="00280104">
        <w:rPr>
          <w:iCs/>
          <w:color w:val="333333"/>
          <w:highlight w:val="white"/>
        </w:rPr>
        <w:t xml:space="preserve">This </w:t>
      </w:r>
      <w:proofErr w:type="gramStart"/>
      <w:r w:rsidRPr="00280104">
        <w:rPr>
          <w:iCs/>
          <w:color w:val="333333"/>
          <w:highlight w:val="white"/>
        </w:rPr>
        <w:t>KPI  has</w:t>
      </w:r>
      <w:proofErr w:type="gramEnd"/>
      <w:r w:rsidRPr="00280104">
        <w:rPr>
          <w:iCs/>
          <w:color w:val="333333"/>
          <w:highlight w:val="white"/>
        </w:rPr>
        <w:t xml:space="preserve"> a very little informational value on its own, if not coupled with the actual data on accidents and injuries, which is provided by Indicator #2. Furthermore, we suggest </w:t>
      </w:r>
      <w:proofErr w:type="gramStart"/>
      <w:r w:rsidRPr="00280104">
        <w:rPr>
          <w:iCs/>
          <w:color w:val="333333"/>
          <w:highlight w:val="white"/>
        </w:rPr>
        <w:t>taking into account</w:t>
      </w:r>
      <w:proofErr w:type="gramEnd"/>
      <w:r w:rsidRPr="00280104">
        <w:rPr>
          <w:iCs/>
          <w:color w:val="333333"/>
          <w:highlight w:val="white"/>
        </w:rPr>
        <w:t xml:space="preserve"> that a vast majority of companies would have an OHS policy and that this is a legal requirement in many jurisdictions.</w:t>
      </w:r>
    </w:p>
    <w:p w14:paraId="01224328" w14:textId="6CC05AC0" w:rsidR="003450DA" w:rsidRPr="00280104" w:rsidRDefault="003450DA" w:rsidP="003450DA">
      <w:pPr>
        <w:spacing w:line="259" w:lineRule="auto"/>
        <w:jc w:val="both"/>
        <w:rPr>
          <w:iCs/>
          <w:color w:val="333333"/>
        </w:rPr>
      </w:pPr>
      <w:r w:rsidRPr="00280104">
        <w:rPr>
          <w:iCs/>
          <w:color w:val="333333"/>
        </w:rPr>
        <w:t>Therefore, this indicator of limited information value. The fact that investors may choose this indicator over Indicator #2 also contributes to risks of greenwashing.</w:t>
      </w:r>
    </w:p>
    <w:p w14:paraId="63A2D355" w14:textId="4B3C780F" w:rsidR="003450DA" w:rsidRPr="00280104" w:rsidRDefault="003450DA" w:rsidP="003450DA">
      <w:pPr>
        <w:numPr>
          <w:ilvl w:val="0"/>
          <w:numId w:val="50"/>
        </w:numPr>
        <w:spacing w:after="0" w:line="259" w:lineRule="auto"/>
        <w:jc w:val="both"/>
        <w:rPr>
          <w:iCs/>
        </w:rPr>
      </w:pPr>
      <w:r w:rsidRPr="00280104">
        <w:rPr>
          <w:iCs/>
        </w:rPr>
        <w:t xml:space="preserve"> Indicator #4 Lack of supplier code of conduct</w:t>
      </w:r>
    </w:p>
    <w:p w14:paraId="6CAF91CD" w14:textId="77777777" w:rsidR="003450DA" w:rsidRPr="00280104" w:rsidRDefault="003450DA" w:rsidP="003450DA">
      <w:pPr>
        <w:spacing w:after="0" w:line="259" w:lineRule="auto"/>
        <w:ind w:left="720"/>
        <w:jc w:val="both"/>
        <w:rPr>
          <w:iCs/>
        </w:rPr>
      </w:pPr>
    </w:p>
    <w:p w14:paraId="218F5CE4" w14:textId="267960CE" w:rsidR="003450DA" w:rsidRPr="00280104" w:rsidRDefault="003450DA" w:rsidP="003450DA">
      <w:pPr>
        <w:spacing w:line="259" w:lineRule="auto"/>
        <w:jc w:val="both"/>
        <w:rPr>
          <w:iCs/>
        </w:rPr>
      </w:pPr>
      <w:r w:rsidRPr="00280104">
        <w:rPr>
          <w:iCs/>
        </w:rPr>
        <w:t xml:space="preserve">This KPI represents a partial information on the implementation of sustainability due diligence. </w:t>
      </w:r>
    </w:p>
    <w:p w14:paraId="4803BC2D" w14:textId="5DBED694" w:rsidR="003450DA" w:rsidRPr="00280104" w:rsidRDefault="003450DA" w:rsidP="003450DA">
      <w:pPr>
        <w:spacing w:line="259" w:lineRule="auto"/>
        <w:jc w:val="both"/>
        <w:rPr>
          <w:iCs/>
        </w:rPr>
      </w:pPr>
      <w:r w:rsidRPr="00280104">
        <w:rPr>
          <w:iCs/>
        </w:rPr>
        <w:t xml:space="preserve">The codes of conduct are not regulated and thus vary widely both in whether they reflect international standards or undermine </w:t>
      </w:r>
      <w:proofErr w:type="gramStart"/>
      <w:r w:rsidRPr="00280104">
        <w:rPr>
          <w:iCs/>
        </w:rPr>
        <w:t>them, and</w:t>
      </w:r>
      <w:proofErr w:type="gramEnd"/>
      <w:r w:rsidRPr="00280104">
        <w:rPr>
          <w:iCs/>
        </w:rPr>
        <w:t xml:space="preserve"> are not a reflection of whether these are implemented in practice, or whether in fact commercial incentives negate the possibility of suppliers meeting their expectations. They are in themselves therefore not a good indicator or social performance when an indicator is constructed this broadly.</w:t>
      </w:r>
    </w:p>
    <w:p w14:paraId="48947807" w14:textId="564AD3FC" w:rsidR="003450DA" w:rsidRPr="00280104" w:rsidRDefault="003450DA" w:rsidP="003450DA">
      <w:pPr>
        <w:spacing w:line="259" w:lineRule="auto"/>
        <w:jc w:val="both"/>
        <w:rPr>
          <w:iCs/>
        </w:rPr>
      </w:pPr>
      <w:r w:rsidRPr="00280104">
        <w:rPr>
          <w:iCs/>
        </w:rPr>
        <w:t>Therefore, applied in isolation, this indicator contributes to misguiding companies on the implementation of sustainability due diligence and to increasing risks of greenwashing.</w:t>
      </w:r>
    </w:p>
    <w:p w14:paraId="21A9D970" w14:textId="0C53058C" w:rsidR="003450DA" w:rsidRPr="00280104" w:rsidRDefault="003450DA" w:rsidP="003450DA">
      <w:pPr>
        <w:numPr>
          <w:ilvl w:val="0"/>
          <w:numId w:val="50"/>
        </w:numPr>
        <w:spacing w:after="0" w:line="259" w:lineRule="auto"/>
        <w:jc w:val="both"/>
        <w:rPr>
          <w:iCs/>
        </w:rPr>
      </w:pPr>
      <w:r w:rsidRPr="00280104">
        <w:rPr>
          <w:iCs/>
        </w:rPr>
        <w:t xml:space="preserve"> Indicator #7 Incidents of discrimination</w:t>
      </w:r>
    </w:p>
    <w:p w14:paraId="26EA905C" w14:textId="77777777" w:rsidR="003450DA" w:rsidRPr="00280104" w:rsidRDefault="003450DA" w:rsidP="003450DA">
      <w:pPr>
        <w:spacing w:after="0" w:line="259" w:lineRule="auto"/>
        <w:ind w:left="720"/>
        <w:jc w:val="both"/>
        <w:rPr>
          <w:iCs/>
        </w:rPr>
      </w:pPr>
    </w:p>
    <w:p w14:paraId="1298E037" w14:textId="0FB0D811" w:rsidR="003450DA" w:rsidRPr="00280104" w:rsidRDefault="003450DA" w:rsidP="003450DA">
      <w:pPr>
        <w:spacing w:line="259" w:lineRule="auto"/>
        <w:jc w:val="both"/>
        <w:rPr>
          <w:iCs/>
        </w:rPr>
      </w:pPr>
      <w:r w:rsidRPr="00280104">
        <w:rPr>
          <w:iCs/>
        </w:rPr>
        <w:t>This KPI does not allow investors to distinguish between companies at which employees don’t report incidents because people are intimidated and/or because the investee company does not have a grievance mechanism which provides meaningful protection to employees against retaliation, and those companies that don’t report incidents because there is no discrimination happening. Furthermore, the occurrence of some level or form of discrimination is common. What matters is how well the company's grievance mechanism functions and leads to remediation. A company which transparently reports a relatively high number of such incidents, may be more responsible than a company which reports none.</w:t>
      </w:r>
    </w:p>
    <w:p w14:paraId="0FAE7E98" w14:textId="0E5DB1F6" w:rsidR="003450DA" w:rsidRPr="00280104" w:rsidRDefault="003450DA" w:rsidP="003450DA">
      <w:pPr>
        <w:spacing w:line="259" w:lineRule="auto"/>
        <w:jc w:val="both"/>
        <w:rPr>
          <w:iCs/>
        </w:rPr>
      </w:pPr>
      <w:r w:rsidRPr="00280104">
        <w:rPr>
          <w:iCs/>
        </w:rPr>
        <w:t xml:space="preserve">We consider this indicator misleading and unreliable. We recommend that it is reformulated around detailed metrics concerning the quality of the mechanism and transparency on the processed </w:t>
      </w:r>
      <w:proofErr w:type="gramStart"/>
      <w:r w:rsidRPr="00280104">
        <w:rPr>
          <w:iCs/>
        </w:rPr>
        <w:t>results, or</w:t>
      </w:r>
      <w:proofErr w:type="gramEnd"/>
      <w:r w:rsidRPr="00280104">
        <w:rPr>
          <w:iCs/>
        </w:rPr>
        <w:t xml:space="preserve"> be deleted completely.</w:t>
      </w:r>
    </w:p>
    <w:p w14:paraId="637238B3" w14:textId="2BCB9BD1" w:rsidR="003450DA" w:rsidRPr="00280104" w:rsidRDefault="003450DA" w:rsidP="003450DA">
      <w:pPr>
        <w:numPr>
          <w:ilvl w:val="0"/>
          <w:numId w:val="50"/>
        </w:numPr>
        <w:spacing w:after="0" w:line="259" w:lineRule="auto"/>
        <w:jc w:val="both"/>
        <w:rPr>
          <w:iCs/>
        </w:rPr>
      </w:pPr>
      <w:r w:rsidRPr="00280104">
        <w:rPr>
          <w:iCs/>
        </w:rPr>
        <w:t xml:space="preserve">Indicator #8, </w:t>
      </w:r>
      <w:r w:rsidRPr="00280104">
        <w:rPr>
          <w:iCs/>
          <w:color w:val="333333"/>
          <w:highlight w:val="white"/>
        </w:rPr>
        <w:t xml:space="preserve">Excessive CEO pay </w:t>
      </w:r>
      <w:proofErr w:type="gramStart"/>
      <w:r w:rsidRPr="00280104">
        <w:rPr>
          <w:iCs/>
          <w:color w:val="333333"/>
          <w:highlight w:val="white"/>
        </w:rPr>
        <w:t>ratio</w:t>
      </w:r>
      <w:proofErr w:type="gramEnd"/>
    </w:p>
    <w:p w14:paraId="56842F60" w14:textId="4A36908F" w:rsidR="003450DA" w:rsidRPr="00280104" w:rsidRDefault="003450DA" w:rsidP="003450DA">
      <w:pPr>
        <w:spacing w:after="0" w:line="259" w:lineRule="auto"/>
        <w:jc w:val="both"/>
        <w:rPr>
          <w:iCs/>
        </w:rPr>
      </w:pPr>
    </w:p>
    <w:p w14:paraId="1055BA16" w14:textId="2A54A6A0" w:rsidR="003450DA" w:rsidRPr="00280104" w:rsidRDefault="003450DA" w:rsidP="003450DA">
      <w:pPr>
        <w:spacing w:line="259" w:lineRule="auto"/>
        <w:jc w:val="both"/>
        <w:rPr>
          <w:iCs/>
        </w:rPr>
      </w:pPr>
      <w:r w:rsidRPr="00280104">
        <w:rPr>
          <w:iCs/>
        </w:rPr>
        <w:lastRenderedPageBreak/>
        <w:t xml:space="preserve">It has been reported in the UK that transparency on CEO pay has correlated with and possibly contributed to skyrocketing of the CEO pay due to CEOs and Board remuneration committees being incentivized to push for pay levels closer to those of the highest paying companies in their sector.  </w:t>
      </w:r>
    </w:p>
    <w:p w14:paraId="32F39F92" w14:textId="0C891874" w:rsidR="003450DA" w:rsidRPr="00280104" w:rsidRDefault="003450DA" w:rsidP="003450DA">
      <w:pPr>
        <w:spacing w:line="259" w:lineRule="auto"/>
        <w:jc w:val="both"/>
        <w:rPr>
          <w:iCs/>
        </w:rPr>
      </w:pPr>
      <w:r w:rsidRPr="00280104">
        <w:rPr>
          <w:iCs/>
        </w:rPr>
        <w:t xml:space="preserve">We believe that KPIs addressing adequate </w:t>
      </w:r>
      <w:proofErr w:type="gramStart"/>
      <w:r w:rsidRPr="00280104">
        <w:rPr>
          <w:iCs/>
        </w:rPr>
        <w:t>wages, and</w:t>
      </w:r>
      <w:proofErr w:type="gramEnd"/>
      <w:r w:rsidRPr="00280104">
        <w:rPr>
          <w:iCs/>
        </w:rPr>
        <w:t xml:space="preserve"> working conditions of vulnerable groups of workers such as non-employee workers, provide more meaningful insights into investee companies’ contribution to inequality.</w:t>
      </w:r>
    </w:p>
    <w:p w14:paraId="1994FAA2" w14:textId="027BC2D5" w:rsidR="003450DA" w:rsidRPr="00280104" w:rsidRDefault="003450DA" w:rsidP="003450DA">
      <w:pPr>
        <w:spacing w:line="259" w:lineRule="auto"/>
        <w:jc w:val="both"/>
        <w:rPr>
          <w:iCs/>
        </w:rPr>
      </w:pPr>
      <w:r w:rsidRPr="00280104">
        <w:rPr>
          <w:iCs/>
        </w:rPr>
        <w:t xml:space="preserve">We do not see evidence that this indicator would positively contribute to curbing inequality. </w:t>
      </w:r>
    </w:p>
    <w:p w14:paraId="0F7609F0" w14:textId="60EE0AB1" w:rsidR="003450DA" w:rsidRPr="00280104" w:rsidRDefault="003450DA" w:rsidP="003450DA">
      <w:pPr>
        <w:spacing w:line="259" w:lineRule="auto"/>
        <w:jc w:val="both"/>
        <w:rPr>
          <w:iCs/>
        </w:rPr>
      </w:pPr>
      <w:r w:rsidRPr="00280104">
        <w:rPr>
          <w:iCs/>
        </w:rPr>
        <w:t>—</w:t>
      </w:r>
    </w:p>
    <w:p w14:paraId="356D7267" w14:textId="271D13AD" w:rsidR="003450DA" w:rsidRPr="00280104" w:rsidRDefault="003450DA" w:rsidP="003450DA">
      <w:pPr>
        <w:spacing w:line="259" w:lineRule="auto"/>
        <w:jc w:val="both"/>
        <w:rPr>
          <w:b/>
          <w:iCs/>
        </w:rPr>
      </w:pPr>
      <w:r w:rsidRPr="00280104">
        <w:rPr>
          <w:b/>
          <w:iCs/>
        </w:rPr>
        <w:t xml:space="preserve">Group 2: Indicators #9, #10 and #11 in Table 3 suffer from the problem of focusing on isolated and very limited aspects of a company's human rights due diligence. As such they do not provide meaningful insights into companies’ practice. Instead, they contribute to misunderstanding and poor implementation of the sustainability due diligence as outlined in the UN Guiding Principles and OECD </w:t>
      </w:r>
      <w:proofErr w:type="gramStart"/>
      <w:r w:rsidRPr="00280104">
        <w:rPr>
          <w:b/>
          <w:iCs/>
        </w:rPr>
        <w:t>Guidelines ,</w:t>
      </w:r>
      <w:proofErr w:type="gramEnd"/>
      <w:r w:rsidRPr="00280104">
        <w:rPr>
          <w:b/>
          <w:iCs/>
        </w:rPr>
        <w:t xml:space="preserve"> and to risks of greenwashing.</w:t>
      </w:r>
    </w:p>
    <w:p w14:paraId="074A9BCF" w14:textId="2188A97E" w:rsidR="003450DA" w:rsidRPr="00280104" w:rsidRDefault="003450DA" w:rsidP="003450DA">
      <w:pPr>
        <w:spacing w:line="259" w:lineRule="auto"/>
        <w:jc w:val="both"/>
        <w:rPr>
          <w:b/>
          <w:iCs/>
          <w:u w:val="single"/>
        </w:rPr>
      </w:pPr>
      <w:r w:rsidRPr="00280104">
        <w:rPr>
          <w:b/>
          <w:iCs/>
          <w:u w:val="single"/>
        </w:rPr>
        <w:t xml:space="preserve">Instead of these indicators being included as alternatives, we strongly to simplify the RTS by reviewing indicator #11 in Table 1 to ensure that it covers these </w:t>
      </w:r>
      <w:proofErr w:type="gramStart"/>
      <w:r w:rsidRPr="00280104">
        <w:rPr>
          <w:b/>
          <w:iCs/>
          <w:u w:val="single"/>
        </w:rPr>
        <w:t>particular aspects</w:t>
      </w:r>
      <w:proofErr w:type="gramEnd"/>
      <w:r w:rsidRPr="00280104">
        <w:rPr>
          <w:b/>
          <w:iCs/>
          <w:u w:val="single"/>
        </w:rPr>
        <w:t xml:space="preserve"> of sustainability due diligence.</w:t>
      </w:r>
    </w:p>
    <w:p w14:paraId="688F5E36" w14:textId="0F33D5A8" w:rsidR="003450DA" w:rsidRPr="00280104" w:rsidRDefault="003450DA" w:rsidP="003450DA">
      <w:pPr>
        <w:numPr>
          <w:ilvl w:val="0"/>
          <w:numId w:val="50"/>
        </w:numPr>
        <w:spacing w:after="0" w:line="259" w:lineRule="auto"/>
        <w:jc w:val="both"/>
        <w:rPr>
          <w:iCs/>
        </w:rPr>
      </w:pPr>
      <w:r w:rsidRPr="00280104">
        <w:rPr>
          <w:iCs/>
        </w:rPr>
        <w:t>Indicator #9, Lack of human rights policy</w:t>
      </w:r>
    </w:p>
    <w:p w14:paraId="38B68BA3" w14:textId="77777777" w:rsidR="003450DA" w:rsidRPr="00280104" w:rsidRDefault="003450DA" w:rsidP="003450DA">
      <w:pPr>
        <w:spacing w:after="0" w:line="259" w:lineRule="auto"/>
        <w:ind w:left="720"/>
        <w:jc w:val="both"/>
        <w:rPr>
          <w:iCs/>
        </w:rPr>
      </w:pPr>
    </w:p>
    <w:p w14:paraId="2179698A" w14:textId="4E17C05C" w:rsidR="003450DA" w:rsidRPr="00280104" w:rsidRDefault="003450DA" w:rsidP="003450DA">
      <w:pPr>
        <w:spacing w:line="259" w:lineRule="auto"/>
        <w:jc w:val="both"/>
        <w:rPr>
          <w:iCs/>
        </w:rPr>
      </w:pPr>
      <w:r w:rsidRPr="00280104">
        <w:rPr>
          <w:iCs/>
        </w:rPr>
        <w:t xml:space="preserve">This KPI provides extremely limited insight into a company's practice. The SFDR KPIs should not guide investors to assess companies on isolated and formalistic aspects that offer no clarity as to the quality of their implementation. </w:t>
      </w:r>
    </w:p>
    <w:p w14:paraId="2E5A4B23" w14:textId="003B6297" w:rsidR="003450DA" w:rsidRPr="00280104" w:rsidRDefault="003450DA" w:rsidP="003450DA">
      <w:pPr>
        <w:spacing w:line="259" w:lineRule="auto"/>
        <w:jc w:val="both"/>
        <w:rPr>
          <w:iCs/>
        </w:rPr>
      </w:pPr>
      <w:r w:rsidRPr="00280104">
        <w:rPr>
          <w:iCs/>
        </w:rPr>
        <w:t xml:space="preserve">Furthermore, Indicator #11 in Table 1, if well formulated, not only covers the question whether the investee company has a human </w:t>
      </w:r>
      <w:proofErr w:type="gramStart"/>
      <w:r w:rsidRPr="00280104">
        <w:rPr>
          <w:iCs/>
        </w:rPr>
        <w:t>rights policy, but</w:t>
      </w:r>
      <w:proofErr w:type="gramEnd"/>
      <w:r w:rsidRPr="00280104">
        <w:rPr>
          <w:iCs/>
        </w:rPr>
        <w:t xml:space="preserve"> provides a much more meaningful insight into the actual implementation of the policy in company’s internal systems. Without such implementation, a formal human rights policy is meaningless, and often deceiving.</w:t>
      </w:r>
    </w:p>
    <w:p w14:paraId="1FEB1DE7" w14:textId="0B51BCA2" w:rsidR="003450DA" w:rsidRPr="00280104" w:rsidRDefault="003450DA" w:rsidP="003450DA">
      <w:pPr>
        <w:numPr>
          <w:ilvl w:val="0"/>
          <w:numId w:val="50"/>
        </w:numPr>
        <w:spacing w:after="0" w:line="259" w:lineRule="auto"/>
        <w:jc w:val="both"/>
        <w:rPr>
          <w:iCs/>
        </w:rPr>
      </w:pPr>
      <w:r w:rsidRPr="00280104">
        <w:rPr>
          <w:iCs/>
        </w:rPr>
        <w:t>Indicator #10, Lack of due diligence</w:t>
      </w:r>
    </w:p>
    <w:p w14:paraId="71668FA9" w14:textId="77777777" w:rsidR="003450DA" w:rsidRPr="00280104" w:rsidRDefault="003450DA" w:rsidP="003450DA">
      <w:pPr>
        <w:spacing w:after="0" w:line="259" w:lineRule="auto"/>
        <w:ind w:left="720"/>
        <w:jc w:val="both"/>
        <w:rPr>
          <w:iCs/>
        </w:rPr>
      </w:pPr>
    </w:p>
    <w:p w14:paraId="4BA80015" w14:textId="06A24C5F" w:rsidR="003450DA" w:rsidRPr="00280104" w:rsidRDefault="003450DA" w:rsidP="003450DA">
      <w:pPr>
        <w:spacing w:line="259" w:lineRule="auto"/>
        <w:jc w:val="both"/>
        <w:rPr>
          <w:iCs/>
        </w:rPr>
      </w:pPr>
      <w:r w:rsidRPr="00280104">
        <w:rPr>
          <w:iCs/>
        </w:rPr>
        <w:t>This KPI overlaps with Indicator #11 in Table 1. The OECD Guidelines, as well as UN Guiding Principles are standards of conduct based on sustainability due diligence.</w:t>
      </w:r>
    </w:p>
    <w:p w14:paraId="48C44361" w14:textId="1B58834C" w:rsidR="003450DA" w:rsidRPr="00280104" w:rsidRDefault="003450DA" w:rsidP="003450DA">
      <w:pPr>
        <w:spacing w:line="259" w:lineRule="auto"/>
        <w:jc w:val="both"/>
        <w:rPr>
          <w:iCs/>
        </w:rPr>
      </w:pPr>
      <w:r w:rsidRPr="00280104">
        <w:rPr>
          <w:iCs/>
        </w:rPr>
        <w:t xml:space="preserve">Keeping both indicators in the RTS would continue confusing investors as to how to distinguish between them. Instead, indicator #11 in Table 1 should be clarified. </w:t>
      </w:r>
    </w:p>
    <w:p w14:paraId="2C59ACD1" w14:textId="77777777" w:rsidR="003450DA" w:rsidRPr="00280104" w:rsidRDefault="003450DA" w:rsidP="003450DA">
      <w:pPr>
        <w:numPr>
          <w:ilvl w:val="0"/>
          <w:numId w:val="50"/>
        </w:numPr>
        <w:spacing w:after="0" w:line="259" w:lineRule="auto"/>
        <w:jc w:val="both"/>
        <w:rPr>
          <w:iCs/>
        </w:rPr>
      </w:pPr>
      <w:r w:rsidRPr="00280104">
        <w:rPr>
          <w:iCs/>
        </w:rPr>
        <w:t xml:space="preserve">Indicator #11, </w:t>
      </w:r>
      <w:r w:rsidRPr="00280104">
        <w:rPr>
          <w:iCs/>
          <w:color w:val="333333"/>
          <w:highlight w:val="white"/>
        </w:rPr>
        <w:t xml:space="preserve">Lack of processes and measures for preventing trafficking in human </w:t>
      </w:r>
      <w:proofErr w:type="gramStart"/>
      <w:r w:rsidRPr="00280104">
        <w:rPr>
          <w:iCs/>
          <w:color w:val="333333"/>
          <w:highlight w:val="white"/>
        </w:rPr>
        <w:t>beings</w:t>
      </w:r>
      <w:proofErr w:type="gramEnd"/>
    </w:p>
    <w:p w14:paraId="074799D5" w14:textId="77777777" w:rsidR="003450DA" w:rsidRPr="00280104" w:rsidRDefault="003450DA" w:rsidP="003450DA">
      <w:pPr>
        <w:spacing w:line="259" w:lineRule="auto"/>
        <w:jc w:val="both"/>
        <w:rPr>
          <w:iCs/>
          <w:color w:val="333333"/>
          <w:highlight w:val="white"/>
        </w:rPr>
      </w:pPr>
    </w:p>
    <w:p w14:paraId="54060A1A" w14:textId="2DB1C996" w:rsidR="003450DA" w:rsidRPr="00280104" w:rsidRDefault="003450DA" w:rsidP="003450DA">
      <w:pPr>
        <w:spacing w:line="259" w:lineRule="auto"/>
        <w:jc w:val="both"/>
        <w:rPr>
          <w:iCs/>
          <w:color w:val="333333"/>
        </w:rPr>
      </w:pPr>
      <w:r w:rsidRPr="00280104">
        <w:rPr>
          <w:iCs/>
          <w:color w:val="333333"/>
        </w:rPr>
        <w:t xml:space="preserve">This KPI’s metric is limited to the existence of a policy, rather than processes and measures. In this way, it is a mere extension of Indicator #9 on human rights policy and thus suffers from the same problems. </w:t>
      </w:r>
    </w:p>
    <w:p w14:paraId="4FF7A714" w14:textId="188F4434" w:rsidR="003450DA" w:rsidRPr="00280104" w:rsidRDefault="003450DA" w:rsidP="003450DA">
      <w:pPr>
        <w:spacing w:line="259" w:lineRule="auto"/>
        <w:jc w:val="both"/>
        <w:rPr>
          <w:iCs/>
          <w:color w:val="333333"/>
        </w:rPr>
      </w:pPr>
      <w:r w:rsidRPr="00280104">
        <w:rPr>
          <w:iCs/>
          <w:color w:val="333333"/>
        </w:rPr>
        <w:lastRenderedPageBreak/>
        <w:t xml:space="preserve">Furthermore, the problem of human trafficking is particularly relevant in some sectors and </w:t>
      </w:r>
      <w:proofErr w:type="gramStart"/>
      <w:r w:rsidRPr="00280104">
        <w:rPr>
          <w:iCs/>
          <w:color w:val="333333"/>
        </w:rPr>
        <w:t>in particular in</w:t>
      </w:r>
      <w:proofErr w:type="gramEnd"/>
      <w:r w:rsidRPr="00280104">
        <w:rPr>
          <w:iCs/>
          <w:color w:val="333333"/>
        </w:rPr>
        <w:t xml:space="preserve"> specific geographies. Suggesting that it is relevant for all companies and investors undermines the role of human rights due diligence as a risk-based tool.</w:t>
      </w:r>
    </w:p>
    <w:p w14:paraId="05E20DA9" w14:textId="4B384805" w:rsidR="003450DA" w:rsidRPr="00280104" w:rsidRDefault="003450DA" w:rsidP="003450DA">
      <w:pPr>
        <w:spacing w:line="259" w:lineRule="auto"/>
        <w:jc w:val="both"/>
        <w:rPr>
          <w:iCs/>
          <w:color w:val="333333"/>
          <w:highlight w:val="white"/>
        </w:rPr>
      </w:pPr>
      <w:r w:rsidRPr="00280104">
        <w:rPr>
          <w:iCs/>
          <w:color w:val="333333"/>
          <w:highlight w:val="white"/>
        </w:rPr>
        <w:t>—</w:t>
      </w:r>
    </w:p>
    <w:p w14:paraId="5350902A" w14:textId="492FCC72" w:rsidR="003450DA" w:rsidRPr="00280104" w:rsidRDefault="003450DA" w:rsidP="003450DA">
      <w:pPr>
        <w:spacing w:line="259" w:lineRule="auto"/>
        <w:jc w:val="both"/>
        <w:rPr>
          <w:b/>
          <w:iCs/>
          <w:color w:val="333333"/>
          <w:highlight w:val="white"/>
        </w:rPr>
      </w:pPr>
      <w:r w:rsidRPr="00280104">
        <w:rPr>
          <w:b/>
          <w:iCs/>
        </w:rPr>
        <w:t xml:space="preserve">Group 3: Indicators #12, #13 and #14 are </w:t>
      </w:r>
      <w:proofErr w:type="gramStart"/>
      <w:r w:rsidRPr="00280104">
        <w:rPr>
          <w:b/>
          <w:iCs/>
        </w:rPr>
        <w:t>all of</w:t>
      </w:r>
      <w:proofErr w:type="gramEnd"/>
      <w:r w:rsidRPr="00280104">
        <w:rPr>
          <w:b/>
          <w:iCs/>
        </w:rPr>
        <w:t xml:space="preserve"> very limited value in terms of the quality of the insight that they offer to investors and the likelihood of misinterpretation of the underlying situation. </w:t>
      </w:r>
      <w:r w:rsidRPr="00280104">
        <w:rPr>
          <w:iCs/>
        </w:rPr>
        <w:t xml:space="preserve"> </w:t>
      </w:r>
      <w:r w:rsidRPr="00280104">
        <w:rPr>
          <w:b/>
          <w:iCs/>
        </w:rPr>
        <w:t xml:space="preserve">All three of these metrics hold the additional problem that they incentivize companies not to identify the issues they reflect – child labour, forced labour or other ‘severe human rights issues’ – since not identifying them will result in numbers that look better in disclosures. </w:t>
      </w:r>
      <w:r w:rsidRPr="00280104">
        <w:rPr>
          <w:b/>
          <w:iCs/>
          <w:color w:val="333333"/>
          <w:highlight w:val="white"/>
        </w:rPr>
        <w:t xml:space="preserve"> </w:t>
      </w:r>
    </w:p>
    <w:p w14:paraId="25C0B73B" w14:textId="49C30914" w:rsidR="003450DA" w:rsidRPr="00280104" w:rsidRDefault="003450DA" w:rsidP="003450DA">
      <w:pPr>
        <w:spacing w:line="259" w:lineRule="auto"/>
        <w:jc w:val="both"/>
        <w:rPr>
          <w:b/>
          <w:iCs/>
          <w:u w:val="single"/>
        </w:rPr>
      </w:pPr>
      <w:r w:rsidRPr="00280104">
        <w:rPr>
          <w:b/>
          <w:iCs/>
          <w:u w:val="single"/>
        </w:rPr>
        <w:t xml:space="preserve">We suggest </w:t>
      </w:r>
      <w:proofErr w:type="gramStart"/>
      <w:r w:rsidRPr="00280104">
        <w:rPr>
          <w:b/>
          <w:iCs/>
          <w:u w:val="single"/>
        </w:rPr>
        <w:t>to delete</w:t>
      </w:r>
      <w:proofErr w:type="gramEnd"/>
      <w:r w:rsidRPr="00280104">
        <w:rPr>
          <w:b/>
          <w:iCs/>
          <w:u w:val="single"/>
        </w:rPr>
        <w:t xml:space="preserve"> these KPIs because they provide misleading directions that are in conflict with the international instruments on sustainability due diligence</w:t>
      </w:r>
    </w:p>
    <w:p w14:paraId="1928CA79" w14:textId="7AB59700" w:rsidR="003450DA" w:rsidRPr="00280104" w:rsidRDefault="003450DA" w:rsidP="003450DA">
      <w:pPr>
        <w:numPr>
          <w:ilvl w:val="0"/>
          <w:numId w:val="50"/>
        </w:numPr>
        <w:spacing w:after="0" w:line="259" w:lineRule="auto"/>
        <w:jc w:val="both"/>
        <w:rPr>
          <w:iCs/>
        </w:rPr>
      </w:pPr>
      <w:r w:rsidRPr="00280104">
        <w:rPr>
          <w:iCs/>
        </w:rPr>
        <w:t xml:space="preserve">Indicator #12, </w:t>
      </w:r>
      <w:proofErr w:type="gramStart"/>
      <w:r w:rsidRPr="00280104">
        <w:rPr>
          <w:iCs/>
          <w:color w:val="333333"/>
          <w:highlight w:val="white"/>
        </w:rPr>
        <w:t>Operations</w:t>
      </w:r>
      <w:proofErr w:type="gramEnd"/>
      <w:r w:rsidRPr="00280104">
        <w:rPr>
          <w:iCs/>
          <w:color w:val="333333"/>
          <w:highlight w:val="white"/>
        </w:rPr>
        <w:t xml:space="preserve"> and suppliers at significant risk of incidents of child labour</w:t>
      </w:r>
    </w:p>
    <w:p w14:paraId="6FE77F88" w14:textId="77777777" w:rsidR="003450DA" w:rsidRPr="00280104" w:rsidRDefault="003450DA" w:rsidP="003450DA">
      <w:pPr>
        <w:spacing w:after="0" w:line="259" w:lineRule="auto"/>
        <w:jc w:val="both"/>
        <w:rPr>
          <w:iCs/>
        </w:rPr>
      </w:pPr>
    </w:p>
    <w:p w14:paraId="7F0E6309" w14:textId="1F148489" w:rsidR="003450DA" w:rsidRPr="00280104" w:rsidRDefault="003450DA" w:rsidP="003450DA">
      <w:pPr>
        <w:spacing w:line="259" w:lineRule="auto"/>
        <w:jc w:val="both"/>
        <w:rPr>
          <w:iCs/>
        </w:rPr>
      </w:pPr>
      <w:r w:rsidRPr="00280104">
        <w:rPr>
          <w:iCs/>
        </w:rPr>
        <w:t xml:space="preserve">As it stands, the indicator will simply reflect the fact that child labour prevails in certain industries and parts of the world, and not whether companies in the portfolio are taking actions to reduce child </w:t>
      </w:r>
      <w:proofErr w:type="spellStart"/>
      <w:r w:rsidRPr="00280104">
        <w:rPr>
          <w:iCs/>
        </w:rPr>
        <w:t>labor</w:t>
      </w:r>
      <w:proofErr w:type="spellEnd"/>
      <w:r w:rsidRPr="00280104">
        <w:rPr>
          <w:iCs/>
        </w:rPr>
        <w:t>. As such, companies from industries whose global supply chains involve child labour will be viewed negatively in portfolios, whereas in practice investors need to reward those addressing the systemic problems in the respective sectors in lines with the principles and sustainability due diligence process outlined in the international instruments referred to in Indicator #11</w:t>
      </w:r>
    </w:p>
    <w:p w14:paraId="65FA49A7" w14:textId="77777777" w:rsidR="003450DA" w:rsidRPr="00280104" w:rsidRDefault="003450DA" w:rsidP="003450DA">
      <w:pPr>
        <w:numPr>
          <w:ilvl w:val="0"/>
          <w:numId w:val="49"/>
        </w:numPr>
        <w:spacing w:after="0" w:line="259" w:lineRule="auto"/>
        <w:jc w:val="both"/>
        <w:rPr>
          <w:iCs/>
          <w:color w:val="333333"/>
          <w:highlight w:val="white"/>
        </w:rPr>
      </w:pPr>
      <w:r w:rsidRPr="00280104">
        <w:rPr>
          <w:iCs/>
        </w:rPr>
        <w:t xml:space="preserve">Indicator #13, </w:t>
      </w:r>
      <w:proofErr w:type="gramStart"/>
      <w:r w:rsidRPr="00280104">
        <w:rPr>
          <w:iCs/>
          <w:color w:val="333333"/>
          <w:highlight w:val="white"/>
        </w:rPr>
        <w:t>Operations</w:t>
      </w:r>
      <w:proofErr w:type="gramEnd"/>
      <w:r w:rsidRPr="00280104">
        <w:rPr>
          <w:iCs/>
          <w:color w:val="333333"/>
          <w:highlight w:val="white"/>
        </w:rPr>
        <w:t xml:space="preserve"> and suppliers at significant risk of incidents of forced labour</w:t>
      </w:r>
    </w:p>
    <w:p w14:paraId="4DE86F66" w14:textId="77777777" w:rsidR="003450DA" w:rsidRPr="00280104" w:rsidRDefault="003450DA" w:rsidP="003450DA">
      <w:pPr>
        <w:spacing w:line="259" w:lineRule="auto"/>
        <w:jc w:val="both"/>
        <w:rPr>
          <w:iCs/>
        </w:rPr>
      </w:pPr>
    </w:p>
    <w:p w14:paraId="3689D383" w14:textId="712D469F" w:rsidR="003450DA" w:rsidRPr="00280104" w:rsidRDefault="003450DA" w:rsidP="003450DA">
      <w:pPr>
        <w:spacing w:line="259" w:lineRule="auto"/>
        <w:jc w:val="both"/>
        <w:rPr>
          <w:iCs/>
        </w:rPr>
      </w:pPr>
      <w:r w:rsidRPr="00280104">
        <w:rPr>
          <w:iCs/>
        </w:rPr>
        <w:t xml:space="preserve">Indicator #13 asks for the exposure in terms of geographic areas and / or the type of operation’. This replicates the problems described above, but with the added difficulty that forced labour is a very hidden issue with workers in situations of forced labour afraid to come forward, so the underlying estimates of its presence will be even more questionable than in the case of child labour. </w:t>
      </w:r>
    </w:p>
    <w:p w14:paraId="7D23E601" w14:textId="70FB2D35" w:rsidR="003450DA" w:rsidRPr="00280104" w:rsidRDefault="003450DA" w:rsidP="003450DA">
      <w:pPr>
        <w:spacing w:line="259" w:lineRule="auto"/>
        <w:jc w:val="both"/>
        <w:rPr>
          <w:iCs/>
        </w:rPr>
      </w:pPr>
      <w:r w:rsidRPr="00280104">
        <w:rPr>
          <w:iCs/>
          <w:color w:val="333333"/>
        </w:rPr>
        <w:t xml:space="preserve">Both #12 and #13 would make sense if they were an integral part of a larger indicator that would comprehensively map the step-by-step (or element-by-element) implementation of sustainability due diligence with respect to child and forced labour, as well as other human rights issues. However, the structure of the RTS does not provide for such an arrangement. In isolation, these indicators do not make sense and lead to unreliable, </w:t>
      </w:r>
      <w:proofErr w:type="gramStart"/>
      <w:r w:rsidRPr="00280104">
        <w:rPr>
          <w:iCs/>
          <w:color w:val="333333"/>
        </w:rPr>
        <w:t>confusing</w:t>
      </w:r>
      <w:proofErr w:type="gramEnd"/>
      <w:r w:rsidRPr="00280104">
        <w:rPr>
          <w:iCs/>
          <w:color w:val="333333"/>
        </w:rPr>
        <w:t xml:space="preserve"> or downright misleading information.</w:t>
      </w:r>
    </w:p>
    <w:p w14:paraId="653BA654" w14:textId="77777777" w:rsidR="003450DA" w:rsidRPr="00280104" w:rsidRDefault="003450DA" w:rsidP="003450DA">
      <w:pPr>
        <w:numPr>
          <w:ilvl w:val="0"/>
          <w:numId w:val="50"/>
        </w:numPr>
        <w:spacing w:after="0" w:line="259" w:lineRule="auto"/>
        <w:jc w:val="both"/>
        <w:rPr>
          <w:iCs/>
        </w:rPr>
      </w:pPr>
      <w:r w:rsidRPr="00280104">
        <w:rPr>
          <w:iCs/>
          <w:color w:val="333333"/>
          <w:highlight w:val="white"/>
        </w:rPr>
        <w:t xml:space="preserve"> </w:t>
      </w:r>
      <w:r w:rsidRPr="00280104">
        <w:rPr>
          <w:iCs/>
        </w:rPr>
        <w:t xml:space="preserve">Indicator #14, </w:t>
      </w:r>
      <w:r w:rsidRPr="00280104">
        <w:rPr>
          <w:iCs/>
          <w:color w:val="333333"/>
          <w:highlight w:val="white"/>
        </w:rPr>
        <w:t>Number of identified cases of severe human rights issues and incidents</w:t>
      </w:r>
    </w:p>
    <w:p w14:paraId="3C68C8FF" w14:textId="77777777" w:rsidR="003450DA" w:rsidRPr="00280104" w:rsidRDefault="003450DA" w:rsidP="003450DA">
      <w:pPr>
        <w:spacing w:line="259" w:lineRule="auto"/>
        <w:jc w:val="both"/>
        <w:rPr>
          <w:iCs/>
          <w:color w:val="333333"/>
          <w:highlight w:val="white"/>
        </w:rPr>
      </w:pPr>
    </w:p>
    <w:p w14:paraId="108EEDCD" w14:textId="2117602A" w:rsidR="003450DA" w:rsidRPr="00280104" w:rsidRDefault="003450DA" w:rsidP="00471FAC">
      <w:pPr>
        <w:spacing w:line="259" w:lineRule="auto"/>
        <w:jc w:val="both"/>
        <w:rPr>
          <w:iCs/>
        </w:rPr>
      </w:pPr>
      <w:r w:rsidRPr="00280104">
        <w:rPr>
          <w:iCs/>
          <w:color w:val="333333"/>
          <w:highlight w:val="white"/>
        </w:rPr>
        <w:t>This KPI suffers from the same methodological problems as KPI #7 in Table 3</w:t>
      </w:r>
    </w:p>
    <w:p w14:paraId="5BA9E4C1" w14:textId="77777777" w:rsidR="00280104" w:rsidRDefault="003450DA" w:rsidP="00280104">
      <w:pPr>
        <w:spacing w:line="259" w:lineRule="auto"/>
        <w:jc w:val="both"/>
        <w:rPr>
          <w:iCs/>
          <w:color w:val="333333"/>
        </w:rPr>
      </w:pPr>
      <w:r w:rsidRPr="00280104">
        <w:rPr>
          <w:iCs/>
        </w:rPr>
        <w:t xml:space="preserve">The KPI faces the basic problem that there is no definition of what constitutes a ‘severe human rights issue or incident’. It lumps together situations where an issue arises and is quickly and appropriately remedied and lessons learned, with situations where it is </w:t>
      </w:r>
      <w:proofErr w:type="gramStart"/>
      <w:r w:rsidRPr="00280104">
        <w:rPr>
          <w:iCs/>
        </w:rPr>
        <w:t>ignored</w:t>
      </w:r>
      <w:proofErr w:type="gramEnd"/>
      <w:r w:rsidRPr="00280104">
        <w:rPr>
          <w:iCs/>
        </w:rPr>
        <w:t xml:space="preserve"> and a company continues to either cause or accept the causes concerned. Markets specifically need to be able to differentiate these situations and reward the former while taking action to address the latter through engagement or investment decisions. </w:t>
      </w:r>
    </w:p>
    <w:p w14:paraId="454AB350" w14:textId="169B376C" w:rsidR="009C41BB" w:rsidRPr="00280104" w:rsidRDefault="009C41BB" w:rsidP="00280104">
      <w:pPr>
        <w:spacing w:line="259" w:lineRule="auto"/>
        <w:jc w:val="both"/>
        <w:rPr>
          <w:iCs/>
          <w:color w:val="333333"/>
          <w:highlight w:val="white"/>
        </w:rPr>
      </w:pPr>
      <w:r>
        <w:lastRenderedPageBreak/>
        <w:t>&lt;ESMA_QUESTION_SFDR_5&gt;</w:t>
      </w:r>
    </w:p>
    <w:p w14:paraId="5DCDD44F" w14:textId="77777777" w:rsidR="009C41BB" w:rsidRDefault="009C41BB" w:rsidP="009C41BB"/>
    <w:p w14:paraId="3C56C925" w14:textId="77777777" w:rsidR="009C41BB" w:rsidRDefault="009C41BB" w:rsidP="009C41BB">
      <w:pPr>
        <w:pStyle w:val="Questionstyle"/>
        <w:numPr>
          <w:ilvl w:val="0"/>
          <w:numId w:val="42"/>
        </w:numPr>
      </w:pPr>
      <w:bookmarkStart w:id="5" w:name="_Hlk131609834"/>
      <w:r>
        <w:t xml:space="preserve">: For real estate assets, do you </w:t>
      </w:r>
      <w:proofErr w:type="gramStart"/>
      <w:r>
        <w:t>consider</w:t>
      </w:r>
      <w:proofErr w:type="gramEnd"/>
      <w:r>
        <w:t xml:space="preserve"> relevant to apply any PAI indicator related to social matters to the entity in charge of the management of the real estate assets the FMP invested in?</w:t>
      </w:r>
    </w:p>
    <w:bookmarkEnd w:id="5"/>
    <w:p w14:paraId="686F603D" w14:textId="77777777" w:rsidR="009C41BB" w:rsidRDefault="009C41BB" w:rsidP="009C41BB">
      <w:r>
        <w:t>&lt;ESMA_QUESTION_SFDR_6&gt;</w:t>
      </w:r>
    </w:p>
    <w:p w14:paraId="7FDF2B43" w14:textId="2FFF056A" w:rsidR="003450DA" w:rsidRPr="00D206A4" w:rsidRDefault="003450DA" w:rsidP="003450DA">
      <w:pPr>
        <w:widowControl w:val="0"/>
        <w:pBdr>
          <w:top w:val="nil"/>
          <w:left w:val="nil"/>
          <w:bottom w:val="nil"/>
          <w:right w:val="nil"/>
          <w:between w:val="nil"/>
        </w:pBdr>
        <w:spacing w:line="240" w:lineRule="auto"/>
        <w:jc w:val="both"/>
        <w:rPr>
          <w:iCs/>
        </w:rPr>
      </w:pPr>
      <w:r w:rsidRPr="00D206A4">
        <w:rPr>
          <w:iCs/>
        </w:rPr>
        <w:t>We would recommend adding a following social KPI, which implements and specifies the related human rights and sustainability KPIs for investment in investee companies in the real estate context:</w:t>
      </w:r>
    </w:p>
    <w:p w14:paraId="1365B8F8" w14:textId="77777777" w:rsidR="00D206A4" w:rsidRDefault="003450DA" w:rsidP="003450DA">
      <w:pPr>
        <w:widowControl w:val="0"/>
        <w:numPr>
          <w:ilvl w:val="0"/>
          <w:numId w:val="52"/>
        </w:numPr>
        <w:pBdr>
          <w:top w:val="nil"/>
          <w:left w:val="nil"/>
          <w:bottom w:val="nil"/>
          <w:right w:val="nil"/>
          <w:between w:val="nil"/>
        </w:pBdr>
        <w:spacing w:after="0" w:line="240" w:lineRule="auto"/>
        <w:jc w:val="both"/>
        <w:rPr>
          <w:iCs/>
        </w:rPr>
      </w:pPr>
      <w:r w:rsidRPr="00D206A4">
        <w:rPr>
          <w:b/>
          <w:iCs/>
        </w:rPr>
        <w:t>KPI:</w:t>
      </w:r>
      <w:r w:rsidRPr="00D206A4">
        <w:rPr>
          <w:iCs/>
        </w:rPr>
        <w:t xml:space="preserve"> Sustainability due diligence process for impacts on workers in the value chain</w:t>
      </w:r>
    </w:p>
    <w:p w14:paraId="3FA24E8D" w14:textId="4CA28F71" w:rsidR="003450DA" w:rsidRDefault="003450DA" w:rsidP="003450DA">
      <w:pPr>
        <w:widowControl w:val="0"/>
        <w:numPr>
          <w:ilvl w:val="0"/>
          <w:numId w:val="52"/>
        </w:numPr>
        <w:pBdr>
          <w:top w:val="nil"/>
          <w:left w:val="nil"/>
          <w:bottom w:val="nil"/>
          <w:right w:val="nil"/>
          <w:between w:val="nil"/>
        </w:pBdr>
        <w:spacing w:after="0" w:line="240" w:lineRule="auto"/>
        <w:jc w:val="both"/>
        <w:rPr>
          <w:iCs/>
        </w:rPr>
      </w:pPr>
      <w:r w:rsidRPr="00D206A4">
        <w:rPr>
          <w:b/>
          <w:iCs/>
        </w:rPr>
        <w:t>Metric:</w:t>
      </w:r>
      <w:r w:rsidRPr="00D206A4">
        <w:rPr>
          <w:iCs/>
        </w:rPr>
        <w:t xml:space="preserve"> Due diligence process implemented to identify, </w:t>
      </w:r>
      <w:proofErr w:type="gramStart"/>
      <w:r w:rsidRPr="00D206A4">
        <w:rPr>
          <w:iCs/>
        </w:rPr>
        <w:t>assess</w:t>
      </w:r>
      <w:proofErr w:type="gramEnd"/>
      <w:r w:rsidRPr="00D206A4">
        <w:rPr>
          <w:iCs/>
        </w:rPr>
        <w:t xml:space="preserve"> and address potential and actual impacts on workers involved in constructions and facility management services, including with regard to operational health and safety and the payment of adequate wages, and equal labour rights protections for non-employee workers, temporary workers and workers with non-guaranteed hours.</w:t>
      </w:r>
    </w:p>
    <w:p w14:paraId="02CE4528" w14:textId="77777777" w:rsidR="00D206A4" w:rsidRPr="00D206A4" w:rsidRDefault="00D206A4" w:rsidP="00D206A4">
      <w:pPr>
        <w:widowControl w:val="0"/>
        <w:pBdr>
          <w:top w:val="nil"/>
          <w:left w:val="nil"/>
          <w:bottom w:val="nil"/>
          <w:right w:val="nil"/>
          <w:between w:val="nil"/>
        </w:pBdr>
        <w:spacing w:after="0" w:line="240" w:lineRule="auto"/>
        <w:ind w:left="720"/>
        <w:jc w:val="both"/>
        <w:rPr>
          <w:iCs/>
        </w:rPr>
      </w:pPr>
    </w:p>
    <w:p w14:paraId="11A2BA0F" w14:textId="608DEBF7" w:rsidR="009C41BB" w:rsidRDefault="009C41BB" w:rsidP="009C41BB">
      <w:r>
        <w:t>&lt;ESMA_QUESTION_SFDR_6&gt;</w:t>
      </w:r>
    </w:p>
    <w:p w14:paraId="2AC893D6" w14:textId="77777777" w:rsidR="009C41BB" w:rsidRDefault="009C41BB" w:rsidP="009C41BB"/>
    <w:p w14:paraId="6BDC5008" w14:textId="77777777" w:rsidR="009C41BB" w:rsidRDefault="009C41BB" w:rsidP="009C41BB">
      <w:pPr>
        <w:pStyle w:val="Questionstyle"/>
        <w:numPr>
          <w:ilvl w:val="0"/>
          <w:numId w:val="42"/>
        </w:numPr>
      </w:pPr>
      <w:bookmarkStart w:id="6" w:name="_Hlk131609836"/>
      <w:r>
        <w:t xml:space="preserve">: For real estate assets, do you see any merit in adjusting the definition of PAI indicator 22 of Table 1 </w:t>
      </w:r>
      <w:proofErr w:type="gramStart"/>
      <w:r>
        <w:t>in order to</w:t>
      </w:r>
      <w:proofErr w:type="gramEnd"/>
      <w:r>
        <w:t xml:space="preserve"> align it with the EU Taxonomy criteria applicable to the DNSH of the climate change mitigation objective under the climate change adaptation objective?</w:t>
      </w:r>
    </w:p>
    <w:bookmarkEnd w:id="6"/>
    <w:p w14:paraId="7DF73432" w14:textId="77777777" w:rsidR="009C41BB" w:rsidRDefault="009C41BB" w:rsidP="009C41BB">
      <w:r>
        <w:t>&lt;ESMA_QUESTION_SFDR_7&gt;</w:t>
      </w:r>
    </w:p>
    <w:p w14:paraId="7870D4FA" w14:textId="73EA4846" w:rsidR="003450DA" w:rsidRPr="00D206A4" w:rsidRDefault="003450DA" w:rsidP="003450DA">
      <w:pPr>
        <w:widowControl w:val="0"/>
        <w:spacing w:line="240" w:lineRule="auto"/>
        <w:jc w:val="both"/>
        <w:rPr>
          <w:iCs/>
        </w:rPr>
      </w:pPr>
      <w:r w:rsidRPr="00D206A4">
        <w:rPr>
          <w:iCs/>
        </w:rPr>
        <w:t xml:space="preserve">We welcome the definition of inefficient real estate assets with an EPC below C in line with the EU Taxonomy Regulation for two </w:t>
      </w:r>
      <w:proofErr w:type="gramStart"/>
      <w:r w:rsidRPr="00D206A4">
        <w:rPr>
          <w:iCs/>
        </w:rPr>
        <w:t>reasons :</w:t>
      </w:r>
      <w:proofErr w:type="gramEnd"/>
      <w:r w:rsidRPr="00D206A4">
        <w:rPr>
          <w:iCs/>
        </w:rPr>
        <w:t xml:space="preserve"> </w:t>
      </w:r>
    </w:p>
    <w:p w14:paraId="025B500A" w14:textId="0BC57A16" w:rsidR="003450DA" w:rsidRPr="00D206A4" w:rsidRDefault="003450DA" w:rsidP="003450DA">
      <w:pPr>
        <w:widowControl w:val="0"/>
        <w:numPr>
          <w:ilvl w:val="0"/>
          <w:numId w:val="55"/>
        </w:numPr>
        <w:spacing w:after="0" w:line="240" w:lineRule="auto"/>
        <w:jc w:val="both"/>
        <w:rPr>
          <w:iCs/>
        </w:rPr>
      </w:pPr>
      <w:r w:rsidRPr="00D206A4">
        <w:rPr>
          <w:iCs/>
        </w:rPr>
        <w:t xml:space="preserve">It improves consistency between SFDR and the EU Taxonomy DNSH criteria, which strengthens the overall consistency and effectiveness of the EU sustainable finance policy </w:t>
      </w:r>
      <w:proofErr w:type="gramStart"/>
      <w:r w:rsidRPr="00D206A4">
        <w:rPr>
          <w:iCs/>
        </w:rPr>
        <w:t>framework, and</w:t>
      </w:r>
      <w:proofErr w:type="gramEnd"/>
      <w:r w:rsidRPr="00D206A4">
        <w:rPr>
          <w:iCs/>
        </w:rPr>
        <w:t xml:space="preserve"> reduces confusion and inconsistency. </w:t>
      </w:r>
    </w:p>
    <w:p w14:paraId="623A13FC" w14:textId="77777777" w:rsidR="003450DA" w:rsidRPr="00D206A4" w:rsidRDefault="003450DA" w:rsidP="003450DA">
      <w:pPr>
        <w:widowControl w:val="0"/>
        <w:spacing w:after="0" w:line="240" w:lineRule="auto"/>
        <w:ind w:left="720"/>
        <w:jc w:val="both"/>
        <w:rPr>
          <w:iCs/>
        </w:rPr>
      </w:pPr>
    </w:p>
    <w:p w14:paraId="7C571452" w14:textId="0EAD7240" w:rsidR="003450DA" w:rsidRPr="00D206A4" w:rsidRDefault="003450DA" w:rsidP="003450DA">
      <w:pPr>
        <w:widowControl w:val="0"/>
        <w:numPr>
          <w:ilvl w:val="0"/>
          <w:numId w:val="55"/>
        </w:numPr>
        <w:spacing w:after="0" w:line="240" w:lineRule="auto"/>
        <w:jc w:val="both"/>
        <w:rPr>
          <w:iCs/>
        </w:rPr>
      </w:pPr>
      <w:r w:rsidRPr="00D206A4">
        <w:rPr>
          <w:iCs/>
        </w:rPr>
        <w:t>There is merit to align with the EU Taxonomy DNSH criteria because the EU Taxonomy is the most granular legislation to define DNSH (given its focus at economic activity level</w:t>
      </w:r>
      <w:proofErr w:type="gramStart"/>
      <w:r w:rsidRPr="00D206A4">
        <w:rPr>
          <w:iCs/>
        </w:rPr>
        <w:t>), and</w:t>
      </w:r>
      <w:proofErr w:type="gramEnd"/>
      <w:r w:rsidRPr="00D206A4">
        <w:rPr>
          <w:iCs/>
        </w:rPr>
        <w:t xml:space="preserve"> was conceived as a building block to define environmental criteria in the EU sustainable finance policy framework. It is therefore very important and logical to refer to it wherever feasible.</w:t>
      </w:r>
    </w:p>
    <w:p w14:paraId="6495BE38" w14:textId="77777777" w:rsidR="00471FAC" w:rsidRPr="00D206A4" w:rsidRDefault="00471FAC" w:rsidP="00471FAC">
      <w:pPr>
        <w:widowControl w:val="0"/>
        <w:spacing w:after="0" w:line="240" w:lineRule="auto"/>
        <w:jc w:val="both"/>
        <w:rPr>
          <w:iCs/>
        </w:rPr>
      </w:pPr>
    </w:p>
    <w:p w14:paraId="08EACF91" w14:textId="691D8BBA" w:rsidR="003450DA" w:rsidRPr="00D206A4" w:rsidRDefault="003450DA" w:rsidP="003450DA">
      <w:pPr>
        <w:widowControl w:val="0"/>
        <w:spacing w:line="240" w:lineRule="auto"/>
        <w:jc w:val="both"/>
        <w:rPr>
          <w:iCs/>
        </w:rPr>
      </w:pPr>
      <w:r w:rsidRPr="00D206A4">
        <w:rPr>
          <w:iCs/>
        </w:rPr>
        <w:t xml:space="preserve">However, we would like to stress the need to review the DNSH criteria for real estate to </w:t>
      </w:r>
      <w:proofErr w:type="gramStart"/>
      <w:r w:rsidRPr="00D206A4">
        <w:rPr>
          <w:iCs/>
        </w:rPr>
        <w:t>take into account</w:t>
      </w:r>
      <w:proofErr w:type="gramEnd"/>
      <w:r w:rsidRPr="00D206A4">
        <w:rPr>
          <w:iCs/>
        </w:rPr>
        <w:t xml:space="preserve"> the recent adoption of the revised EPBD to ensure that building renovations are also covered beyond the construction of new energy efficient buildings. </w:t>
      </w:r>
    </w:p>
    <w:p w14:paraId="5E51CFC3" w14:textId="2D864EF7" w:rsidR="003450DA" w:rsidRPr="00D206A4" w:rsidRDefault="003450DA" w:rsidP="003450DA">
      <w:pPr>
        <w:widowControl w:val="0"/>
        <w:spacing w:line="240" w:lineRule="auto"/>
        <w:jc w:val="both"/>
        <w:rPr>
          <w:iCs/>
        </w:rPr>
      </w:pPr>
      <w:r w:rsidRPr="00D206A4">
        <w:rPr>
          <w:iCs/>
        </w:rPr>
        <w:t xml:space="preserve">In addition to the changes suggested in the consultation, we would also suggest clarifying the PAI on inefficient real estate by changing the “EPC of C or below” to “EPC of C or better” or “EPC of C or lower primary energy demand. </w:t>
      </w:r>
    </w:p>
    <w:p w14:paraId="1F773B60" w14:textId="14901EE4" w:rsidR="003450DA" w:rsidRPr="00D206A4" w:rsidRDefault="003450DA" w:rsidP="003450DA">
      <w:pPr>
        <w:widowControl w:val="0"/>
        <w:spacing w:line="240" w:lineRule="auto"/>
        <w:jc w:val="both"/>
        <w:rPr>
          <w:iCs/>
        </w:rPr>
      </w:pPr>
      <w:r w:rsidRPr="00D206A4">
        <w:rPr>
          <w:iCs/>
        </w:rPr>
        <w:lastRenderedPageBreak/>
        <w:t xml:space="preserve">The current formulation is confusing as EPC of C or below has been misinterpreted in practice by meaning EPC C, D, E, F, which doesn’t make sense, as these assets are meant to be added with newer assets with PE demand below </w:t>
      </w:r>
      <w:proofErr w:type="gramStart"/>
      <w:r w:rsidRPr="00D206A4">
        <w:rPr>
          <w:iCs/>
        </w:rPr>
        <w:t>NZEB .</w:t>
      </w:r>
      <w:proofErr w:type="gramEnd"/>
    </w:p>
    <w:p w14:paraId="3930C191" w14:textId="77FDDD67" w:rsidR="003450DA" w:rsidRPr="00D206A4" w:rsidRDefault="003450DA" w:rsidP="003450DA">
      <w:pPr>
        <w:widowControl w:val="0"/>
        <w:spacing w:line="240" w:lineRule="auto"/>
        <w:jc w:val="both"/>
        <w:rPr>
          <w:iCs/>
        </w:rPr>
      </w:pPr>
      <w:r w:rsidRPr="00D206A4">
        <w:rPr>
          <w:iCs/>
        </w:rPr>
        <w:t xml:space="preserve">This confusion was caused by the fact that the formula for calculating inefficient assets </w:t>
      </w:r>
      <w:proofErr w:type="gramStart"/>
      <w:r w:rsidRPr="00D206A4">
        <w:rPr>
          <w:iCs/>
        </w:rPr>
        <w:t>actually gives</w:t>
      </w:r>
      <w:proofErr w:type="gramEnd"/>
      <w:r w:rsidRPr="00D206A4">
        <w:rPr>
          <w:iCs/>
        </w:rPr>
        <w:t xml:space="preserve"> a result of the share of energy </w:t>
      </w:r>
      <w:r w:rsidRPr="00D206A4">
        <w:rPr>
          <w:b/>
          <w:iCs/>
        </w:rPr>
        <w:t xml:space="preserve">efficient </w:t>
      </w:r>
      <w:r w:rsidRPr="00D206A4">
        <w:rPr>
          <w:iCs/>
        </w:rPr>
        <w:t>assets, rather than inefficient.</w:t>
      </w:r>
    </w:p>
    <w:p w14:paraId="7C5BD2E8" w14:textId="6123AAAF" w:rsidR="003450DA" w:rsidRPr="00D206A4" w:rsidRDefault="003450DA" w:rsidP="003450DA">
      <w:pPr>
        <w:widowControl w:val="0"/>
        <w:spacing w:line="240" w:lineRule="auto"/>
        <w:jc w:val="both"/>
        <w:rPr>
          <w:iCs/>
        </w:rPr>
      </w:pPr>
      <w:r w:rsidRPr="00D206A4">
        <w:rPr>
          <w:iCs/>
        </w:rPr>
        <w:t>It would be very helpful if this is clearly explained in the RTS.</w:t>
      </w:r>
    </w:p>
    <w:p w14:paraId="2FD01011" w14:textId="3057D590" w:rsidR="003450DA" w:rsidRPr="00D206A4" w:rsidRDefault="003450DA" w:rsidP="003450DA">
      <w:pPr>
        <w:widowControl w:val="0"/>
        <w:spacing w:line="240" w:lineRule="auto"/>
        <w:jc w:val="both"/>
        <w:rPr>
          <w:iCs/>
        </w:rPr>
      </w:pPr>
      <w:r w:rsidRPr="00D206A4">
        <w:rPr>
          <w:iCs/>
        </w:rPr>
        <w:t xml:space="preserve">It would be also very helpful if RTS would clearly indicate whether investors investing in real estate by means of full ownership of SPV who own and manage the real estates need to report only on KPIs for real estate, or as well on KPIs for investee companies. In other words, are such SPVs considered part of the FMP, or an investee company? We believe, a more sensible interpretation is to require reporting only on real estate </w:t>
      </w:r>
      <w:proofErr w:type="gramStart"/>
      <w:r w:rsidRPr="00D206A4">
        <w:rPr>
          <w:iCs/>
        </w:rPr>
        <w:t>KPIs, and</w:t>
      </w:r>
      <w:proofErr w:type="gramEnd"/>
      <w:r w:rsidRPr="00D206A4">
        <w:rPr>
          <w:iCs/>
        </w:rPr>
        <w:t xml:space="preserve"> expand these KPIs to cover some missing aspects which are relevant in real estate context. </w:t>
      </w:r>
    </w:p>
    <w:p w14:paraId="4D553BE0" w14:textId="34A8D4EC" w:rsidR="003450DA" w:rsidRPr="00D206A4" w:rsidRDefault="003450DA" w:rsidP="003450DA">
      <w:pPr>
        <w:widowControl w:val="0"/>
        <w:spacing w:line="240" w:lineRule="auto"/>
        <w:jc w:val="both"/>
        <w:rPr>
          <w:b/>
          <w:iCs/>
        </w:rPr>
      </w:pPr>
      <w:r w:rsidRPr="00D206A4">
        <w:rPr>
          <w:b/>
          <w:iCs/>
        </w:rPr>
        <w:t xml:space="preserve">In this regard we suggest </w:t>
      </w:r>
      <w:proofErr w:type="gramStart"/>
      <w:r w:rsidRPr="00D206A4">
        <w:rPr>
          <w:b/>
          <w:iCs/>
        </w:rPr>
        <w:t>to add</w:t>
      </w:r>
      <w:proofErr w:type="gramEnd"/>
      <w:r w:rsidRPr="00D206A4">
        <w:rPr>
          <w:b/>
          <w:iCs/>
        </w:rPr>
        <w:t xml:space="preserve"> a following KPI for real estate assets to ensure alignment with the </w:t>
      </w:r>
      <w:proofErr w:type="spellStart"/>
      <w:r w:rsidRPr="00D206A4">
        <w:rPr>
          <w:b/>
          <w:iCs/>
        </w:rPr>
        <w:t>the</w:t>
      </w:r>
      <w:proofErr w:type="spellEnd"/>
      <w:r w:rsidRPr="00D206A4">
        <w:rPr>
          <w:b/>
          <w:iCs/>
        </w:rPr>
        <w:t xml:space="preserve"> EPBD and other EU energy policy instruments:</w:t>
      </w:r>
    </w:p>
    <w:p w14:paraId="59E6EFDE" w14:textId="77777777" w:rsidR="003450DA" w:rsidRPr="00D206A4" w:rsidRDefault="003450DA" w:rsidP="003450DA">
      <w:pPr>
        <w:widowControl w:val="0"/>
        <w:numPr>
          <w:ilvl w:val="0"/>
          <w:numId w:val="53"/>
        </w:numPr>
        <w:spacing w:after="0" w:line="240" w:lineRule="auto"/>
        <w:jc w:val="both"/>
        <w:rPr>
          <w:iCs/>
        </w:rPr>
      </w:pPr>
      <w:r w:rsidRPr="00D206A4">
        <w:rPr>
          <w:iCs/>
        </w:rPr>
        <w:t xml:space="preserve"> % of real estate assets with Renewable Energy installations</w:t>
      </w:r>
    </w:p>
    <w:p w14:paraId="3AB70776" w14:textId="3127E583" w:rsidR="003450DA" w:rsidRDefault="003450DA" w:rsidP="003450DA">
      <w:pPr>
        <w:widowControl w:val="0"/>
        <w:numPr>
          <w:ilvl w:val="0"/>
          <w:numId w:val="53"/>
        </w:numPr>
        <w:spacing w:after="0" w:line="240" w:lineRule="auto"/>
        <w:jc w:val="both"/>
        <w:rPr>
          <w:iCs/>
        </w:rPr>
      </w:pPr>
      <w:r w:rsidRPr="00D206A4">
        <w:rPr>
          <w:iCs/>
        </w:rPr>
        <w:t>% of real estate assets with EPC worse than C, that have been undergoing a renovation during the reporting period</w:t>
      </w:r>
    </w:p>
    <w:p w14:paraId="30590095" w14:textId="77777777" w:rsidR="00D206A4" w:rsidRPr="00D206A4" w:rsidRDefault="00D206A4" w:rsidP="00D206A4">
      <w:pPr>
        <w:widowControl w:val="0"/>
        <w:spacing w:after="0" w:line="240" w:lineRule="auto"/>
        <w:ind w:left="720"/>
        <w:jc w:val="both"/>
        <w:rPr>
          <w:iCs/>
        </w:rPr>
      </w:pPr>
    </w:p>
    <w:p w14:paraId="1AA60147" w14:textId="77777777" w:rsidR="003450DA" w:rsidRPr="00D206A4" w:rsidRDefault="003450DA" w:rsidP="003450DA">
      <w:pPr>
        <w:widowControl w:val="0"/>
        <w:spacing w:line="240" w:lineRule="auto"/>
        <w:jc w:val="both"/>
        <w:rPr>
          <w:iCs/>
        </w:rPr>
      </w:pPr>
      <w:r w:rsidRPr="00D206A4">
        <w:rPr>
          <w:iCs/>
        </w:rPr>
        <w:t xml:space="preserve">We would also suggest </w:t>
      </w:r>
      <w:proofErr w:type="gramStart"/>
      <w:r w:rsidRPr="00D206A4">
        <w:rPr>
          <w:iCs/>
        </w:rPr>
        <w:t>to define</w:t>
      </w:r>
      <w:proofErr w:type="gramEnd"/>
      <w:r w:rsidRPr="00D206A4">
        <w:rPr>
          <w:iCs/>
        </w:rPr>
        <w:t xml:space="preserve"> a new KPI for real estate based on the KPI for investment in investee companies regarding the biodiversity sensitive areas and land degradation </w:t>
      </w:r>
    </w:p>
    <w:p w14:paraId="6D8BB83D" w14:textId="77777777" w:rsidR="003450DA" w:rsidRPr="00D206A4" w:rsidRDefault="003450DA" w:rsidP="003450DA">
      <w:pPr>
        <w:widowControl w:val="0"/>
        <w:numPr>
          <w:ilvl w:val="0"/>
          <w:numId w:val="56"/>
        </w:numPr>
        <w:spacing w:after="0" w:line="240" w:lineRule="auto"/>
        <w:jc w:val="both"/>
        <w:rPr>
          <w:iCs/>
        </w:rPr>
      </w:pPr>
      <w:r w:rsidRPr="00D206A4">
        <w:rPr>
          <w:iCs/>
        </w:rPr>
        <w:t>% of real estate assets located in/near biodiversity sensitive areas</w:t>
      </w:r>
    </w:p>
    <w:p w14:paraId="29AAF455" w14:textId="43BF256A" w:rsidR="003450DA" w:rsidRPr="00D206A4" w:rsidRDefault="003450DA" w:rsidP="003450DA">
      <w:pPr>
        <w:widowControl w:val="0"/>
        <w:numPr>
          <w:ilvl w:val="0"/>
          <w:numId w:val="56"/>
        </w:numPr>
        <w:spacing w:after="0" w:line="240" w:lineRule="auto"/>
        <w:jc w:val="both"/>
        <w:rPr>
          <w:iCs/>
        </w:rPr>
      </w:pPr>
      <w:r w:rsidRPr="00D206A4">
        <w:rPr>
          <w:iCs/>
        </w:rPr>
        <w:t xml:space="preserve">Area of land that has been converted by the development of real estate </w:t>
      </w:r>
      <w:proofErr w:type="gramStart"/>
      <w:r w:rsidRPr="00D206A4">
        <w:rPr>
          <w:iCs/>
        </w:rPr>
        <w:t>assets</w:t>
      </w:r>
      <w:proofErr w:type="gramEnd"/>
      <w:r w:rsidRPr="00D206A4">
        <w:rPr>
          <w:iCs/>
        </w:rPr>
        <w:t xml:space="preserve">  </w:t>
      </w:r>
    </w:p>
    <w:p w14:paraId="2341E7AF" w14:textId="77777777" w:rsidR="00471FAC" w:rsidRPr="00D206A4" w:rsidRDefault="00471FAC" w:rsidP="00471FAC">
      <w:pPr>
        <w:widowControl w:val="0"/>
        <w:spacing w:after="0" w:line="240" w:lineRule="auto"/>
        <w:ind w:left="1440"/>
        <w:jc w:val="both"/>
        <w:rPr>
          <w:iCs/>
        </w:rPr>
      </w:pPr>
    </w:p>
    <w:p w14:paraId="1E6C2391" w14:textId="77777777" w:rsidR="003450DA" w:rsidRPr="00D206A4" w:rsidRDefault="003450DA" w:rsidP="003450DA">
      <w:pPr>
        <w:widowControl w:val="0"/>
        <w:spacing w:line="240" w:lineRule="auto"/>
        <w:jc w:val="both"/>
        <w:rPr>
          <w:iCs/>
        </w:rPr>
      </w:pPr>
      <w:r w:rsidRPr="00D206A4">
        <w:rPr>
          <w:iCs/>
        </w:rPr>
        <w:t>On the other hand, we would propose removal of the following KPI:</w:t>
      </w:r>
    </w:p>
    <w:p w14:paraId="359D3E7A" w14:textId="77777777" w:rsidR="003450DA" w:rsidRPr="00D206A4" w:rsidRDefault="003450DA" w:rsidP="003450DA">
      <w:pPr>
        <w:widowControl w:val="0"/>
        <w:numPr>
          <w:ilvl w:val="0"/>
          <w:numId w:val="54"/>
        </w:numPr>
        <w:spacing w:after="0" w:line="240" w:lineRule="auto"/>
        <w:jc w:val="both"/>
        <w:rPr>
          <w:iCs/>
        </w:rPr>
      </w:pPr>
      <w:r w:rsidRPr="00D206A4">
        <w:rPr>
          <w:iCs/>
        </w:rPr>
        <w:t xml:space="preserve">Land artificialisation </w:t>
      </w:r>
    </w:p>
    <w:p w14:paraId="6C72AF20" w14:textId="77777777" w:rsidR="003450DA" w:rsidRPr="00D206A4" w:rsidRDefault="003450DA" w:rsidP="003450DA">
      <w:pPr>
        <w:widowControl w:val="0"/>
        <w:numPr>
          <w:ilvl w:val="0"/>
          <w:numId w:val="54"/>
        </w:numPr>
        <w:spacing w:after="0" w:line="240" w:lineRule="auto"/>
        <w:jc w:val="both"/>
        <w:rPr>
          <w:iCs/>
        </w:rPr>
      </w:pPr>
      <w:r w:rsidRPr="00D206A4">
        <w:rPr>
          <w:iCs/>
        </w:rPr>
        <w:t>Waste production in operations</w:t>
      </w:r>
    </w:p>
    <w:p w14:paraId="06B5528B" w14:textId="77777777" w:rsidR="003450DA" w:rsidRPr="00D206A4" w:rsidRDefault="003450DA" w:rsidP="003450DA">
      <w:pPr>
        <w:widowControl w:val="0"/>
        <w:spacing w:line="240" w:lineRule="auto"/>
        <w:jc w:val="both"/>
        <w:rPr>
          <w:iCs/>
        </w:rPr>
      </w:pPr>
    </w:p>
    <w:p w14:paraId="40518F21" w14:textId="3261F6EC" w:rsidR="003450DA" w:rsidRPr="00D206A4" w:rsidRDefault="003450DA" w:rsidP="003450DA">
      <w:pPr>
        <w:widowControl w:val="0"/>
        <w:spacing w:line="240" w:lineRule="auto"/>
        <w:jc w:val="both"/>
        <w:rPr>
          <w:iCs/>
        </w:rPr>
      </w:pPr>
      <w:r w:rsidRPr="00D206A4">
        <w:rPr>
          <w:iCs/>
        </w:rPr>
        <w:t xml:space="preserve">Land </w:t>
      </w:r>
      <w:proofErr w:type="spellStart"/>
      <w:r w:rsidRPr="00D206A4">
        <w:rPr>
          <w:iCs/>
        </w:rPr>
        <w:t>artificilation</w:t>
      </w:r>
      <w:proofErr w:type="spellEnd"/>
      <w:r w:rsidRPr="00D206A4">
        <w:rPr>
          <w:iCs/>
        </w:rPr>
        <w:t xml:space="preserve"> KPI is calculated as “Share of non-vegetated surface area (surfaces that have not been vegetated in ground, as well as on roofs, terraces and walls) compared to the total surface area of the plots of all assets</w:t>
      </w:r>
      <w:proofErr w:type="gramStart"/>
      <w:r w:rsidRPr="00D206A4">
        <w:rPr>
          <w:iCs/>
        </w:rPr>
        <w:t>” .</w:t>
      </w:r>
      <w:proofErr w:type="gramEnd"/>
      <w:r w:rsidRPr="00D206A4">
        <w:rPr>
          <w:iCs/>
        </w:rPr>
        <w:t xml:space="preserve"> This formula strongly advantages investments in new real estate assets in countryside, which are often realised on </w:t>
      </w:r>
      <w:proofErr w:type="spellStart"/>
      <w:r w:rsidRPr="00D206A4">
        <w:rPr>
          <w:iCs/>
        </w:rPr>
        <w:t>greenfields</w:t>
      </w:r>
      <w:proofErr w:type="spellEnd"/>
      <w:r w:rsidRPr="00D206A4">
        <w:rPr>
          <w:iCs/>
        </w:rPr>
        <w:t>, over real estate assets in cities, even though the latter typically have much smaller impact on land use conversion and the actual land artificialisation.</w:t>
      </w:r>
    </w:p>
    <w:p w14:paraId="7C561D34" w14:textId="4BFD32E2" w:rsidR="003450DA" w:rsidRPr="00D206A4" w:rsidRDefault="003450DA" w:rsidP="003450DA">
      <w:pPr>
        <w:widowControl w:val="0"/>
        <w:spacing w:line="240" w:lineRule="auto"/>
        <w:jc w:val="both"/>
        <w:rPr>
          <w:iCs/>
        </w:rPr>
      </w:pPr>
      <w:r w:rsidRPr="00D206A4">
        <w:rPr>
          <w:iCs/>
        </w:rPr>
        <w:t>Waste production in operations provides data that is comparably less important to other KPIs. In practice the most significant waste production in real estate assets is generated by industrial tenets, who typically manage their waste on their own.</w:t>
      </w:r>
    </w:p>
    <w:p w14:paraId="3EBF638F" w14:textId="4B95D713" w:rsidR="003450DA" w:rsidRPr="00D206A4" w:rsidRDefault="003450DA" w:rsidP="003450DA">
      <w:pPr>
        <w:widowControl w:val="0"/>
        <w:spacing w:line="240" w:lineRule="auto"/>
        <w:jc w:val="both"/>
        <w:rPr>
          <w:iCs/>
        </w:rPr>
      </w:pPr>
      <w:r w:rsidRPr="00D206A4">
        <w:rPr>
          <w:iCs/>
        </w:rPr>
        <w:t xml:space="preserve">In the construction phase, it is of course more sensible to measure waste production. For </w:t>
      </w:r>
      <w:proofErr w:type="gramStart"/>
      <w:r w:rsidRPr="00D206A4">
        <w:rPr>
          <w:iCs/>
        </w:rPr>
        <w:t>this ,</w:t>
      </w:r>
      <w:proofErr w:type="gramEnd"/>
      <w:r w:rsidRPr="00D206A4">
        <w:rPr>
          <w:iCs/>
        </w:rPr>
        <w:t xml:space="preserve">  Taxonomy DNSH criteria provide a clear benchmark.</w:t>
      </w:r>
    </w:p>
    <w:p w14:paraId="2EAB99B1" w14:textId="0D061E27" w:rsidR="009C41BB" w:rsidRDefault="009C41BB" w:rsidP="009C41BB">
      <w:r>
        <w:t>&lt;ESMA_QUESTION_SFDR_7&gt;</w:t>
      </w:r>
    </w:p>
    <w:p w14:paraId="0833F2AC" w14:textId="77777777" w:rsidR="009C41BB" w:rsidRDefault="009C41BB" w:rsidP="009C41BB"/>
    <w:p w14:paraId="4BF15C04" w14:textId="77777777" w:rsidR="009C41BB" w:rsidRDefault="009C41BB" w:rsidP="009C41BB">
      <w:pPr>
        <w:pStyle w:val="Questionstyle"/>
        <w:numPr>
          <w:ilvl w:val="0"/>
          <w:numId w:val="42"/>
        </w:numPr>
      </w:pPr>
      <w:bookmarkStart w:id="7" w:name="_Hlk131609837"/>
      <w:r>
        <w:lastRenderedPageBreak/>
        <w:t>: Do you see any challenges in the interaction between the definition ‘enterprise value’ and ‘current value of investment’ for the calculation of the PAI indicators?</w:t>
      </w:r>
    </w:p>
    <w:bookmarkEnd w:id="7"/>
    <w:p w14:paraId="0563F3C0" w14:textId="77777777" w:rsidR="009C41BB" w:rsidRDefault="009C41BB" w:rsidP="009C41BB">
      <w:r>
        <w:t>&lt;ESMA_QUESTION_SFDR_8&gt;</w:t>
      </w:r>
    </w:p>
    <w:p w14:paraId="668ACE9C" w14:textId="77777777" w:rsidR="009C41BB" w:rsidRDefault="009C41BB" w:rsidP="009C41BB">
      <w:permStart w:id="1288714632" w:edGrp="everyone"/>
      <w:r>
        <w:t>TYPE YOUR TEXT HERE</w:t>
      </w:r>
    </w:p>
    <w:permEnd w:id="1288714632"/>
    <w:p w14:paraId="762529E9" w14:textId="77777777" w:rsidR="009C41BB" w:rsidRDefault="009C41BB" w:rsidP="009C41BB">
      <w:r>
        <w:t>&lt;ESMA_QUESTION_SFDR_8&gt;</w:t>
      </w:r>
    </w:p>
    <w:p w14:paraId="0AC5B76C" w14:textId="77777777" w:rsidR="009C41BB" w:rsidRDefault="009C41BB" w:rsidP="009C41BB"/>
    <w:p w14:paraId="5E1A73BD" w14:textId="77777777" w:rsidR="009C41BB" w:rsidRDefault="009C41BB" w:rsidP="009C41BB">
      <w:pPr>
        <w:pStyle w:val="Questionstyle"/>
        <w:numPr>
          <w:ilvl w:val="0"/>
          <w:numId w:val="42"/>
        </w:numPr>
      </w:pPr>
      <w:bookmarkStart w:id="8" w:name="_Hlk131609838"/>
      <w:r>
        <w:t xml:space="preserve">: Do you have any comments or proposed adjustments to the new formulae suggested in Annex I?  </w:t>
      </w:r>
    </w:p>
    <w:bookmarkEnd w:id="8"/>
    <w:p w14:paraId="37D6FAC5" w14:textId="77777777" w:rsidR="009C41BB" w:rsidRDefault="009C41BB" w:rsidP="009C41BB">
      <w:r>
        <w:t>&lt;ESMA_QUESTION_SFDR_9&gt;</w:t>
      </w:r>
    </w:p>
    <w:p w14:paraId="4D5F1AA0" w14:textId="77777777" w:rsidR="009C41BB" w:rsidRDefault="009C41BB" w:rsidP="009C41BB">
      <w:permStart w:id="2059607147" w:edGrp="everyone"/>
      <w:r>
        <w:t>TYPE YOUR TEXT HERE</w:t>
      </w:r>
    </w:p>
    <w:permEnd w:id="2059607147"/>
    <w:p w14:paraId="548D5BC4" w14:textId="77777777" w:rsidR="009C41BB" w:rsidRDefault="009C41BB" w:rsidP="009C41BB">
      <w:r>
        <w:t>&lt;ESMA_QUESTION_SFDR_9&gt;</w:t>
      </w:r>
    </w:p>
    <w:p w14:paraId="4E0660C5" w14:textId="77777777" w:rsidR="009C41BB" w:rsidRDefault="009C41BB" w:rsidP="009C41BB"/>
    <w:p w14:paraId="65BB34FD" w14:textId="77777777" w:rsidR="009C41BB" w:rsidRDefault="009C41BB" w:rsidP="009C41BB">
      <w:pPr>
        <w:pStyle w:val="Questionstyle"/>
        <w:numPr>
          <w:ilvl w:val="0"/>
          <w:numId w:val="42"/>
        </w:numPr>
      </w:pPr>
      <w:bookmarkStart w:id="9" w:name="_Hlk131609840"/>
      <w:r>
        <w:t xml:space="preserve">: Do you have any comments on the further clarifications or technical changes to the current list of indicators? Did you encounter any issues in the calculation of the adverse impact for any of the other existing indicators in Annex I?  </w:t>
      </w:r>
    </w:p>
    <w:bookmarkEnd w:id="9"/>
    <w:p w14:paraId="59ECBC6E" w14:textId="77777777" w:rsidR="009C41BB" w:rsidRDefault="009C41BB" w:rsidP="009C41BB">
      <w:r>
        <w:t>&lt;ESMA_QUESTION_SFDR_10&gt;</w:t>
      </w:r>
    </w:p>
    <w:p w14:paraId="6A059EBA" w14:textId="77777777" w:rsidR="009C41BB" w:rsidRDefault="009C41BB" w:rsidP="009C41BB">
      <w:permStart w:id="1591695117" w:edGrp="everyone"/>
      <w:r>
        <w:t>TYPE YOUR TEXT HERE</w:t>
      </w:r>
    </w:p>
    <w:permEnd w:id="1591695117"/>
    <w:p w14:paraId="74A72C72" w14:textId="77777777" w:rsidR="009C41BB" w:rsidRDefault="009C41BB" w:rsidP="009C41BB">
      <w:r>
        <w:t>&lt;ESMA_QUESTION_SFDR_10&gt;</w:t>
      </w:r>
    </w:p>
    <w:p w14:paraId="4C60FA50" w14:textId="77777777" w:rsidR="009C41BB" w:rsidRDefault="009C41BB" w:rsidP="009C41BB"/>
    <w:p w14:paraId="3F6FB44A" w14:textId="77777777" w:rsidR="009C41BB" w:rsidRDefault="009C41BB" w:rsidP="009C41BB">
      <w:pPr>
        <w:pStyle w:val="Questionstyle"/>
        <w:numPr>
          <w:ilvl w:val="0"/>
          <w:numId w:val="42"/>
        </w:numPr>
      </w:pPr>
      <w:bookmarkStart w:id="10" w:name="_Hlk131609841"/>
      <w:r>
        <w:t>: Do you agree with the proposal to require the disclosure of the share of information for the PAI indicators for which the financial market participant relies on information directly from investee companies?</w:t>
      </w:r>
    </w:p>
    <w:bookmarkEnd w:id="10"/>
    <w:p w14:paraId="3B6463EF" w14:textId="77777777" w:rsidR="009C41BB" w:rsidRDefault="009C41BB" w:rsidP="009C41BB">
      <w:r>
        <w:t>&lt;ESMA_QUESTION_SFDR_11&gt;</w:t>
      </w:r>
    </w:p>
    <w:p w14:paraId="6DEAE761" w14:textId="77777777" w:rsidR="00A64C5A" w:rsidRPr="006B7138" w:rsidRDefault="00A64C5A" w:rsidP="009C41BB">
      <w:pPr>
        <w:rPr>
          <w:iCs/>
        </w:rPr>
      </w:pPr>
      <w:r w:rsidRPr="006B7138">
        <w:rPr>
          <w:iCs/>
        </w:rPr>
        <w:t xml:space="preserve">We agree with this proposal as it will provide more clarity and transparency on where the reported information comes from. On top of that, disclosing the share of PAI information estimated would be also useful as many investors rely on third-party providers to get this information. </w:t>
      </w:r>
    </w:p>
    <w:p w14:paraId="4F049EEF" w14:textId="569003B4" w:rsidR="009C41BB" w:rsidRDefault="009C41BB" w:rsidP="009C41BB">
      <w:r>
        <w:t>&lt;ESMA_QUESTION_SFDR_11&gt;</w:t>
      </w:r>
    </w:p>
    <w:p w14:paraId="7F52045F" w14:textId="77777777" w:rsidR="009C41BB" w:rsidRDefault="009C41BB" w:rsidP="009C41BB"/>
    <w:p w14:paraId="087EB0A5" w14:textId="77777777" w:rsidR="009C41BB" w:rsidRDefault="009C41BB" w:rsidP="009C41BB">
      <w:pPr>
        <w:pStyle w:val="Questionstyle"/>
        <w:numPr>
          <w:ilvl w:val="0"/>
          <w:numId w:val="42"/>
        </w:numPr>
      </w:pPr>
      <w:r>
        <w:lastRenderedPageBreak/>
        <w:t>: What is your view on the approach taken in this consultation paper to define ‘all investments’? What are the advantages and drawbacks you identify? Would a change in the approach adopted for the treatment of ‘all investments’ be necessary in your view?</w:t>
      </w:r>
    </w:p>
    <w:p w14:paraId="7F4B4E6E" w14:textId="77777777" w:rsidR="009C41BB" w:rsidRDefault="009C41BB" w:rsidP="009C41BB">
      <w:r>
        <w:t>&lt;ESMA_QUESTION_SFDR_12&gt;</w:t>
      </w:r>
    </w:p>
    <w:p w14:paraId="070CBD69" w14:textId="77777777" w:rsidR="009C41BB" w:rsidRDefault="009C41BB" w:rsidP="009C41BB">
      <w:permStart w:id="684359195" w:edGrp="everyone"/>
      <w:r>
        <w:t>TYPE YOUR TEXT HERE</w:t>
      </w:r>
    </w:p>
    <w:permEnd w:id="684359195"/>
    <w:p w14:paraId="0ECB2AE8" w14:textId="77777777" w:rsidR="009C41BB" w:rsidRDefault="009C41BB" w:rsidP="009C41BB">
      <w:r>
        <w:t>&lt;ESMA_QUESTION_SFDR_12&gt;</w:t>
      </w:r>
    </w:p>
    <w:p w14:paraId="2339BDE1" w14:textId="77777777" w:rsidR="009C41BB" w:rsidRDefault="009C41BB" w:rsidP="009C41BB"/>
    <w:p w14:paraId="79363208" w14:textId="77777777" w:rsidR="009C41BB" w:rsidRDefault="009C41BB" w:rsidP="009C41BB">
      <w:pPr>
        <w:pStyle w:val="Questionstyle"/>
        <w:numPr>
          <w:ilvl w:val="0"/>
          <w:numId w:val="42"/>
        </w:numPr>
      </w:pPr>
      <w:r>
        <w:t>: Do you agree with the ESAs’ proposal to only require the inclusion of information on investee companies’ value chains in the PAI calculations where the investee company reports them? If not, what would you propose as an alternative?</w:t>
      </w:r>
    </w:p>
    <w:p w14:paraId="2F2A602F" w14:textId="77777777" w:rsidR="009C41BB" w:rsidRDefault="009C41BB" w:rsidP="009C41BB">
      <w:r>
        <w:t>&lt;ESMA_QUESTION_SFDR_13&gt;</w:t>
      </w:r>
    </w:p>
    <w:p w14:paraId="3A22BF37" w14:textId="7807346E" w:rsidR="00A64C5A" w:rsidRPr="006B7138" w:rsidRDefault="00A64C5A" w:rsidP="00A64C5A">
      <w:pPr>
        <w:jc w:val="both"/>
        <w:rPr>
          <w:iCs/>
        </w:rPr>
      </w:pPr>
      <w:r w:rsidRPr="006B7138">
        <w:rPr>
          <w:iCs/>
        </w:rPr>
        <w:t>The question of inclusion of value chain’s adverse impacts in the PAI calculations should be addressed at the level of individual PAI. We strongly advise against formulating a one-size-fits-all rule.</w:t>
      </w:r>
    </w:p>
    <w:p w14:paraId="35A65224" w14:textId="47735D3E" w:rsidR="00A64C5A" w:rsidRPr="006B7138" w:rsidRDefault="00A64C5A" w:rsidP="00A64C5A">
      <w:pPr>
        <w:jc w:val="both"/>
        <w:rPr>
          <w:iCs/>
        </w:rPr>
      </w:pPr>
      <w:r w:rsidRPr="006B7138">
        <w:rPr>
          <w:iCs/>
        </w:rPr>
        <w:t xml:space="preserve">Each PAI should clearly indicate whether the value chain is meant to be included or not, and how. This is because the nature of the value chain information required may differ from KPI to KPI. </w:t>
      </w:r>
    </w:p>
    <w:p w14:paraId="375F12A5" w14:textId="33279C04" w:rsidR="00A64C5A" w:rsidRPr="006B7138" w:rsidRDefault="00A64C5A" w:rsidP="00A64C5A">
      <w:pPr>
        <w:jc w:val="both"/>
        <w:rPr>
          <w:iCs/>
        </w:rPr>
      </w:pPr>
      <w:r w:rsidRPr="006B7138">
        <w:rPr>
          <w:iCs/>
        </w:rPr>
        <w:t xml:space="preserve">For example, KPI on Scope 3 GHG emissions requires quantitative data regarding emissions across the entire value chain. It is not meaningful to require such estimations for the entire value chain regarding, for example, air pollution. However, full information on air pollution generated joint ventures and other entities over which the investee companies </w:t>
      </w:r>
      <w:proofErr w:type="gramStart"/>
      <w:r w:rsidRPr="006B7138">
        <w:rPr>
          <w:iCs/>
        </w:rPr>
        <w:t>has</w:t>
      </w:r>
      <w:proofErr w:type="gramEnd"/>
      <w:r w:rsidRPr="006B7138">
        <w:rPr>
          <w:iCs/>
        </w:rPr>
        <w:t xml:space="preserve"> sufficient control or influence are relevant.</w:t>
      </w:r>
    </w:p>
    <w:p w14:paraId="20BB140D" w14:textId="11991DB9" w:rsidR="00A64C5A" w:rsidRPr="006B7138" w:rsidRDefault="00A64C5A" w:rsidP="00A64C5A">
      <w:pPr>
        <w:jc w:val="both"/>
        <w:rPr>
          <w:iCs/>
        </w:rPr>
      </w:pPr>
      <w:r w:rsidRPr="006B7138">
        <w:rPr>
          <w:iCs/>
        </w:rPr>
        <w:t xml:space="preserve">Social indicators that are related to sustainability due diligence and the implementation of the OECD Guidelines (and UN Guiding Principles on Business and Human Rights) require information that is related to the investee company’s value </w:t>
      </w:r>
      <w:proofErr w:type="gramStart"/>
      <w:r w:rsidRPr="006B7138">
        <w:rPr>
          <w:iCs/>
        </w:rPr>
        <w:t>chain,</w:t>
      </w:r>
      <w:proofErr w:type="gramEnd"/>
      <w:r w:rsidRPr="006B7138">
        <w:rPr>
          <w:iCs/>
        </w:rPr>
        <w:t xml:space="preserve"> however this information is not quantitative, and concerns rather the qualitative information how the investee company’s due diligence addresses value chain</w:t>
      </w:r>
    </w:p>
    <w:p w14:paraId="30B0AEDA" w14:textId="43FCF091" w:rsidR="00A64C5A" w:rsidRPr="006B7138" w:rsidRDefault="00A64C5A" w:rsidP="00A64C5A">
      <w:pPr>
        <w:jc w:val="both"/>
        <w:rPr>
          <w:iCs/>
        </w:rPr>
      </w:pPr>
      <w:r w:rsidRPr="006B7138">
        <w:rPr>
          <w:iCs/>
        </w:rPr>
        <w:t>Information on share of investment in energy (in)</w:t>
      </w:r>
      <w:proofErr w:type="gramStart"/>
      <w:r w:rsidRPr="006B7138">
        <w:rPr>
          <w:iCs/>
        </w:rPr>
        <w:t>efficient  real</w:t>
      </w:r>
      <w:proofErr w:type="gramEnd"/>
      <w:r w:rsidRPr="006B7138">
        <w:rPr>
          <w:iCs/>
        </w:rPr>
        <w:t xml:space="preserve"> estate assets is related to the real estate assets, regardless of whether the investments are made directly or via SPV, whilst the latter could be understood as belonging to ‘value chain’ dimension.</w:t>
      </w:r>
    </w:p>
    <w:p w14:paraId="52004960" w14:textId="13C6332F" w:rsidR="009C41BB" w:rsidRDefault="009C41BB" w:rsidP="009C41BB">
      <w:r>
        <w:t>&lt;ESMA_QUESTION_SFDR_13&gt;</w:t>
      </w:r>
    </w:p>
    <w:p w14:paraId="700BC575" w14:textId="77777777" w:rsidR="009C41BB" w:rsidRDefault="009C41BB" w:rsidP="009C41BB"/>
    <w:p w14:paraId="0EA314B0" w14:textId="77777777" w:rsidR="009C41BB" w:rsidRDefault="009C41BB" w:rsidP="009C41BB">
      <w:pPr>
        <w:pStyle w:val="Questionstyle"/>
        <w:numPr>
          <w:ilvl w:val="0"/>
          <w:numId w:val="42"/>
        </w:numPr>
      </w:pPr>
      <w:r>
        <w:t xml:space="preserve">: Do you agree with the proposed treatment of derivatives in the PAI </w:t>
      </w:r>
      <w:proofErr w:type="gramStart"/>
      <w:r>
        <w:t>indicators</w:t>
      </w:r>
      <w:proofErr w:type="gramEnd"/>
      <w:r>
        <w:t xml:space="preserve"> or would you suggest any other method?</w:t>
      </w:r>
    </w:p>
    <w:p w14:paraId="215D6F18" w14:textId="77777777" w:rsidR="009C41BB" w:rsidRDefault="009C41BB" w:rsidP="009C41BB">
      <w:r>
        <w:t>&lt;ESMA_QUESTION_SFDR_14&gt;</w:t>
      </w:r>
    </w:p>
    <w:p w14:paraId="187BA651" w14:textId="77777777" w:rsidR="009C41BB" w:rsidRDefault="009C41BB" w:rsidP="009C41BB">
      <w:permStart w:id="1609050593" w:edGrp="everyone"/>
      <w:r>
        <w:lastRenderedPageBreak/>
        <w:t>TYPE YOUR TEXT HERE</w:t>
      </w:r>
    </w:p>
    <w:permEnd w:id="1609050593"/>
    <w:p w14:paraId="5AA8268C" w14:textId="77777777" w:rsidR="009C41BB" w:rsidRDefault="009C41BB" w:rsidP="009C41BB">
      <w:r>
        <w:t>&lt;ESMA_QUESTION_SFDR_14&gt;</w:t>
      </w:r>
    </w:p>
    <w:p w14:paraId="7FDBC0BE" w14:textId="77777777" w:rsidR="009C41BB" w:rsidRDefault="009C41BB" w:rsidP="009C41BB"/>
    <w:p w14:paraId="2C7E2AD7" w14:textId="77777777" w:rsidR="009C41BB" w:rsidRDefault="009C41BB" w:rsidP="009C41BB">
      <w:pPr>
        <w:pStyle w:val="Questionstyle"/>
        <w:numPr>
          <w:ilvl w:val="0"/>
          <w:numId w:val="42"/>
        </w:numPr>
      </w:pPr>
      <w:r>
        <w:t xml:space="preserve">: What are your views </w:t>
      </w:r>
      <w:proofErr w:type="gramStart"/>
      <w:r>
        <w:t>with regard to</w:t>
      </w:r>
      <w:proofErr w:type="gramEnd"/>
      <w:r>
        <w:t xml:space="preserve"> the treatment of derivatives in general (Taxonomy-alignment, share of sustainable investments and PAI calculations)? Should the netting provision of Article 17(1)(g) be applied to sustainable investment calculations? </w:t>
      </w:r>
    </w:p>
    <w:p w14:paraId="7F3E50A5" w14:textId="77777777" w:rsidR="009C41BB" w:rsidRDefault="009C41BB" w:rsidP="009C41BB">
      <w:r>
        <w:t>&lt;ESMA_QUESTION_SFDR_15&gt;</w:t>
      </w:r>
    </w:p>
    <w:p w14:paraId="14A8C247" w14:textId="77777777" w:rsidR="009C41BB" w:rsidRDefault="009C41BB" w:rsidP="009C41BB">
      <w:permStart w:id="8979202" w:edGrp="everyone"/>
      <w:r>
        <w:t>TYPE YOUR TEXT HERE</w:t>
      </w:r>
    </w:p>
    <w:permEnd w:id="8979202"/>
    <w:p w14:paraId="2931ECD8" w14:textId="77777777" w:rsidR="009C41BB" w:rsidRDefault="009C41BB" w:rsidP="009C41BB">
      <w:r>
        <w:t>&lt;ESMA_QUESTION_SFDR_15&gt;</w:t>
      </w:r>
    </w:p>
    <w:p w14:paraId="7B57E625" w14:textId="77777777" w:rsidR="009C41BB" w:rsidRDefault="009C41BB" w:rsidP="009C41BB"/>
    <w:p w14:paraId="762504D0" w14:textId="77777777" w:rsidR="009C41BB" w:rsidRDefault="009C41BB" w:rsidP="009C41BB">
      <w:pPr>
        <w:pStyle w:val="Questionstyle"/>
        <w:numPr>
          <w:ilvl w:val="0"/>
          <w:numId w:val="42"/>
        </w:numPr>
        <w:rPr>
          <w:rFonts w:cstheme="minorHAnsi"/>
          <w:color w:val="000000"/>
        </w:rPr>
      </w:pPr>
      <w:r>
        <w:t>: Do you see the need to extend the scope of the provisions of point g of paragraph 1 of Article 17 of the SFDR Delegated Regulation to asset classes other than equity and sovereign exposures?</w:t>
      </w:r>
    </w:p>
    <w:p w14:paraId="053684A5" w14:textId="77777777" w:rsidR="009C41BB" w:rsidRDefault="009C41BB" w:rsidP="009C41BB">
      <w:r>
        <w:t>&lt;ESMA_QUESTION_SFDR_16&gt;</w:t>
      </w:r>
    </w:p>
    <w:p w14:paraId="178B62C5" w14:textId="77777777" w:rsidR="009C41BB" w:rsidRDefault="009C41BB" w:rsidP="009C41BB">
      <w:permStart w:id="1228814638" w:edGrp="everyone"/>
      <w:r>
        <w:t>TYPE YOUR TEXT HERE</w:t>
      </w:r>
    </w:p>
    <w:permEnd w:id="1228814638"/>
    <w:p w14:paraId="5958D537" w14:textId="77777777" w:rsidR="009C41BB" w:rsidRDefault="009C41BB" w:rsidP="009C41BB">
      <w:r>
        <w:t>&lt;ESMA_QUESTION_SFDR_16&gt;</w:t>
      </w:r>
    </w:p>
    <w:p w14:paraId="3FF87AEB" w14:textId="77777777" w:rsidR="009C41BB" w:rsidRDefault="009C41BB" w:rsidP="009C41BB"/>
    <w:p w14:paraId="3A905E57" w14:textId="77777777" w:rsidR="009C41BB" w:rsidRDefault="009C41BB" w:rsidP="009C41BB">
      <w:pPr>
        <w:pStyle w:val="Questionstyle"/>
        <w:numPr>
          <w:ilvl w:val="0"/>
          <w:numId w:val="42"/>
        </w:numPr>
      </w:pPr>
      <w:r>
        <w:t>: Do you agree with the ESAs’ assessment of the DNSH framework under SFDR?</w:t>
      </w:r>
    </w:p>
    <w:p w14:paraId="4F8008B2" w14:textId="77777777" w:rsidR="009C41BB" w:rsidRDefault="009C41BB" w:rsidP="009C41BB">
      <w:r>
        <w:t>&lt;ESMA_QUESTION_SFDR_17&gt;</w:t>
      </w:r>
    </w:p>
    <w:p w14:paraId="78306709" w14:textId="7013B2EB" w:rsidR="00A64C5A" w:rsidRPr="006B7138" w:rsidRDefault="00A64C5A" w:rsidP="00A64C5A">
      <w:pPr>
        <w:widowControl w:val="0"/>
        <w:pBdr>
          <w:top w:val="nil"/>
          <w:left w:val="nil"/>
          <w:bottom w:val="nil"/>
          <w:right w:val="nil"/>
          <w:between w:val="nil"/>
        </w:pBdr>
        <w:spacing w:line="240" w:lineRule="auto"/>
        <w:jc w:val="both"/>
        <w:rPr>
          <w:iCs/>
        </w:rPr>
      </w:pPr>
      <w:r w:rsidRPr="006B7138">
        <w:rPr>
          <w:iCs/>
        </w:rPr>
        <w:t xml:space="preserve">We agree with the ESAs’ assessment of the DNSH framework under SFDR which is </w:t>
      </w:r>
      <w:proofErr w:type="gramStart"/>
      <w:r w:rsidRPr="006B7138">
        <w:rPr>
          <w:iCs/>
        </w:rPr>
        <w:t>at the moment</w:t>
      </w:r>
      <w:proofErr w:type="gramEnd"/>
      <w:r w:rsidRPr="006B7138">
        <w:rPr>
          <w:iCs/>
        </w:rPr>
        <w:t xml:space="preserve"> difficult and confusing to use for financial market participants. </w:t>
      </w:r>
    </w:p>
    <w:p w14:paraId="01D6D2D0" w14:textId="3EC3C3E7" w:rsidR="00A64C5A" w:rsidRPr="006B7138" w:rsidRDefault="00A64C5A" w:rsidP="00A64C5A">
      <w:pPr>
        <w:widowControl w:val="0"/>
        <w:pBdr>
          <w:top w:val="nil"/>
          <w:left w:val="nil"/>
          <w:bottom w:val="nil"/>
          <w:right w:val="nil"/>
          <w:between w:val="nil"/>
        </w:pBdr>
        <w:spacing w:line="240" w:lineRule="auto"/>
        <w:jc w:val="both"/>
        <w:rPr>
          <w:iCs/>
        </w:rPr>
      </w:pPr>
      <w:proofErr w:type="gramStart"/>
      <w:r w:rsidRPr="006B7138">
        <w:rPr>
          <w:iCs/>
        </w:rPr>
        <w:t>In order to</w:t>
      </w:r>
      <w:proofErr w:type="gramEnd"/>
      <w:r w:rsidRPr="006B7138">
        <w:rPr>
          <w:iCs/>
        </w:rPr>
        <w:t xml:space="preserve"> ensure coherence and consistency with the EU Taxonomy Regulation, we believe that the use of DNSH in SFDR should systematically refer to the EU Taxonomy DNSH criteria wherever they exist. This will produce several benefits: ensure full consistency between SFDR and the EU Taxonomy on environmental DNSH, reduce the risk of greenwashing, and increase the comparability between financial products. </w:t>
      </w:r>
    </w:p>
    <w:p w14:paraId="32FE96A4" w14:textId="773F495C" w:rsidR="00A64C5A" w:rsidRPr="006B7138" w:rsidRDefault="00A64C5A" w:rsidP="00A64C5A">
      <w:pPr>
        <w:widowControl w:val="0"/>
        <w:pBdr>
          <w:top w:val="nil"/>
          <w:left w:val="nil"/>
          <w:bottom w:val="nil"/>
          <w:right w:val="nil"/>
          <w:between w:val="nil"/>
        </w:pBdr>
        <w:spacing w:line="240" w:lineRule="auto"/>
        <w:jc w:val="both"/>
        <w:rPr>
          <w:iCs/>
        </w:rPr>
      </w:pPr>
      <w:r w:rsidRPr="006B7138">
        <w:rPr>
          <w:iCs/>
        </w:rPr>
        <w:t xml:space="preserve">However, as the EU taxonomy is still a work in progress, and many economic activities do not benefit yet DNSH criteria under the EU Taxonomy. </w:t>
      </w:r>
    </w:p>
    <w:p w14:paraId="6B51FE66" w14:textId="51EE4376" w:rsidR="00A64C5A" w:rsidRPr="006B7138" w:rsidRDefault="00A64C5A" w:rsidP="00A64C5A">
      <w:pPr>
        <w:widowControl w:val="0"/>
        <w:pBdr>
          <w:top w:val="nil"/>
          <w:left w:val="nil"/>
          <w:bottom w:val="nil"/>
          <w:right w:val="nil"/>
          <w:between w:val="nil"/>
        </w:pBdr>
        <w:spacing w:line="240" w:lineRule="auto"/>
        <w:jc w:val="both"/>
        <w:rPr>
          <w:iCs/>
        </w:rPr>
      </w:pPr>
      <w:r w:rsidRPr="006B7138">
        <w:rPr>
          <w:iCs/>
        </w:rPr>
        <w:t xml:space="preserve">Furthermore, the application of many EU Taxonomy’s DNSH criteria might be </w:t>
      </w:r>
      <w:proofErr w:type="gramStart"/>
      <w:r w:rsidRPr="006B7138">
        <w:rPr>
          <w:iCs/>
        </w:rPr>
        <w:t>problematic, because</w:t>
      </w:r>
      <w:proofErr w:type="gramEnd"/>
      <w:r w:rsidRPr="006B7138">
        <w:rPr>
          <w:iCs/>
        </w:rPr>
        <w:t xml:space="preserve"> they are defined at the level of specific activities. Such detailed information might be difficult to acquire. In this regard, we suggest evaluating which of the EU Taxonomy DNSH criteria can be used </w:t>
      </w:r>
      <w:r w:rsidRPr="006B7138">
        <w:rPr>
          <w:iCs/>
        </w:rPr>
        <w:lastRenderedPageBreak/>
        <w:t>for the SFDR purposes.</w:t>
      </w:r>
    </w:p>
    <w:p w14:paraId="72D502D8" w14:textId="3C9ED537" w:rsidR="00A64C5A" w:rsidRPr="006B7138" w:rsidRDefault="00A64C5A" w:rsidP="00A64C5A">
      <w:pPr>
        <w:widowControl w:val="0"/>
        <w:pBdr>
          <w:top w:val="nil"/>
          <w:left w:val="nil"/>
          <w:bottom w:val="nil"/>
          <w:right w:val="nil"/>
          <w:between w:val="nil"/>
        </w:pBdr>
        <w:spacing w:line="240" w:lineRule="auto"/>
        <w:jc w:val="both"/>
        <w:rPr>
          <w:iCs/>
        </w:rPr>
      </w:pPr>
      <w:r w:rsidRPr="006B7138">
        <w:rPr>
          <w:iCs/>
        </w:rPr>
        <w:t>In this regard the EU Taxonomy’s DNSH should complement and clarify, but not replace entirely the SFDR approach.</w:t>
      </w:r>
    </w:p>
    <w:p w14:paraId="1F8DB8D3" w14:textId="34668688" w:rsidR="00A64C5A" w:rsidRPr="006B7138" w:rsidRDefault="00A64C5A" w:rsidP="00A64C5A">
      <w:pPr>
        <w:widowControl w:val="0"/>
        <w:pBdr>
          <w:top w:val="nil"/>
          <w:left w:val="nil"/>
          <w:bottom w:val="nil"/>
          <w:right w:val="nil"/>
          <w:between w:val="nil"/>
        </w:pBdr>
        <w:spacing w:line="240" w:lineRule="auto"/>
        <w:jc w:val="both"/>
        <w:rPr>
          <w:iCs/>
        </w:rPr>
      </w:pPr>
      <w:r w:rsidRPr="006B7138">
        <w:rPr>
          <w:iCs/>
        </w:rPr>
        <w:t xml:space="preserve">Furthermore, EU Taxonomy’s DNSH criteria do not cover S dimension. In this regard, the SFDR’s definition of DNSH should be better linked to social KPIs in the RTS, and specifically to PAI #11 in Table, which addresses the implementation of the OECD Guidelines and UN Guiding Principles on Business and Human Rights, and which is thus corresponding to the concept of ‘minimal safeguards’ under Taxonomy. </w:t>
      </w:r>
    </w:p>
    <w:p w14:paraId="20694864" w14:textId="1AF83153" w:rsidR="00A64C5A" w:rsidRPr="006B7138" w:rsidRDefault="00A64C5A" w:rsidP="00A64C5A">
      <w:pPr>
        <w:rPr>
          <w:iCs/>
        </w:rPr>
      </w:pPr>
      <w:r w:rsidRPr="006B7138">
        <w:rPr>
          <w:iCs/>
        </w:rPr>
        <w:t>As pointed out in the consultation, this will require a review of the Regulation itself and can’t be fixed in the context of the ongoing public consultation.</w:t>
      </w:r>
    </w:p>
    <w:p w14:paraId="3FA2FE7A" w14:textId="2EFFA4FD" w:rsidR="009C41BB" w:rsidRDefault="009C41BB" w:rsidP="009C41BB">
      <w:r>
        <w:t>&lt;ESMA_QUESTION_SFDR_17&gt;</w:t>
      </w:r>
    </w:p>
    <w:p w14:paraId="6B0958DF" w14:textId="77777777" w:rsidR="009C41BB" w:rsidRDefault="009C41BB" w:rsidP="009C41BB"/>
    <w:p w14:paraId="60A358F2" w14:textId="77777777" w:rsidR="009C41BB" w:rsidRDefault="009C41BB" w:rsidP="009C41BB">
      <w:pPr>
        <w:pStyle w:val="Questionstyle"/>
        <w:numPr>
          <w:ilvl w:val="0"/>
          <w:numId w:val="42"/>
        </w:numPr>
      </w:pPr>
      <w:r>
        <w:t xml:space="preserve">: </w:t>
      </w:r>
      <w:proofErr w:type="gramStart"/>
      <w:r>
        <w:t>With regard to</w:t>
      </w:r>
      <w:proofErr w:type="gramEnd"/>
      <w:r>
        <w:t xml:space="preserve"> the DNSH disclosures in the SFDR Delegated Regulation, do you consider it relevant to make disclosures about the quantitative thresholds FMPs use to take into account the PAI indicators for DNSH purposes mandatory? Please explain your reasoning.</w:t>
      </w:r>
    </w:p>
    <w:p w14:paraId="75983884" w14:textId="77777777" w:rsidR="009C41BB" w:rsidRDefault="009C41BB" w:rsidP="009C41BB">
      <w:r>
        <w:t>&lt;ESMA_QUESTION_SFDR_18&gt;</w:t>
      </w:r>
    </w:p>
    <w:p w14:paraId="52C9DB4C" w14:textId="24EED105" w:rsidR="00A64C5A" w:rsidRPr="006B7138" w:rsidRDefault="00A64C5A" w:rsidP="009C41BB">
      <w:pPr>
        <w:rPr>
          <w:iCs/>
        </w:rPr>
      </w:pPr>
      <w:r w:rsidRPr="006B7138">
        <w:rPr>
          <w:iCs/>
        </w:rPr>
        <w:t>We do agree with this approach in principle. We question how it can apply in practice, and whether quantitative thresholds can be set for all PAI indicators to assess DNSH. For example, it is relevant to use a quantitative threshold for overarching impacts related to climate change and to the direct operations of the investee companies whereas the same threshold will be misleading for impacts whose materiality is determined by severity in a particular location or is taking place in the value chain of the company. In this case, the PAI could still be low but important enough to meet the DNSH criteria. We therefore call the ESAs to provide more guidance on how the DNSH disclosures should apply in practice.</w:t>
      </w:r>
    </w:p>
    <w:p w14:paraId="51EC0BD3" w14:textId="12D364AC" w:rsidR="009C41BB" w:rsidRDefault="009C41BB" w:rsidP="009C41BB">
      <w:r>
        <w:t>&lt;ESMA_QUESTION_SFDR_18&gt;</w:t>
      </w:r>
    </w:p>
    <w:p w14:paraId="678E8E44" w14:textId="77777777" w:rsidR="009C41BB" w:rsidRDefault="009C41BB" w:rsidP="009C41BB"/>
    <w:p w14:paraId="62F4C721" w14:textId="77777777" w:rsidR="009C41BB" w:rsidRDefault="009C41BB" w:rsidP="009C41BB">
      <w:pPr>
        <w:pStyle w:val="Questionstyle"/>
        <w:numPr>
          <w:ilvl w:val="0"/>
          <w:numId w:val="42"/>
        </w:numPr>
      </w:pPr>
      <w:r>
        <w:t xml:space="preserve">: Do you support the introduction of an optional “safe </w:t>
      </w:r>
      <w:proofErr w:type="spellStart"/>
      <w:r>
        <w:t>harbour</w:t>
      </w:r>
      <w:proofErr w:type="spellEnd"/>
      <w:r>
        <w:t>” for environmental DNSH for taxonomy-aligned activities? Please explain your reasoning.</w:t>
      </w:r>
    </w:p>
    <w:p w14:paraId="63882390" w14:textId="77777777" w:rsidR="009C41BB" w:rsidRDefault="009C41BB" w:rsidP="009C41BB">
      <w:r>
        <w:t>&lt;ESMA_QUESTION_SFDR_19&gt;</w:t>
      </w:r>
    </w:p>
    <w:p w14:paraId="5006D650" w14:textId="3105C36E" w:rsidR="00A64C5A" w:rsidRPr="006B7138" w:rsidRDefault="00A64C5A" w:rsidP="00A64C5A">
      <w:pPr>
        <w:widowControl w:val="0"/>
        <w:pBdr>
          <w:top w:val="nil"/>
          <w:left w:val="nil"/>
          <w:bottom w:val="nil"/>
          <w:right w:val="nil"/>
          <w:between w:val="nil"/>
        </w:pBdr>
        <w:spacing w:line="240" w:lineRule="auto"/>
        <w:jc w:val="both"/>
        <w:rPr>
          <w:iCs/>
        </w:rPr>
      </w:pPr>
      <w:r w:rsidRPr="006B7138">
        <w:rPr>
          <w:iCs/>
        </w:rPr>
        <w:t xml:space="preserve">We support the introduction of an optional safe harbour for environmental DNSH for taxonomy-aligned activities to ensure further consistency between the EU Taxonomy and the SFDR by defining environmental DNSH in a consistent </w:t>
      </w:r>
      <w:proofErr w:type="spellStart"/>
      <w:r w:rsidRPr="006B7138">
        <w:rPr>
          <w:iCs/>
        </w:rPr>
        <w:t>wayWe</w:t>
      </w:r>
      <w:proofErr w:type="spellEnd"/>
      <w:r w:rsidRPr="006B7138">
        <w:rPr>
          <w:iCs/>
        </w:rPr>
        <w:t xml:space="preserve"> believe that the safe harbour in SFDR could incentivise financial market participants and investee companies to reach taxonomy alignment.</w:t>
      </w:r>
    </w:p>
    <w:p w14:paraId="31716FC5" w14:textId="452715B9" w:rsidR="00A64C5A" w:rsidRPr="006B7138" w:rsidRDefault="00A64C5A" w:rsidP="00A64C5A">
      <w:pPr>
        <w:widowControl w:val="0"/>
        <w:pBdr>
          <w:top w:val="nil"/>
          <w:left w:val="nil"/>
          <w:bottom w:val="nil"/>
          <w:right w:val="nil"/>
          <w:between w:val="nil"/>
        </w:pBdr>
        <w:spacing w:line="240" w:lineRule="auto"/>
        <w:jc w:val="both"/>
        <w:rPr>
          <w:iCs/>
        </w:rPr>
      </w:pPr>
      <w:r w:rsidRPr="006B7138">
        <w:rPr>
          <w:iCs/>
        </w:rPr>
        <w:t xml:space="preserve">Beyond that temporary solution, we would like to emphasise the need for a Level 1 reform to clarify </w:t>
      </w:r>
      <w:r w:rsidRPr="006B7138">
        <w:rPr>
          <w:iCs/>
        </w:rPr>
        <w:lastRenderedPageBreak/>
        <w:t xml:space="preserve">the definition of sustainable investment in article 2(17) with a reference to the EU Taxonomy criteria wherever they exist. </w:t>
      </w:r>
    </w:p>
    <w:p w14:paraId="21346448" w14:textId="5B30FED9" w:rsidR="00A64C5A" w:rsidRPr="006B7138" w:rsidRDefault="00A64C5A" w:rsidP="00A64C5A">
      <w:pPr>
        <w:widowControl w:val="0"/>
        <w:pBdr>
          <w:top w:val="nil"/>
          <w:left w:val="nil"/>
          <w:bottom w:val="nil"/>
          <w:right w:val="nil"/>
          <w:between w:val="nil"/>
        </w:pBdr>
        <w:spacing w:line="240" w:lineRule="auto"/>
        <w:jc w:val="both"/>
        <w:rPr>
          <w:iCs/>
        </w:rPr>
      </w:pPr>
      <w:r w:rsidRPr="006B7138">
        <w:rPr>
          <w:iCs/>
        </w:rPr>
        <w:t xml:space="preserve">If this solution works for environmental impacts, we would like to mention that it could not work for social impacts since the EU Taxonomy does not specify minimum safeguards for social issues beyond reference to existing international instruments on due diligence. </w:t>
      </w:r>
    </w:p>
    <w:p w14:paraId="4AD6AD76" w14:textId="71F7D97F" w:rsidR="00A64C5A" w:rsidRPr="006B7138" w:rsidRDefault="00A64C5A" w:rsidP="00A64C5A">
      <w:pPr>
        <w:rPr>
          <w:iCs/>
        </w:rPr>
      </w:pPr>
      <w:r w:rsidRPr="006B7138">
        <w:rPr>
          <w:iCs/>
        </w:rPr>
        <w:t>In this regard, Table 1, PAI #11, should play a key role.</w:t>
      </w:r>
    </w:p>
    <w:p w14:paraId="5B774EBD" w14:textId="1B73F6FB" w:rsidR="009C41BB" w:rsidRDefault="009C41BB" w:rsidP="009C41BB">
      <w:r>
        <w:t>&lt;ESMA_QUESTION_SFDR_19&gt;</w:t>
      </w:r>
    </w:p>
    <w:p w14:paraId="0B14904A" w14:textId="77777777" w:rsidR="009C41BB" w:rsidRDefault="009C41BB" w:rsidP="009C41BB"/>
    <w:p w14:paraId="2EF02261" w14:textId="77777777" w:rsidR="009C41BB" w:rsidRDefault="009C41BB" w:rsidP="009C41BB">
      <w:pPr>
        <w:pStyle w:val="Questionstyle"/>
        <w:numPr>
          <w:ilvl w:val="0"/>
          <w:numId w:val="42"/>
        </w:numPr>
      </w:pPr>
      <w:r>
        <w:t xml:space="preserve">: Do you agree with the </w:t>
      </w:r>
      <w:proofErr w:type="gramStart"/>
      <w:r>
        <w:t>longer term</w:t>
      </w:r>
      <w:proofErr w:type="gramEnd"/>
      <w:r>
        <w:t xml:space="preserve"> view of the ESAs that if two parallel concepts of sustainability are retained that the Taxonomy TSCs should form the basis of DNSH assessments? Please explain your reasoning.</w:t>
      </w:r>
    </w:p>
    <w:p w14:paraId="4D639F41" w14:textId="77777777" w:rsidR="009C41BB" w:rsidRDefault="009C41BB" w:rsidP="009C41BB">
      <w:r>
        <w:t>&lt;ESMA_QUESTION_SFDR_20&gt;</w:t>
      </w:r>
    </w:p>
    <w:p w14:paraId="16F33F6A" w14:textId="0CF8C16E" w:rsidR="00A64C5A" w:rsidRPr="006B7138" w:rsidRDefault="00A64C5A" w:rsidP="009C41BB">
      <w:pPr>
        <w:rPr>
          <w:iCs/>
        </w:rPr>
      </w:pPr>
      <w:r w:rsidRPr="006B7138">
        <w:rPr>
          <w:iCs/>
        </w:rPr>
        <w:t>We agree and support the alignment of DNSH approaches between the EU Taxonomy and the SFDR through the proposed amendments to the RTS as well as through a Level 1 reform of SFDR. We would add that financial market participants should also as part of the DNSH assessment look at the robustness of the due diligence process within the investee company and should also apply themselves a strong due diligence process. In this regard, PAI #11 in Table 1 should be reviewed and should provide the basis for this approach.</w:t>
      </w:r>
    </w:p>
    <w:p w14:paraId="402F2518" w14:textId="5C17C527" w:rsidR="009C41BB" w:rsidRDefault="009C41BB" w:rsidP="009C41BB">
      <w:r>
        <w:t>&lt;ESMA_QUESTION_SFDR_20&gt;</w:t>
      </w:r>
    </w:p>
    <w:p w14:paraId="6BAEDC4A" w14:textId="77777777" w:rsidR="009C41BB" w:rsidRDefault="009C41BB" w:rsidP="009C41BB"/>
    <w:p w14:paraId="2E45FA2C" w14:textId="77777777" w:rsidR="009C41BB" w:rsidRDefault="009C41BB" w:rsidP="009C41BB">
      <w:pPr>
        <w:pStyle w:val="Questionstyle"/>
        <w:numPr>
          <w:ilvl w:val="0"/>
          <w:numId w:val="42"/>
        </w:numPr>
      </w:pPr>
      <w:r>
        <w:t>: Are there other options for the SFDR Delegated Regulation DNSH disclosures to reduce the risk of greenwashing and increase comparability?</w:t>
      </w:r>
    </w:p>
    <w:p w14:paraId="4D9B240E" w14:textId="77777777" w:rsidR="009C41BB" w:rsidRDefault="009C41BB" w:rsidP="009C41BB">
      <w:r>
        <w:t>&lt;ESMA_QUESTION_SFDR_21&gt;</w:t>
      </w:r>
    </w:p>
    <w:p w14:paraId="53C2FE28" w14:textId="77777777" w:rsidR="009C41BB" w:rsidRDefault="009C41BB" w:rsidP="009C41BB">
      <w:permStart w:id="1098926409" w:edGrp="everyone"/>
      <w:r>
        <w:t>TYPE YOUR TEXT HERE</w:t>
      </w:r>
    </w:p>
    <w:permEnd w:id="1098926409"/>
    <w:p w14:paraId="7A9D32E6" w14:textId="77777777" w:rsidR="009C41BB" w:rsidRDefault="009C41BB" w:rsidP="009C41BB">
      <w:r>
        <w:t>&lt;ESMA_QUESTION_SFDR_21&gt;</w:t>
      </w:r>
    </w:p>
    <w:p w14:paraId="7BB690BF" w14:textId="77777777" w:rsidR="009C41BB" w:rsidRDefault="009C41BB" w:rsidP="009C41BB"/>
    <w:p w14:paraId="25DBDE82" w14:textId="77777777" w:rsidR="009C41BB" w:rsidRDefault="009C41BB" w:rsidP="009C41BB">
      <w:pPr>
        <w:pStyle w:val="Questionstyle"/>
        <w:numPr>
          <w:ilvl w:val="0"/>
          <w:numId w:val="42"/>
        </w:numPr>
      </w:pPr>
      <w:r>
        <w:t>: Do you agree that the proposed disclosures strike the right balance between the need for clear, reliable, decision-useful information for investors and the need to keep requirements feasible and proportional for FMPs? Please explain your answers.</w:t>
      </w:r>
    </w:p>
    <w:p w14:paraId="7EF3E316" w14:textId="77777777" w:rsidR="009C41BB" w:rsidRDefault="009C41BB" w:rsidP="009C41BB">
      <w:r>
        <w:t>&lt;ESMA_QUESTION_SFDR_22&gt;</w:t>
      </w:r>
    </w:p>
    <w:p w14:paraId="6D5BB63B" w14:textId="77777777" w:rsidR="009C41BB" w:rsidRDefault="009C41BB" w:rsidP="009C41BB">
      <w:permStart w:id="2084635173" w:edGrp="everyone"/>
      <w:r>
        <w:t>TYPE YOUR TEXT HERE</w:t>
      </w:r>
    </w:p>
    <w:permEnd w:id="2084635173"/>
    <w:p w14:paraId="726ADD5B" w14:textId="77777777" w:rsidR="009C41BB" w:rsidRDefault="009C41BB" w:rsidP="009C41BB">
      <w:r>
        <w:lastRenderedPageBreak/>
        <w:t>&lt;ESMA_QUESTION_SFDR_22&gt;</w:t>
      </w:r>
    </w:p>
    <w:p w14:paraId="08BAE9DE" w14:textId="77777777" w:rsidR="009C41BB" w:rsidRDefault="009C41BB" w:rsidP="009C41BB"/>
    <w:p w14:paraId="05AA9C3B" w14:textId="77777777" w:rsidR="009C41BB" w:rsidRDefault="009C41BB" w:rsidP="009C41BB">
      <w:pPr>
        <w:pStyle w:val="Questionstyle"/>
        <w:numPr>
          <w:ilvl w:val="0"/>
          <w:numId w:val="42"/>
        </w:numPr>
      </w:pPr>
      <w:r>
        <w:t xml:space="preserve">: Do you agree with the proposed approach of providing a hyperlink to the benchmark disclosures for products having GHG emissions reduction as their investment objective under Article 9(3) SFDR or would you prefer specific disclosures for such financial products? Do you believe the introduction of GHG emissions reduction target disclosures could lead to confusion between Article 9(3) and other Article 9 and 8 financial products? Please explain your answer. </w:t>
      </w:r>
    </w:p>
    <w:p w14:paraId="7D3827D8" w14:textId="77777777" w:rsidR="009C41BB" w:rsidRDefault="009C41BB" w:rsidP="009C41BB">
      <w:r>
        <w:t>&lt;ESMA_QUESTION_SFDR_23&gt;</w:t>
      </w:r>
    </w:p>
    <w:p w14:paraId="4885F618" w14:textId="563ED8E0" w:rsidR="00A64C5A" w:rsidRPr="006B7138" w:rsidRDefault="00A64C5A" w:rsidP="009C41BB">
      <w:pPr>
        <w:rPr>
          <w:iCs/>
        </w:rPr>
      </w:pPr>
      <w:r w:rsidRPr="006B7138">
        <w:rPr>
          <w:iCs/>
        </w:rPr>
        <w:t xml:space="preserve">We agree with the proposed approach that is in line with the SFDR text. We also believe that the financial product should clarify its carbon reduction emission target in terms of degree of alignment with a </w:t>
      </w:r>
      <w:proofErr w:type="gramStart"/>
      <w:r w:rsidRPr="006B7138">
        <w:rPr>
          <w:iCs/>
        </w:rPr>
        <w:t>1.5 degree</w:t>
      </w:r>
      <w:proofErr w:type="gramEnd"/>
      <w:r w:rsidRPr="006B7138">
        <w:rPr>
          <w:iCs/>
        </w:rPr>
        <w:t xml:space="preserve"> climate scenario and to reach net-zero emissions as soon as possible and by 2050 at the latest. We do not believe the introduction of such target disclosures could lead to confusion with other financial products.</w:t>
      </w:r>
    </w:p>
    <w:p w14:paraId="170F8ADF" w14:textId="32783495" w:rsidR="009C41BB" w:rsidRDefault="009C41BB" w:rsidP="009C41BB">
      <w:r>
        <w:t>&lt;ESMA_QUESTION_SFDR_23&gt;</w:t>
      </w:r>
    </w:p>
    <w:p w14:paraId="4A4F3D57" w14:textId="77777777" w:rsidR="009C41BB" w:rsidRDefault="009C41BB" w:rsidP="009C41BB"/>
    <w:p w14:paraId="5CF11283" w14:textId="77777777" w:rsidR="009C41BB" w:rsidRDefault="009C41BB" w:rsidP="009C41BB">
      <w:pPr>
        <w:pStyle w:val="Questionstyle"/>
        <w:numPr>
          <w:ilvl w:val="0"/>
          <w:numId w:val="42"/>
        </w:numPr>
      </w:pPr>
      <w:r>
        <w:t>: The ESAs have introduced a distinction between a product-level commitment to achieve a reduction in financed emissions (through a strategy that possibly relies only on divestments and reallocations) and a commitment to achieve a reduction in investees’ emissions (through investment in companies that has adopted and duly executes a convincing transition plan or through active ownership). Do you find this distinction useful for investors and actionable for FMPs? Please explain your answer.</w:t>
      </w:r>
    </w:p>
    <w:p w14:paraId="2760189D" w14:textId="77777777" w:rsidR="009C41BB" w:rsidRDefault="009C41BB" w:rsidP="009C41BB">
      <w:r>
        <w:t>&lt;ESMA_QUESTION_SFDR_24&gt;</w:t>
      </w:r>
    </w:p>
    <w:p w14:paraId="70A37E66" w14:textId="4B351002" w:rsidR="00A64C5A" w:rsidRPr="006B7138" w:rsidRDefault="00A64C5A" w:rsidP="009C41BB">
      <w:pPr>
        <w:rPr>
          <w:iCs/>
        </w:rPr>
      </w:pPr>
      <w:r w:rsidRPr="006B7138">
        <w:rPr>
          <w:iCs/>
        </w:rPr>
        <w:t xml:space="preserve">We do support the approach but also call for a review of the level 1 SFDR text </w:t>
      </w:r>
      <w:proofErr w:type="gramStart"/>
      <w:r w:rsidRPr="006B7138">
        <w:rPr>
          <w:iCs/>
        </w:rPr>
        <w:t>in order to</w:t>
      </w:r>
      <w:proofErr w:type="gramEnd"/>
      <w:r w:rsidRPr="006B7138">
        <w:rPr>
          <w:iCs/>
        </w:rPr>
        <w:t xml:space="preserve"> prevent the current confusion between article 6, 8 and 9 products. We see merits in building on the recent FCA proposal for three categories of sustainable funds (value-aligned, impact funds and contribution funds) with for each minimum sustainability criteria to avoid risks of greenwashing.</w:t>
      </w:r>
    </w:p>
    <w:p w14:paraId="1DB6EA41" w14:textId="204ACCE7" w:rsidR="009C41BB" w:rsidRDefault="009C41BB" w:rsidP="009C41BB">
      <w:r>
        <w:t>&lt;ESMA_QUESTION_SFDR_24&gt;</w:t>
      </w:r>
    </w:p>
    <w:p w14:paraId="0D457AA9" w14:textId="77777777" w:rsidR="009C41BB" w:rsidRDefault="009C41BB" w:rsidP="009C41BB"/>
    <w:p w14:paraId="3D7F5DF7" w14:textId="77777777" w:rsidR="009C41BB" w:rsidRDefault="009C41BB" w:rsidP="009C41BB">
      <w:pPr>
        <w:pStyle w:val="Questionstyle"/>
        <w:numPr>
          <w:ilvl w:val="0"/>
          <w:numId w:val="42"/>
        </w:numPr>
      </w:pPr>
      <w:r>
        <w:t xml:space="preserve">: Do you find it useful to have a disclosure on the degree of Paris-Alignment of the Article 9 product’s target(s)? Do you think that existing methodologies can provide sufficiently robust assessments of that aspect? If yes, please specify which methodology (or methodologies) would be relevant for that purpose and what are their most critical features? Please explain your answer. </w:t>
      </w:r>
    </w:p>
    <w:p w14:paraId="5A44ABE3" w14:textId="77777777" w:rsidR="009C41BB" w:rsidRDefault="009C41BB" w:rsidP="009C41BB">
      <w:r>
        <w:lastRenderedPageBreak/>
        <w:t>&lt;ESMA_QUESTION_SFDR_25&gt;</w:t>
      </w:r>
    </w:p>
    <w:p w14:paraId="332581A8" w14:textId="40EBE957" w:rsidR="00C749E5" w:rsidRPr="006B7138" w:rsidRDefault="00C749E5" w:rsidP="00984B6C">
      <w:pPr>
        <w:jc w:val="both"/>
        <w:rPr>
          <w:iCs/>
        </w:rPr>
      </w:pPr>
      <w:r w:rsidRPr="006B7138">
        <w:rPr>
          <w:iCs/>
        </w:rPr>
        <w:t>We do find the disclosure on the degree of Paris-Alignment of article 9 product’s targets useful. We would extend that requirement for all funds as this represents critical information that should be part of a core set of mandatory climate disclosure at portfolio and fund level.</w:t>
      </w:r>
    </w:p>
    <w:p w14:paraId="1B2A7DBF" w14:textId="19FA51EC" w:rsidR="009C41BB" w:rsidRDefault="009C41BB" w:rsidP="009C41BB">
      <w:r>
        <w:t>&lt;ESMA_QUESTION_SFDR_25&gt;</w:t>
      </w:r>
    </w:p>
    <w:p w14:paraId="4826CAD9" w14:textId="77777777" w:rsidR="009C41BB" w:rsidRDefault="009C41BB" w:rsidP="009C41BB"/>
    <w:p w14:paraId="1340C518" w14:textId="77777777" w:rsidR="009C41BB" w:rsidRDefault="009C41BB" w:rsidP="009C41BB">
      <w:pPr>
        <w:pStyle w:val="Questionstyle"/>
        <w:numPr>
          <w:ilvl w:val="0"/>
          <w:numId w:val="42"/>
        </w:numPr>
      </w:pPr>
      <w:r>
        <w:t>: Do you agree with the proposed approach to require that the target is calculated for all investments of the financial product? Please explain your answer.</w:t>
      </w:r>
    </w:p>
    <w:p w14:paraId="36D5F087" w14:textId="77777777" w:rsidR="009C41BB" w:rsidRDefault="009C41BB" w:rsidP="009C41BB">
      <w:r>
        <w:t>&lt;ESMA_QUESTION_SFDR_26&gt;</w:t>
      </w:r>
    </w:p>
    <w:p w14:paraId="48793778" w14:textId="77777777" w:rsidR="009C41BB" w:rsidRDefault="009C41BB" w:rsidP="009C41BB">
      <w:permStart w:id="1572164812" w:edGrp="everyone"/>
      <w:r>
        <w:t>TYPE YOUR TEXT HERE</w:t>
      </w:r>
    </w:p>
    <w:permEnd w:id="1572164812"/>
    <w:p w14:paraId="6D51DAEC" w14:textId="77777777" w:rsidR="009C41BB" w:rsidRDefault="009C41BB" w:rsidP="009C41BB">
      <w:r>
        <w:t>&lt;ESMA_QUESTION_SFDR_26&gt;</w:t>
      </w:r>
    </w:p>
    <w:p w14:paraId="784871E3" w14:textId="77777777" w:rsidR="009C41BB" w:rsidRDefault="009C41BB" w:rsidP="009C41BB"/>
    <w:p w14:paraId="0E460FDF" w14:textId="77777777" w:rsidR="009C41BB" w:rsidRDefault="009C41BB" w:rsidP="009C41BB">
      <w:pPr>
        <w:pStyle w:val="Questionstyle"/>
        <w:numPr>
          <w:ilvl w:val="0"/>
          <w:numId w:val="42"/>
        </w:numPr>
      </w:pPr>
      <w:r>
        <w:t xml:space="preserve">: Do you agree with the proposed approach to require that, at product level, Financed GHG emissions reduction targets be set and disclosed based on the GHG accounting and reporting standard to be referenced in the forthcoming Delegated Act (DA) of the CSRD? Should the Global GHG Accounting and Reporting Standard for the Financial Industry developed by PCAF be required as the only standard to be used for the disclosures, or should any other standard be considered? Please justify your answer and provide the name of alternative standards you would suggest, if any. </w:t>
      </w:r>
    </w:p>
    <w:p w14:paraId="30DBA1F9" w14:textId="77777777" w:rsidR="009C41BB" w:rsidRDefault="009C41BB" w:rsidP="009C41BB">
      <w:r>
        <w:t>&lt;ESMA_QUESTION_SFDR_27&gt;</w:t>
      </w:r>
    </w:p>
    <w:p w14:paraId="5BF6DD6E" w14:textId="2A4433ED" w:rsidR="00C749E5" w:rsidRPr="00984B6C" w:rsidRDefault="00C749E5" w:rsidP="00984B6C">
      <w:pPr>
        <w:widowControl w:val="0"/>
        <w:spacing w:line="240" w:lineRule="auto"/>
        <w:jc w:val="both"/>
        <w:rPr>
          <w:iCs/>
        </w:rPr>
      </w:pPr>
      <w:r w:rsidRPr="00984B6C">
        <w:rPr>
          <w:iCs/>
        </w:rPr>
        <w:t>We do not support the proposal that targets should be converted and disclosed using financed GHG emissions expressed in tonnes of CO2 equivalent per million EUR of investment.</w:t>
      </w:r>
    </w:p>
    <w:p w14:paraId="0D9F873C" w14:textId="28999BCE" w:rsidR="00C749E5" w:rsidRPr="00984B6C" w:rsidRDefault="00C749E5" w:rsidP="00984B6C">
      <w:pPr>
        <w:jc w:val="both"/>
        <w:rPr>
          <w:iCs/>
        </w:rPr>
      </w:pPr>
      <w:r w:rsidRPr="00984B6C">
        <w:rPr>
          <w:iCs/>
        </w:rPr>
        <w:t>What matters is the absolute reduction of emissions of investee companies. This shouldn’t be compromised by linking intensity-based metrics to the value of the fund. As the successful funds’ value and investments will grow, the actual value of the targets defined in this way will decrease.</w:t>
      </w:r>
    </w:p>
    <w:p w14:paraId="0E6910F8" w14:textId="73B1F8B7" w:rsidR="009C41BB" w:rsidRDefault="009C41BB" w:rsidP="009C41BB">
      <w:r>
        <w:t>&lt;ESMA_QUESTION_SFDR_27&gt;</w:t>
      </w:r>
    </w:p>
    <w:p w14:paraId="6FBCA7B9" w14:textId="77777777" w:rsidR="009C41BB" w:rsidRDefault="009C41BB" w:rsidP="009C41BB"/>
    <w:p w14:paraId="337B55CD" w14:textId="77777777" w:rsidR="009C41BB" w:rsidRDefault="009C41BB" w:rsidP="009C41BB">
      <w:pPr>
        <w:pStyle w:val="Questionstyle"/>
        <w:numPr>
          <w:ilvl w:val="0"/>
          <w:numId w:val="42"/>
        </w:numPr>
      </w:pPr>
      <w:r>
        <w:t>: Do you agree with the approach taken to removals and the use of carbon credits and the alignment the ESAs have sought to achieve with the EFRAG Draft ESRS E1? Please explain your answer.</w:t>
      </w:r>
    </w:p>
    <w:p w14:paraId="1D975B0A" w14:textId="77777777" w:rsidR="009C41BB" w:rsidRDefault="009C41BB" w:rsidP="009C41BB">
      <w:r>
        <w:t>&lt;ESMA_QUESTION_SFDR_28&gt;</w:t>
      </w:r>
    </w:p>
    <w:p w14:paraId="2FDFF22B" w14:textId="3D5A16E4" w:rsidR="00C749E5" w:rsidRPr="00984B6C" w:rsidRDefault="00C749E5" w:rsidP="00984B6C">
      <w:pPr>
        <w:jc w:val="both"/>
        <w:rPr>
          <w:iCs/>
        </w:rPr>
      </w:pPr>
      <w:r w:rsidRPr="00984B6C">
        <w:rPr>
          <w:iCs/>
        </w:rPr>
        <w:lastRenderedPageBreak/>
        <w:t>We strongly support this proposal as it aims at fostering alignment between the ESRS and the SFDR and ensure that companies report separately on their gross GHG emissions, GHG removals and on their use of carbon credits to avoid the risks of double counting of GHG emission reductions.</w:t>
      </w:r>
    </w:p>
    <w:p w14:paraId="6972221C" w14:textId="35DE6546" w:rsidR="009C41BB" w:rsidRDefault="009C41BB" w:rsidP="009C41BB">
      <w:r>
        <w:t>&lt;ESMA_QUESTION_SFDR_28&gt;</w:t>
      </w:r>
    </w:p>
    <w:p w14:paraId="5A937A77" w14:textId="77777777" w:rsidR="009C41BB" w:rsidRDefault="009C41BB" w:rsidP="009C41BB"/>
    <w:p w14:paraId="66CE0F74" w14:textId="77777777" w:rsidR="009C41BB" w:rsidRDefault="009C41BB" w:rsidP="009C41BB">
      <w:pPr>
        <w:pStyle w:val="Questionstyle"/>
        <w:numPr>
          <w:ilvl w:val="0"/>
          <w:numId w:val="42"/>
        </w:numPr>
      </w:pPr>
      <w:r>
        <w:t xml:space="preserve">: Do you find it useful to ask for disclosures regarding the consistency between the product targets and the financial market participants entity-level targets and transition plan for climate change mitigation? What could be the benefits of and challenges to making such disclosures available? Please explain </w:t>
      </w:r>
      <w:proofErr w:type="gramStart"/>
      <w:r>
        <w:t>you</w:t>
      </w:r>
      <w:proofErr w:type="gramEnd"/>
      <w:r>
        <w:t xml:space="preserve"> answer.</w:t>
      </w:r>
    </w:p>
    <w:p w14:paraId="0A33C862" w14:textId="77777777" w:rsidR="009C41BB" w:rsidRDefault="009C41BB" w:rsidP="009C41BB">
      <w:r>
        <w:t>&lt;ESMA_QUESTION_SFDR_29&gt;</w:t>
      </w:r>
    </w:p>
    <w:p w14:paraId="184DAC8C" w14:textId="76E1381E" w:rsidR="00C749E5" w:rsidRPr="00984B6C" w:rsidRDefault="00C749E5" w:rsidP="00984B6C">
      <w:pPr>
        <w:jc w:val="both"/>
        <w:rPr>
          <w:iCs/>
        </w:rPr>
      </w:pPr>
      <w:r w:rsidRPr="00984B6C">
        <w:rPr>
          <w:iCs/>
        </w:rPr>
        <w:t>We do support this approach. It will provide valuable information for investors about the robustness of the climate commitments of the financial market participants providing the fund building on science-based targets and climate transition plans set up at entity level. This is also aligned with the disclosure requirements introduced in the CSRD and the ESRS.</w:t>
      </w:r>
    </w:p>
    <w:p w14:paraId="7C1B77E1" w14:textId="2023CBC9" w:rsidR="009C41BB" w:rsidRDefault="009C41BB" w:rsidP="009C41BB">
      <w:r>
        <w:t>&lt;ESMA_QUESTION_SFDR_29&gt;</w:t>
      </w:r>
    </w:p>
    <w:p w14:paraId="44D2F33E" w14:textId="77777777" w:rsidR="009C41BB" w:rsidRDefault="009C41BB" w:rsidP="009C41BB"/>
    <w:p w14:paraId="6BCA58C7" w14:textId="77777777" w:rsidR="009C41BB" w:rsidRDefault="009C41BB" w:rsidP="009C41BB">
      <w:pPr>
        <w:pStyle w:val="Questionstyle"/>
        <w:numPr>
          <w:ilvl w:val="0"/>
          <w:numId w:val="42"/>
        </w:numPr>
      </w:pPr>
      <w:r>
        <w:t>: What are your views on the inclusion of a dashboard at the top of Annexes II-V of the SFDR Delegated Regulation as summary of the key information to complement the more detailed information in the pre-contractual and periodic disclosures? Does it serve the purpose of helping consumers and less experienced retail investors understand the essential information in a simpler and more visual way?</w:t>
      </w:r>
    </w:p>
    <w:p w14:paraId="4CBCC088" w14:textId="77777777" w:rsidR="009C41BB" w:rsidRDefault="009C41BB" w:rsidP="009C41BB">
      <w:r>
        <w:t>&lt;ESMA_QUESTION_SFDR_30&gt;</w:t>
      </w:r>
    </w:p>
    <w:p w14:paraId="5CE6FDA5" w14:textId="77777777" w:rsidR="00C749E5" w:rsidRPr="00984B6C" w:rsidRDefault="00C749E5" w:rsidP="00984B6C">
      <w:pPr>
        <w:jc w:val="both"/>
        <w:rPr>
          <w:iCs/>
          <w:color w:val="434343"/>
        </w:rPr>
      </w:pPr>
      <w:r w:rsidRPr="00984B6C">
        <w:rPr>
          <w:iCs/>
          <w:color w:val="434343"/>
        </w:rPr>
        <w:t xml:space="preserve">We support overall the approach and the inclusion of a dashboard for consumers and retail investors which may struggle with the amount and complexity of information provided under SFDR. Please refer to our targeted comments to improve the proposed dashboard in the following questions. </w:t>
      </w:r>
    </w:p>
    <w:p w14:paraId="3CC109DF" w14:textId="7EF6CB6C" w:rsidR="009C41BB" w:rsidRDefault="009C41BB" w:rsidP="009C41BB">
      <w:r>
        <w:t>&lt;ESMA_QUESTION_SFDR_30&gt;</w:t>
      </w:r>
    </w:p>
    <w:p w14:paraId="54A490E5" w14:textId="77777777" w:rsidR="009C41BB" w:rsidRDefault="009C41BB" w:rsidP="009C41BB"/>
    <w:p w14:paraId="48578419" w14:textId="77777777" w:rsidR="009C41BB" w:rsidRDefault="009C41BB" w:rsidP="009C41BB">
      <w:pPr>
        <w:pStyle w:val="Questionstyle"/>
        <w:numPr>
          <w:ilvl w:val="0"/>
          <w:numId w:val="42"/>
        </w:numPr>
      </w:pPr>
      <w:r>
        <w:t>: Do you agree that the current version of the templates capture all the information needed for retail investors to understand the characteristics of the products? Do you have views on how to further simplify the language in the dashboard, or other sections of the templates, to make it more understandable to retail investors?</w:t>
      </w:r>
    </w:p>
    <w:p w14:paraId="5C805C53" w14:textId="77777777" w:rsidR="00984B6C" w:rsidRDefault="00984B6C" w:rsidP="009C41BB"/>
    <w:p w14:paraId="607383EE" w14:textId="5CFFCDA0" w:rsidR="009C41BB" w:rsidRDefault="009C41BB" w:rsidP="009C41BB">
      <w:r>
        <w:lastRenderedPageBreak/>
        <w:t>&lt;ESMA_QUESTION_SFDR_31&gt;</w:t>
      </w:r>
    </w:p>
    <w:p w14:paraId="6CB9AF6F" w14:textId="6A12597C" w:rsidR="00C749E5" w:rsidRPr="00984B6C" w:rsidRDefault="00C749E5" w:rsidP="00984B6C">
      <w:pPr>
        <w:widowControl w:val="0"/>
        <w:spacing w:before="255" w:line="279" w:lineRule="auto"/>
        <w:ind w:right="684"/>
        <w:jc w:val="both"/>
        <w:rPr>
          <w:iCs/>
        </w:rPr>
      </w:pPr>
      <w:r w:rsidRPr="00984B6C">
        <w:rPr>
          <w:iCs/>
        </w:rPr>
        <w:t>We agree with not using references to “Article 8”, “Article 9” as retail investors are probably</w:t>
      </w:r>
      <w:r w:rsidR="00984B6C">
        <w:rPr>
          <w:iCs/>
        </w:rPr>
        <w:t xml:space="preserve"> </w:t>
      </w:r>
      <w:r w:rsidRPr="00984B6C">
        <w:rPr>
          <w:iCs/>
        </w:rPr>
        <w:t xml:space="preserve">not familiar with them. </w:t>
      </w:r>
    </w:p>
    <w:p w14:paraId="2A8C365A" w14:textId="3C82025D" w:rsidR="00C749E5" w:rsidRPr="00984B6C" w:rsidRDefault="00C749E5" w:rsidP="00984B6C">
      <w:pPr>
        <w:widowControl w:val="0"/>
        <w:spacing w:before="255" w:line="279" w:lineRule="auto"/>
        <w:ind w:right="684"/>
        <w:jc w:val="both"/>
        <w:rPr>
          <w:iCs/>
        </w:rPr>
      </w:pPr>
      <w:r w:rsidRPr="00984B6C">
        <w:rPr>
          <w:iCs/>
        </w:rPr>
        <w:t>Article 8 mentions promoting E/S characteristics, while the suggested version of the templates</w:t>
      </w:r>
      <w:r w:rsidR="00984B6C">
        <w:rPr>
          <w:iCs/>
        </w:rPr>
        <w:t xml:space="preserve"> </w:t>
      </w:r>
      <w:r w:rsidRPr="00984B6C">
        <w:rPr>
          <w:iCs/>
        </w:rPr>
        <w:t>mentions “having” E/S characteristics in one box, then “promoting” in another, which is confusing.</w:t>
      </w:r>
    </w:p>
    <w:p w14:paraId="30857BBB" w14:textId="77777777" w:rsidR="00C749E5" w:rsidRPr="00984B6C" w:rsidRDefault="00C749E5" w:rsidP="00984B6C">
      <w:pPr>
        <w:jc w:val="both"/>
        <w:rPr>
          <w:iCs/>
        </w:rPr>
      </w:pPr>
      <w:r w:rsidRPr="00984B6C">
        <w:rPr>
          <w:iCs/>
        </w:rPr>
        <w:t xml:space="preserve">There is not enough information in the RTS on considering PAIs on the product level, which makes it difficult to answer this question in the </w:t>
      </w:r>
      <w:proofErr w:type="gramStart"/>
      <w:r w:rsidRPr="00984B6C">
        <w:rPr>
          <w:iCs/>
        </w:rPr>
        <w:t>template</w:t>
      </w:r>
      <w:proofErr w:type="gramEnd"/>
    </w:p>
    <w:p w14:paraId="6EAACB4A" w14:textId="6FD098DE" w:rsidR="009C41BB" w:rsidRDefault="009C41BB" w:rsidP="00C749E5">
      <w:r>
        <w:t>&lt;ESMA_QUESTION_SFDR_31&gt;</w:t>
      </w:r>
    </w:p>
    <w:p w14:paraId="2945C3E1" w14:textId="77777777" w:rsidR="009C41BB" w:rsidRDefault="009C41BB" w:rsidP="009C41BB"/>
    <w:p w14:paraId="74785B16" w14:textId="77777777" w:rsidR="009C41BB" w:rsidRDefault="009C41BB" w:rsidP="009C41BB">
      <w:pPr>
        <w:pStyle w:val="Questionstyle"/>
        <w:numPr>
          <w:ilvl w:val="0"/>
          <w:numId w:val="42"/>
        </w:numPr>
      </w:pPr>
      <w:r>
        <w:t>: Do you have any suggestion on how to further simplify or enhance the legibility of the current templates?</w:t>
      </w:r>
    </w:p>
    <w:p w14:paraId="484B5EB7" w14:textId="77777777" w:rsidR="009C41BB" w:rsidRDefault="009C41BB" w:rsidP="009C41BB">
      <w:r>
        <w:t>&lt;ESMA_QUESTION_SFDR_32&gt;</w:t>
      </w:r>
    </w:p>
    <w:p w14:paraId="0AD19C83" w14:textId="77777777" w:rsidR="00C749E5" w:rsidRPr="00984B6C" w:rsidRDefault="00C749E5" w:rsidP="00984B6C">
      <w:pPr>
        <w:jc w:val="both"/>
        <w:rPr>
          <w:iCs/>
        </w:rPr>
      </w:pPr>
      <w:r w:rsidRPr="00984B6C">
        <w:rPr>
          <w:iCs/>
        </w:rPr>
        <w:t xml:space="preserve">Some questions are not clear enough especially for some specific investments. For </w:t>
      </w:r>
      <w:proofErr w:type="gramStart"/>
      <w:r w:rsidRPr="00984B6C">
        <w:rPr>
          <w:iCs/>
        </w:rPr>
        <w:t>example</w:t>
      </w:r>
      <w:proofErr w:type="gramEnd"/>
      <w:r w:rsidRPr="00984B6C">
        <w:rPr>
          <w:iCs/>
        </w:rPr>
        <w:t xml:space="preserve"> it is not clear how to answer the following question when the FMP invests in real estate: How is it assessed whether the companies which are invested in, follow good governance practices, such as tax compliance or employee matters?</w:t>
      </w:r>
    </w:p>
    <w:p w14:paraId="7E9441BB" w14:textId="3965A0AB" w:rsidR="009C41BB" w:rsidRDefault="009C41BB" w:rsidP="009C41BB">
      <w:r>
        <w:t>&lt;ESMA_QUESTION_SFDR_32&gt;</w:t>
      </w:r>
    </w:p>
    <w:p w14:paraId="18AAA0E4" w14:textId="77777777" w:rsidR="009C41BB" w:rsidRDefault="009C41BB" w:rsidP="009C41BB"/>
    <w:p w14:paraId="64EB0B57" w14:textId="77777777" w:rsidR="009C41BB" w:rsidRDefault="009C41BB" w:rsidP="009C41BB">
      <w:pPr>
        <w:pStyle w:val="Questionstyle"/>
        <w:numPr>
          <w:ilvl w:val="0"/>
          <w:numId w:val="42"/>
        </w:numPr>
      </w:pPr>
      <w:r>
        <w:t>: Is the investment tree in the asset allocation section necessary if the dashboard shows the proportion of sustainable and taxonomy-aligned investments?</w:t>
      </w:r>
    </w:p>
    <w:p w14:paraId="281EF182" w14:textId="77777777" w:rsidR="009C41BB" w:rsidRDefault="009C41BB" w:rsidP="009C41BB">
      <w:r>
        <w:t>&lt;ESMA_QUESTION_SFDR_33&gt;</w:t>
      </w:r>
    </w:p>
    <w:p w14:paraId="1559C49F" w14:textId="77777777" w:rsidR="00C749E5" w:rsidRPr="00984B6C" w:rsidRDefault="00C749E5" w:rsidP="00984B6C">
      <w:pPr>
        <w:jc w:val="both"/>
        <w:rPr>
          <w:iCs/>
        </w:rPr>
      </w:pPr>
      <w:r w:rsidRPr="00984B6C">
        <w:rPr>
          <w:iCs/>
        </w:rPr>
        <w:t>We do not think this section is necessary. In addition, we do not understand what should be written as an answer to the question: What was the asset allocation?</w:t>
      </w:r>
    </w:p>
    <w:p w14:paraId="6599A667" w14:textId="0F784E1F" w:rsidR="009C41BB" w:rsidRDefault="009C41BB" w:rsidP="009C41BB">
      <w:r>
        <w:t>&lt;ESMA_QUESTION_SFDR_33&gt;</w:t>
      </w:r>
    </w:p>
    <w:p w14:paraId="5291B095" w14:textId="77777777" w:rsidR="009C41BB" w:rsidRDefault="009C41BB" w:rsidP="009C41BB"/>
    <w:p w14:paraId="3A3024F0" w14:textId="77777777" w:rsidR="009C41BB" w:rsidRDefault="009C41BB" w:rsidP="009C41BB">
      <w:pPr>
        <w:pStyle w:val="Questionstyle"/>
        <w:numPr>
          <w:ilvl w:val="0"/>
          <w:numId w:val="42"/>
        </w:numPr>
      </w:pPr>
      <w:r>
        <w:t xml:space="preserve">: Do you agree with this approach of ensuring consistency in the use of </w:t>
      </w:r>
      <w:proofErr w:type="spellStart"/>
      <w:r>
        <w:t>colours</w:t>
      </w:r>
      <w:proofErr w:type="spellEnd"/>
      <w:r>
        <w:t xml:space="preserve"> in Annex II to V in the templates?</w:t>
      </w:r>
    </w:p>
    <w:p w14:paraId="6405D8BD" w14:textId="77777777" w:rsidR="009C41BB" w:rsidRDefault="009C41BB" w:rsidP="009C41BB">
      <w:r>
        <w:t>&lt;ESMA_QUESTION_SFDR_34&gt;</w:t>
      </w:r>
    </w:p>
    <w:p w14:paraId="46E6BCBD" w14:textId="1CE3859D" w:rsidR="00471FAC" w:rsidRPr="00984B6C" w:rsidRDefault="00471FAC" w:rsidP="009C41BB">
      <w:pPr>
        <w:rPr>
          <w:iCs/>
        </w:rPr>
      </w:pPr>
      <w:r w:rsidRPr="00984B6C">
        <w:rPr>
          <w:iCs/>
        </w:rPr>
        <w:lastRenderedPageBreak/>
        <w:t xml:space="preserve">The green colour is associated with environmental issues, while the financial product can have only social characteristic/objectives, but still the green </w:t>
      </w:r>
      <w:proofErr w:type="spellStart"/>
      <w:r w:rsidRPr="00984B6C">
        <w:rPr>
          <w:iCs/>
        </w:rPr>
        <w:t>color</w:t>
      </w:r>
      <w:proofErr w:type="spellEnd"/>
      <w:r w:rsidRPr="00984B6C">
        <w:rPr>
          <w:iCs/>
        </w:rPr>
        <w:t xml:space="preserve"> will be used, which can be a little misleading. </w:t>
      </w:r>
      <w:proofErr w:type="gramStart"/>
      <w:r w:rsidRPr="00984B6C">
        <w:rPr>
          <w:iCs/>
        </w:rPr>
        <w:t>Otherwise</w:t>
      </w:r>
      <w:proofErr w:type="gramEnd"/>
      <w:r w:rsidRPr="00984B6C">
        <w:rPr>
          <w:iCs/>
        </w:rPr>
        <w:t xml:space="preserve"> we agree with the suggested approach.</w:t>
      </w:r>
    </w:p>
    <w:p w14:paraId="16A8B44E" w14:textId="1113FD3D" w:rsidR="009C41BB" w:rsidRDefault="009C41BB" w:rsidP="009C41BB">
      <w:r>
        <w:t>&lt;ESMA_QUESTION_SFDR_34&gt;</w:t>
      </w:r>
    </w:p>
    <w:p w14:paraId="6119CB7B" w14:textId="77777777" w:rsidR="009C41BB" w:rsidRDefault="009C41BB" w:rsidP="009C41BB"/>
    <w:p w14:paraId="35A021E6" w14:textId="77777777" w:rsidR="009C41BB" w:rsidRDefault="009C41BB" w:rsidP="009C41BB">
      <w:pPr>
        <w:pStyle w:val="Questionstyle"/>
        <w:numPr>
          <w:ilvl w:val="0"/>
          <w:numId w:val="42"/>
        </w:numPr>
      </w:pPr>
      <w:r>
        <w:t>: Do you agree with the approach to allow to display the pre-contractual and periodic disclosures in an extendable manner electronically?</w:t>
      </w:r>
    </w:p>
    <w:p w14:paraId="5B4143D4" w14:textId="77777777" w:rsidR="009C41BB" w:rsidRDefault="009C41BB" w:rsidP="009C41BB">
      <w:r>
        <w:t>&lt;ESMA_QUESTION_SFDR_35&gt;</w:t>
      </w:r>
    </w:p>
    <w:p w14:paraId="76F52B1F" w14:textId="368435DB" w:rsidR="00471FAC" w:rsidRPr="00984B6C" w:rsidRDefault="00471FAC" w:rsidP="00984B6C">
      <w:pPr>
        <w:jc w:val="both"/>
        <w:rPr>
          <w:iCs/>
        </w:rPr>
      </w:pPr>
      <w:r w:rsidRPr="00984B6C">
        <w:rPr>
          <w:iCs/>
        </w:rPr>
        <w:t>There is a need of user-</w:t>
      </w:r>
      <w:proofErr w:type="spellStart"/>
      <w:r w:rsidRPr="00984B6C">
        <w:rPr>
          <w:iCs/>
        </w:rPr>
        <w:t>friendy</w:t>
      </w:r>
      <w:proofErr w:type="spellEnd"/>
      <w:r w:rsidRPr="00984B6C">
        <w:rPr>
          <w:iCs/>
        </w:rPr>
        <w:t xml:space="preserve"> templates in different languages which can be easily filled in while allowing to delete non-relevant questions without changing the format of the document.</w:t>
      </w:r>
    </w:p>
    <w:p w14:paraId="6C8E5897" w14:textId="4F93DF95" w:rsidR="009C41BB" w:rsidRDefault="009C41BB" w:rsidP="009C41BB">
      <w:r>
        <w:t>&lt;ESMA_QUESTION_SFDR_35&gt;</w:t>
      </w:r>
    </w:p>
    <w:p w14:paraId="2BE97EFC" w14:textId="77777777" w:rsidR="009C41BB" w:rsidRDefault="009C41BB" w:rsidP="009C41BB"/>
    <w:p w14:paraId="37B95334" w14:textId="77777777" w:rsidR="009C41BB" w:rsidRDefault="009C41BB" w:rsidP="009C41BB">
      <w:pPr>
        <w:pStyle w:val="Questionstyle"/>
        <w:numPr>
          <w:ilvl w:val="0"/>
          <w:numId w:val="42"/>
        </w:numPr>
      </w:pPr>
      <w:r>
        <w:t xml:space="preserve">: Do you have any feedback </w:t>
      </w:r>
      <w:proofErr w:type="gramStart"/>
      <w:r>
        <w:t>with regard to</w:t>
      </w:r>
      <w:proofErr w:type="gramEnd"/>
      <w:r>
        <w:t xml:space="preserve"> the potential criteria for estimates?</w:t>
      </w:r>
    </w:p>
    <w:p w14:paraId="5BB9BA92" w14:textId="77777777" w:rsidR="009C41BB" w:rsidRDefault="009C41BB" w:rsidP="009C41BB">
      <w:r>
        <w:t>&lt;ESMA_QUESTION_SFDR_36&gt;</w:t>
      </w:r>
    </w:p>
    <w:p w14:paraId="7F375438" w14:textId="77777777" w:rsidR="009C41BB" w:rsidRDefault="009C41BB" w:rsidP="009C41BB">
      <w:permStart w:id="1338527016" w:edGrp="everyone"/>
      <w:r>
        <w:t>TYPE YOUR TEXT HERE</w:t>
      </w:r>
    </w:p>
    <w:permEnd w:id="1338527016"/>
    <w:p w14:paraId="08A6D8BD" w14:textId="77777777" w:rsidR="009C41BB" w:rsidRDefault="009C41BB" w:rsidP="009C41BB">
      <w:r>
        <w:t>&lt;ESMA_QUESTION_SFDR_36&gt;</w:t>
      </w:r>
    </w:p>
    <w:p w14:paraId="03D58FD3" w14:textId="77777777" w:rsidR="009C41BB" w:rsidRDefault="009C41BB" w:rsidP="009C41BB"/>
    <w:p w14:paraId="32FB37DE" w14:textId="77777777" w:rsidR="009C41BB" w:rsidRDefault="009C41BB" w:rsidP="009C41BB">
      <w:pPr>
        <w:pStyle w:val="Questionstyle"/>
        <w:numPr>
          <w:ilvl w:val="0"/>
          <w:numId w:val="42"/>
        </w:numPr>
      </w:pPr>
      <w:r>
        <w:t>: Do you perceive the need for a more specific definition of the concept of “key environmental metrics” to prevent greenwashing? If so, how could those metrics be defined?</w:t>
      </w:r>
    </w:p>
    <w:p w14:paraId="6A9B0B8C" w14:textId="77777777" w:rsidR="009C41BB" w:rsidRDefault="009C41BB" w:rsidP="009C41BB">
      <w:r>
        <w:t>&lt;ESMA_QUESTION_SFDR_37&gt;</w:t>
      </w:r>
    </w:p>
    <w:p w14:paraId="5916FA23" w14:textId="77777777" w:rsidR="009C41BB" w:rsidRDefault="009C41BB" w:rsidP="009C41BB">
      <w:permStart w:id="1477927507" w:edGrp="everyone"/>
      <w:r>
        <w:t>TYPE YOUR TEXT HERE</w:t>
      </w:r>
    </w:p>
    <w:permEnd w:id="1477927507"/>
    <w:p w14:paraId="6186E95A" w14:textId="77777777" w:rsidR="009C41BB" w:rsidRDefault="009C41BB" w:rsidP="009C41BB">
      <w:r>
        <w:t>&lt;ESMA_QUESTION_SFDR_37&gt;</w:t>
      </w:r>
    </w:p>
    <w:p w14:paraId="0FB31D55" w14:textId="77777777" w:rsidR="009C41BB" w:rsidRDefault="009C41BB" w:rsidP="009C41BB"/>
    <w:p w14:paraId="6578EE1D" w14:textId="77777777" w:rsidR="009C41BB" w:rsidRDefault="009C41BB" w:rsidP="009C41BB">
      <w:pPr>
        <w:pStyle w:val="Questionstyle"/>
        <w:numPr>
          <w:ilvl w:val="0"/>
          <w:numId w:val="42"/>
        </w:numPr>
      </w:pPr>
      <w:r>
        <w:t>: Do you see the need to set out specific rules on the calculation of the proportion of sustainable investments of financial products? Please elaborate.</w:t>
      </w:r>
    </w:p>
    <w:p w14:paraId="6B53BD21" w14:textId="77777777" w:rsidR="009C41BB" w:rsidRDefault="009C41BB" w:rsidP="009C41BB">
      <w:r>
        <w:t>&lt;ESMA_QUESTION_SFDR_38&gt;</w:t>
      </w:r>
    </w:p>
    <w:p w14:paraId="068B78BA" w14:textId="77777777" w:rsidR="009C41BB" w:rsidRDefault="009C41BB" w:rsidP="009C41BB">
      <w:permStart w:id="1880105875" w:edGrp="everyone"/>
      <w:r>
        <w:t>TYPE YOUR TEXT HERE</w:t>
      </w:r>
    </w:p>
    <w:permEnd w:id="1880105875"/>
    <w:p w14:paraId="2FA3340A" w14:textId="77777777" w:rsidR="009C41BB" w:rsidRDefault="009C41BB" w:rsidP="009C41BB">
      <w:r>
        <w:lastRenderedPageBreak/>
        <w:t>&lt;ESMA_QUESTION_SFDR_38&gt;</w:t>
      </w:r>
    </w:p>
    <w:p w14:paraId="23102D84" w14:textId="77777777" w:rsidR="009C41BB" w:rsidRDefault="009C41BB" w:rsidP="009C41BB"/>
    <w:p w14:paraId="3EAED82D" w14:textId="77777777" w:rsidR="009C41BB" w:rsidRDefault="009C41BB" w:rsidP="009C41BB">
      <w:pPr>
        <w:pStyle w:val="Questionstyle"/>
        <w:numPr>
          <w:ilvl w:val="0"/>
          <w:numId w:val="42"/>
        </w:numPr>
      </w:pPr>
      <w:r>
        <w:t>: Do you agree that cross-</w:t>
      </w:r>
      <w:proofErr w:type="gramStart"/>
      <w:r>
        <w:t>referencing in</w:t>
      </w:r>
      <w:proofErr w:type="gramEnd"/>
      <w:r>
        <w:t xml:space="preserve"> periodic disclosures of financial products with investment options would be beneficial to address information overload?</w:t>
      </w:r>
    </w:p>
    <w:p w14:paraId="54A80B2A" w14:textId="77777777" w:rsidR="009C41BB" w:rsidRDefault="009C41BB" w:rsidP="009C41BB">
      <w:r>
        <w:t>&lt;ESMA_QUESTION_SFDR_39&gt;</w:t>
      </w:r>
    </w:p>
    <w:p w14:paraId="4DC13BC6" w14:textId="77777777" w:rsidR="009C41BB" w:rsidRDefault="009C41BB" w:rsidP="009C41BB">
      <w:permStart w:id="2135520093" w:edGrp="everyone"/>
      <w:r>
        <w:t>TYPE YOUR TEXT HERE</w:t>
      </w:r>
    </w:p>
    <w:permEnd w:id="2135520093"/>
    <w:p w14:paraId="091EFBE4" w14:textId="77777777" w:rsidR="009C41BB" w:rsidRDefault="009C41BB" w:rsidP="009C41BB">
      <w:r>
        <w:t>&lt;ESMA_QUESTION_SFDR_39&gt;</w:t>
      </w:r>
    </w:p>
    <w:p w14:paraId="04B20EF5" w14:textId="77777777" w:rsidR="009C41BB" w:rsidRDefault="009C41BB" w:rsidP="009C41BB"/>
    <w:p w14:paraId="3DF4782A" w14:textId="77777777" w:rsidR="009C41BB" w:rsidRDefault="009C41BB" w:rsidP="009C41BB">
      <w:pPr>
        <w:pStyle w:val="Questionstyle"/>
        <w:numPr>
          <w:ilvl w:val="0"/>
          <w:numId w:val="42"/>
        </w:numPr>
      </w:pPr>
      <w:r>
        <w:t>: Do you agree with the proposed website disclosures for financial products with investment options?</w:t>
      </w:r>
    </w:p>
    <w:p w14:paraId="66B2AEB5" w14:textId="77777777" w:rsidR="009C41BB" w:rsidRDefault="009C41BB" w:rsidP="009C41BB">
      <w:r>
        <w:t>&lt;ESMA_QUESTION_SFDR_40&gt;</w:t>
      </w:r>
    </w:p>
    <w:p w14:paraId="6FE55295" w14:textId="77777777" w:rsidR="009C41BB" w:rsidRDefault="009C41BB" w:rsidP="009C41BB">
      <w:permStart w:id="388397641" w:edGrp="everyone"/>
      <w:r>
        <w:t>TYPE YOUR TEXT HERE</w:t>
      </w:r>
    </w:p>
    <w:permEnd w:id="388397641"/>
    <w:p w14:paraId="4B9E0F7F" w14:textId="77777777" w:rsidR="009C41BB" w:rsidRDefault="009C41BB" w:rsidP="009C41BB">
      <w:r>
        <w:t>&lt;ESMA_QUESTION_SFDR_40&gt;</w:t>
      </w:r>
    </w:p>
    <w:p w14:paraId="09C54E3C" w14:textId="77777777" w:rsidR="009C41BB" w:rsidRDefault="009C41BB" w:rsidP="009C41BB"/>
    <w:p w14:paraId="71571821" w14:textId="77777777" w:rsidR="009C41BB" w:rsidRDefault="009C41BB" w:rsidP="009C41BB">
      <w:pPr>
        <w:pStyle w:val="Questionstyle"/>
        <w:numPr>
          <w:ilvl w:val="0"/>
          <w:numId w:val="42"/>
        </w:numPr>
      </w:pPr>
      <w:r>
        <w:t>: What are your views on the proposal to require that any investment option with sustainability-related features that qualifies the financial product with investment options as a financial product that promotes environmental and/or social characteristics or as a financial product that has sustainable investment as its objective, should disclose the financial product templates, with the exception of those investment options that are financial instruments according to Annex I of Directive 2014/65/EU and are not units in collective investment undertakings? Should those investment options be covered in some other way?</w:t>
      </w:r>
    </w:p>
    <w:p w14:paraId="35459D01" w14:textId="77777777" w:rsidR="009C41BB" w:rsidRDefault="009C41BB" w:rsidP="009C41BB">
      <w:r>
        <w:t>&lt;ESMA_QUESTION_SFDR_41&gt;</w:t>
      </w:r>
    </w:p>
    <w:p w14:paraId="4AA5024F" w14:textId="77777777" w:rsidR="009C41BB" w:rsidRDefault="009C41BB" w:rsidP="009C41BB">
      <w:permStart w:id="1516521151" w:edGrp="everyone"/>
      <w:r>
        <w:t>TYPE YOUR TEXT HERE</w:t>
      </w:r>
    </w:p>
    <w:permEnd w:id="1516521151"/>
    <w:p w14:paraId="37566D76" w14:textId="77777777" w:rsidR="009C41BB" w:rsidRDefault="009C41BB" w:rsidP="009C41BB">
      <w:r>
        <w:t>&lt;ESMA_QUESTION_SFDR_41&gt;</w:t>
      </w:r>
    </w:p>
    <w:p w14:paraId="09B21CC4" w14:textId="77777777" w:rsidR="009C41BB" w:rsidRDefault="009C41BB" w:rsidP="009C41BB"/>
    <w:p w14:paraId="110636F7" w14:textId="77777777" w:rsidR="009C41BB" w:rsidRDefault="009C41BB" w:rsidP="009C41BB">
      <w:pPr>
        <w:pStyle w:val="Questionstyle"/>
        <w:numPr>
          <w:ilvl w:val="0"/>
          <w:numId w:val="42"/>
        </w:numPr>
      </w:pPr>
      <w:r>
        <w:t>: What are the criteria the ESAs should consider when defining which information should be disclosed in a machine-readable format? Do you have any views at this stage as to which machine-readable format should be used? What challenges do you anticipate preparing and/or consuming such information in a machine-readable format?</w:t>
      </w:r>
    </w:p>
    <w:p w14:paraId="36775834" w14:textId="77777777" w:rsidR="009C41BB" w:rsidRDefault="009C41BB" w:rsidP="009C41BB">
      <w:r>
        <w:lastRenderedPageBreak/>
        <w:t>&lt;ESMA_QUESTION_SFDR_42&gt;</w:t>
      </w:r>
    </w:p>
    <w:p w14:paraId="1B7F9EC1" w14:textId="77777777" w:rsidR="009C41BB" w:rsidRDefault="009C41BB" w:rsidP="009C41BB">
      <w:permStart w:id="2063756698" w:edGrp="everyone"/>
      <w:r>
        <w:t>TYPE YOUR TEXT HERE</w:t>
      </w:r>
    </w:p>
    <w:permEnd w:id="2063756698"/>
    <w:p w14:paraId="09FA201E" w14:textId="77777777" w:rsidR="009C41BB" w:rsidRDefault="009C41BB" w:rsidP="009C41BB">
      <w:r>
        <w:t>&lt;ESMA_QUESTION_SFDR_42&gt;</w:t>
      </w:r>
    </w:p>
    <w:p w14:paraId="5BAED5BF" w14:textId="77777777" w:rsidR="009C41BB" w:rsidRDefault="009C41BB" w:rsidP="009C41BB"/>
    <w:p w14:paraId="5D4AD8BA" w14:textId="77777777" w:rsidR="009C41BB" w:rsidRDefault="009C41BB" w:rsidP="009C41BB">
      <w:pPr>
        <w:pStyle w:val="Questionstyle"/>
        <w:numPr>
          <w:ilvl w:val="0"/>
          <w:numId w:val="42"/>
        </w:numPr>
      </w:pPr>
      <w:r>
        <w:t>: Do you have any views on the preliminary impact assessments? Can you provide estimates of costs associated with each of the policy options?</w:t>
      </w:r>
    </w:p>
    <w:p w14:paraId="1B693755" w14:textId="77777777" w:rsidR="009C41BB" w:rsidRDefault="009C41BB" w:rsidP="009C41BB">
      <w:r>
        <w:t>&lt;ESMA_QUESTION_SFDR_43&gt;</w:t>
      </w:r>
    </w:p>
    <w:p w14:paraId="2E7C709A" w14:textId="77777777" w:rsidR="009C41BB" w:rsidRDefault="009C41BB" w:rsidP="009C41BB">
      <w:permStart w:id="1679513234" w:edGrp="everyone"/>
      <w:r>
        <w:t>TYPE YOUR TEXT HERE</w:t>
      </w:r>
    </w:p>
    <w:permEnd w:id="1679513234"/>
    <w:p w14:paraId="76F88AAD" w14:textId="77777777" w:rsidR="009C41BB" w:rsidRDefault="009C41BB" w:rsidP="009C41BB">
      <w:r>
        <w:t>&lt;ESMA_QUESTION_SFDR_43&gt;</w:t>
      </w:r>
    </w:p>
    <w:p w14:paraId="37ECFAAC" w14:textId="77777777" w:rsidR="009C41BB" w:rsidRDefault="009C41BB" w:rsidP="009C41BB"/>
    <w:p w14:paraId="19595AA6" w14:textId="77777777" w:rsidR="009C41BB" w:rsidRDefault="009C41BB" w:rsidP="009C41BB"/>
    <w:p w14:paraId="6FB57019" w14:textId="77777777" w:rsidR="00171F53" w:rsidRPr="005418F4" w:rsidRDefault="00171F53" w:rsidP="005418F4">
      <w:pPr>
        <w:ind w:left="567" w:hanging="567"/>
        <w:jc w:val="both"/>
        <w:rPr>
          <w:rFonts w:ascii="Arial" w:hAnsi="Arial" w:cs="Arial"/>
          <w:b/>
          <w:bCs/>
          <w:sz w:val="28"/>
          <w:szCs w:val="28"/>
          <w:lang w:val="en-US"/>
        </w:rPr>
      </w:pPr>
    </w:p>
    <w:sectPr w:rsidR="00171F53" w:rsidRPr="005418F4" w:rsidSect="00F2442C">
      <w:headerReference w:type="even" r:id="rId16"/>
      <w:headerReference w:type="default" r:id="rId17"/>
      <w:footerReference w:type="even" r:id="rId18"/>
      <w:footerReference w:type="default" r:id="rId19"/>
      <w:headerReference w:type="first" r:id="rId20"/>
      <w:footerReference w:type="first" r:id="rId21"/>
      <w:pgSz w:w="11906" w:h="16838"/>
      <w:pgMar w:top="195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BB6C1" w14:textId="77777777" w:rsidR="000D6887" w:rsidRDefault="000D6887" w:rsidP="00707738">
      <w:pPr>
        <w:spacing w:after="0" w:line="240" w:lineRule="auto"/>
      </w:pPr>
      <w:r>
        <w:separator/>
      </w:r>
    </w:p>
  </w:endnote>
  <w:endnote w:type="continuationSeparator" w:id="0">
    <w:p w14:paraId="3DCDA138" w14:textId="77777777" w:rsidR="000D6887" w:rsidRDefault="000D6887" w:rsidP="00707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E5D2" w14:textId="77777777" w:rsidR="00FC51D6" w:rsidRDefault="00FC5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670219"/>
      <w:docPartObj>
        <w:docPartGallery w:val="Page Numbers (Bottom of Page)"/>
        <w:docPartUnique/>
      </w:docPartObj>
    </w:sdtPr>
    <w:sdtEndPr>
      <w:rPr>
        <w:noProof/>
      </w:rPr>
    </w:sdtEndPr>
    <w:sdtContent>
      <w:p w14:paraId="57337071" w14:textId="77777777" w:rsidR="00142894" w:rsidRDefault="00142894">
        <w:pPr>
          <w:pStyle w:val="Footer"/>
          <w:jc w:val="right"/>
        </w:pPr>
        <w:r>
          <w:fldChar w:fldCharType="begin"/>
        </w:r>
        <w:r>
          <w:instrText xml:space="preserve"> PAGE   \* MERGEFORMAT </w:instrText>
        </w:r>
        <w:r>
          <w:fldChar w:fldCharType="separate"/>
        </w:r>
        <w:r w:rsidR="00E827EB">
          <w:rPr>
            <w:noProof/>
          </w:rPr>
          <w:t>3</w:t>
        </w:r>
        <w:r>
          <w:rPr>
            <w:noProof/>
          </w:rPr>
          <w:fldChar w:fldCharType="end"/>
        </w:r>
      </w:p>
    </w:sdtContent>
  </w:sdt>
  <w:p w14:paraId="6B6D8C38" w14:textId="77777777" w:rsidR="008A6C4F" w:rsidRDefault="008A6C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CA09" w14:textId="77777777" w:rsidR="00FC51D6" w:rsidRDefault="00FC5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57159" w14:textId="77777777" w:rsidR="000D6887" w:rsidRDefault="000D6887" w:rsidP="00707738">
      <w:pPr>
        <w:spacing w:after="0" w:line="240" w:lineRule="auto"/>
      </w:pPr>
      <w:r>
        <w:separator/>
      </w:r>
    </w:p>
  </w:footnote>
  <w:footnote w:type="continuationSeparator" w:id="0">
    <w:p w14:paraId="0B77A125" w14:textId="77777777" w:rsidR="000D6887" w:rsidRDefault="000D6887" w:rsidP="00707738">
      <w:pPr>
        <w:spacing w:after="0" w:line="240" w:lineRule="auto"/>
      </w:pPr>
      <w:r>
        <w:continuationSeparator/>
      </w:r>
    </w:p>
  </w:footnote>
  <w:footnote w:id="1">
    <w:p w14:paraId="5BF82E71" w14:textId="77777777" w:rsidR="009C41BB" w:rsidRDefault="009C41BB" w:rsidP="009C41BB">
      <w:pPr>
        <w:pStyle w:val="FootnoteText"/>
      </w:pPr>
      <w:r>
        <w:rPr>
          <w:rStyle w:val="FootnoteReference"/>
        </w:rPr>
        <w:footnoteRef/>
      </w:r>
      <w:r>
        <w:t xml:space="preserve"> </w:t>
      </w:r>
      <w:r w:rsidRPr="00010A39">
        <w:t xml:space="preserve">Regulation (EU) 2018/1725 OF THE EUROPEAN PARLIAMENT AND OF THE COUNCIL of 23 October 2018 on the protection of natural persons </w:t>
      </w:r>
      <w:proofErr w:type="gramStart"/>
      <w:r w:rsidRPr="00010A39">
        <w:t>with regard to</w:t>
      </w:r>
      <w:proofErr w:type="gramEnd"/>
      <w:r w:rsidRPr="00010A39">
        <w:t xml:space="preserve">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250E9" w14:textId="77777777" w:rsidR="00FC51D6" w:rsidRDefault="00FC5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7F85" w14:textId="1A763933" w:rsidR="00161F7C" w:rsidRDefault="00276971">
    <w:pPr>
      <w:pStyle w:val="Header"/>
    </w:pPr>
    <w:r>
      <w:rPr>
        <w:noProof/>
      </w:rPr>
      <mc:AlternateContent>
        <mc:Choice Requires="wpg">
          <w:drawing>
            <wp:anchor distT="0" distB="0" distL="114300" distR="114300" simplePos="0" relativeHeight="251659264" behindDoc="0" locked="0" layoutInCell="1" allowOverlap="1" wp14:anchorId="447D0A3B" wp14:editId="068AAD97">
              <wp:simplePos x="0" y="0"/>
              <wp:positionH relativeFrom="margin">
                <wp:align>center</wp:align>
              </wp:positionH>
              <wp:positionV relativeFrom="paragraph">
                <wp:posOffset>-635</wp:posOffset>
              </wp:positionV>
              <wp:extent cx="5395546" cy="657225"/>
              <wp:effectExtent l="0" t="0" r="0" b="9525"/>
              <wp:wrapNone/>
              <wp:docPr id="2" name="Group 2"/>
              <wp:cNvGraphicFramePr/>
              <a:graphic xmlns:a="http://schemas.openxmlformats.org/drawingml/2006/main">
                <a:graphicData uri="http://schemas.microsoft.com/office/word/2010/wordprocessingGroup">
                  <wpg:wgp>
                    <wpg:cNvGrpSpPr/>
                    <wpg:grpSpPr>
                      <a:xfrm>
                        <a:off x="0" y="0"/>
                        <a:ext cx="5395546" cy="657225"/>
                        <a:chOff x="0" y="0"/>
                        <a:chExt cx="5395546" cy="657225"/>
                      </a:xfrm>
                    </wpg:grpSpPr>
                    <pic:pic xmlns:pic="http://schemas.openxmlformats.org/drawingml/2006/picture">
                      <pic:nvPicPr>
                        <pic:cNvPr id="11" name="Picture 11"/>
                        <pic:cNvPicPr>
                          <a:picLocks noChangeAspect="1"/>
                        </pic:cNvPicPr>
                      </pic:nvPicPr>
                      <pic:blipFill rotWithShape="1">
                        <a:blip r:embed="rId1" cstate="print">
                          <a:extLst>
                            <a:ext uri="{28A0092B-C50C-407E-A947-70E740481C1C}">
                              <a14:useLocalDpi xmlns:a14="http://schemas.microsoft.com/office/drawing/2010/main" val="0"/>
                            </a:ext>
                          </a:extLst>
                        </a:blip>
                        <a:srcRect l="74340"/>
                        <a:stretch/>
                      </pic:blipFill>
                      <pic:spPr bwMode="auto">
                        <a:xfrm>
                          <a:off x="4107766" y="21101"/>
                          <a:ext cx="1287780" cy="55118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Graphic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829050" cy="657225"/>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w:pict w14:anchorId="379BD00B">
            <v:group id="Group 2" style="position:absolute;margin-left:0;margin-top:-.05pt;width:424.85pt;height:51.75pt;z-index:251659264;mso-position-horizontal:center;mso-position-horizontal-relative:margin" coordsize="53955,6572" o:spid="_x0000_s1026" w14:anchorId="161CCC8A"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 style="position:absolute;left:41077;top:211;width:12878;height:551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">
                <v:imagedata cropleft="48719f" o:title="" r:id="rId3"/>
              </v:shape>
              <v:shape id="Graphic 1" style="position:absolute;width:38290;height:657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">
                <v:imagedata o:title="" r:id="rId4"/>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83AE" w14:textId="77777777" w:rsidR="00FC51D6" w:rsidRDefault="00FC5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0EFE"/>
    <w:multiLevelType w:val="hybridMultilevel"/>
    <w:tmpl w:val="B6E01CC4"/>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931DCF"/>
    <w:multiLevelType w:val="hybridMultilevel"/>
    <w:tmpl w:val="6E007C04"/>
    <w:lvl w:ilvl="0" w:tplc="0CF802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D43E7D"/>
    <w:multiLevelType w:val="multilevel"/>
    <w:tmpl w:val="14F20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22E3CA5"/>
    <w:multiLevelType w:val="hybridMultilevel"/>
    <w:tmpl w:val="53D8E2A0"/>
    <w:lvl w:ilvl="0" w:tplc="5E9AC078">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2AF283C"/>
    <w:multiLevelType w:val="hybridMultilevel"/>
    <w:tmpl w:val="39C24B90"/>
    <w:lvl w:ilvl="0" w:tplc="69DEDBD0">
      <w:start w:val="8"/>
      <w:numFmt w:val="bullet"/>
      <w:lvlText w:val=""/>
      <w:lvlJc w:val="left"/>
      <w:pPr>
        <w:ind w:left="1080" w:hanging="360"/>
      </w:pPr>
      <w:rPr>
        <w:rFonts w:ascii="Symbol" w:eastAsia="MS PGothic"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5315241"/>
    <w:multiLevelType w:val="hybridMultilevel"/>
    <w:tmpl w:val="B66AA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3E470D"/>
    <w:multiLevelType w:val="multilevel"/>
    <w:tmpl w:val="023E4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6CF5E37"/>
    <w:multiLevelType w:val="hybridMultilevel"/>
    <w:tmpl w:val="525A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F80C1D"/>
    <w:multiLevelType w:val="hybridMultilevel"/>
    <w:tmpl w:val="C47EA1CA"/>
    <w:lvl w:ilvl="0" w:tplc="0809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291500"/>
    <w:multiLevelType w:val="hybridMultilevel"/>
    <w:tmpl w:val="CAA0F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6913D0"/>
    <w:multiLevelType w:val="hybridMultilevel"/>
    <w:tmpl w:val="8E4ED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42377B"/>
    <w:multiLevelType w:val="hybridMultilevel"/>
    <w:tmpl w:val="4DDC6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263CFF"/>
    <w:multiLevelType w:val="hybridMultilevel"/>
    <w:tmpl w:val="95D23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E84723"/>
    <w:multiLevelType w:val="hybridMultilevel"/>
    <w:tmpl w:val="347CFE06"/>
    <w:lvl w:ilvl="0" w:tplc="0C0A1DD0">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2319B8"/>
    <w:multiLevelType w:val="hybridMultilevel"/>
    <w:tmpl w:val="BA0E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5F0E03"/>
    <w:multiLevelType w:val="hybridMultilevel"/>
    <w:tmpl w:val="7D6AE184"/>
    <w:lvl w:ilvl="0" w:tplc="0809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8716285"/>
    <w:multiLevelType w:val="hybridMultilevel"/>
    <w:tmpl w:val="69BCA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BDC0C95"/>
    <w:multiLevelType w:val="hybridMultilevel"/>
    <w:tmpl w:val="05307B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C8C4E59"/>
    <w:multiLevelType w:val="hybridMultilevel"/>
    <w:tmpl w:val="0E5A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5B74DE"/>
    <w:multiLevelType w:val="hybridMultilevel"/>
    <w:tmpl w:val="81449A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DFB507A"/>
    <w:multiLevelType w:val="hybridMultilevel"/>
    <w:tmpl w:val="26BC5E9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5C70C54"/>
    <w:multiLevelType w:val="hybridMultilevel"/>
    <w:tmpl w:val="BDE0B4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C20011E"/>
    <w:multiLevelType w:val="hybridMultilevel"/>
    <w:tmpl w:val="1B480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4833821"/>
    <w:multiLevelType w:val="hybridMultilevel"/>
    <w:tmpl w:val="0C06A872"/>
    <w:lvl w:ilvl="0" w:tplc="31088DBC">
      <w:start w:val="2"/>
      <w:numFmt w:val="bullet"/>
      <w:lvlText w:val="-"/>
      <w:lvlJc w:val="left"/>
      <w:pPr>
        <w:ind w:left="413" w:hanging="360"/>
      </w:pPr>
      <w:rPr>
        <w:rFonts w:ascii="Calibri" w:eastAsiaTheme="minorHAnsi" w:hAnsi="Calibri" w:cs="Calibri" w:hint="default"/>
      </w:rPr>
    </w:lvl>
    <w:lvl w:ilvl="1" w:tplc="08090003" w:tentative="1">
      <w:start w:val="1"/>
      <w:numFmt w:val="bullet"/>
      <w:lvlText w:val="o"/>
      <w:lvlJc w:val="left"/>
      <w:pPr>
        <w:ind w:left="1133" w:hanging="360"/>
      </w:pPr>
      <w:rPr>
        <w:rFonts w:ascii="Courier New" w:hAnsi="Courier New" w:cs="Courier New" w:hint="default"/>
      </w:rPr>
    </w:lvl>
    <w:lvl w:ilvl="2" w:tplc="08090005" w:tentative="1">
      <w:start w:val="1"/>
      <w:numFmt w:val="bullet"/>
      <w:lvlText w:val=""/>
      <w:lvlJc w:val="left"/>
      <w:pPr>
        <w:ind w:left="1853" w:hanging="360"/>
      </w:pPr>
      <w:rPr>
        <w:rFonts w:ascii="Wingdings" w:hAnsi="Wingdings" w:hint="default"/>
      </w:rPr>
    </w:lvl>
    <w:lvl w:ilvl="3" w:tplc="08090001" w:tentative="1">
      <w:start w:val="1"/>
      <w:numFmt w:val="bullet"/>
      <w:lvlText w:val=""/>
      <w:lvlJc w:val="left"/>
      <w:pPr>
        <w:ind w:left="2573" w:hanging="360"/>
      </w:pPr>
      <w:rPr>
        <w:rFonts w:ascii="Symbol" w:hAnsi="Symbol" w:hint="default"/>
      </w:rPr>
    </w:lvl>
    <w:lvl w:ilvl="4" w:tplc="08090003" w:tentative="1">
      <w:start w:val="1"/>
      <w:numFmt w:val="bullet"/>
      <w:lvlText w:val="o"/>
      <w:lvlJc w:val="left"/>
      <w:pPr>
        <w:ind w:left="3293" w:hanging="360"/>
      </w:pPr>
      <w:rPr>
        <w:rFonts w:ascii="Courier New" w:hAnsi="Courier New" w:cs="Courier New" w:hint="default"/>
      </w:rPr>
    </w:lvl>
    <w:lvl w:ilvl="5" w:tplc="08090005" w:tentative="1">
      <w:start w:val="1"/>
      <w:numFmt w:val="bullet"/>
      <w:lvlText w:val=""/>
      <w:lvlJc w:val="left"/>
      <w:pPr>
        <w:ind w:left="4013" w:hanging="360"/>
      </w:pPr>
      <w:rPr>
        <w:rFonts w:ascii="Wingdings" w:hAnsi="Wingdings" w:hint="default"/>
      </w:rPr>
    </w:lvl>
    <w:lvl w:ilvl="6" w:tplc="08090001" w:tentative="1">
      <w:start w:val="1"/>
      <w:numFmt w:val="bullet"/>
      <w:lvlText w:val=""/>
      <w:lvlJc w:val="left"/>
      <w:pPr>
        <w:ind w:left="4733" w:hanging="360"/>
      </w:pPr>
      <w:rPr>
        <w:rFonts w:ascii="Symbol" w:hAnsi="Symbol" w:hint="default"/>
      </w:rPr>
    </w:lvl>
    <w:lvl w:ilvl="7" w:tplc="08090003" w:tentative="1">
      <w:start w:val="1"/>
      <w:numFmt w:val="bullet"/>
      <w:lvlText w:val="o"/>
      <w:lvlJc w:val="left"/>
      <w:pPr>
        <w:ind w:left="5453" w:hanging="360"/>
      </w:pPr>
      <w:rPr>
        <w:rFonts w:ascii="Courier New" w:hAnsi="Courier New" w:cs="Courier New" w:hint="default"/>
      </w:rPr>
    </w:lvl>
    <w:lvl w:ilvl="8" w:tplc="08090005" w:tentative="1">
      <w:start w:val="1"/>
      <w:numFmt w:val="bullet"/>
      <w:lvlText w:val=""/>
      <w:lvlJc w:val="left"/>
      <w:pPr>
        <w:ind w:left="6173" w:hanging="360"/>
      </w:pPr>
      <w:rPr>
        <w:rFonts w:ascii="Wingdings" w:hAnsi="Wingdings" w:hint="default"/>
      </w:rPr>
    </w:lvl>
  </w:abstractNum>
  <w:abstractNum w:abstractNumId="24" w15:restartNumberingAfterBreak="0">
    <w:nsid w:val="35204839"/>
    <w:multiLevelType w:val="hybridMultilevel"/>
    <w:tmpl w:val="6EBED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B25466"/>
    <w:multiLevelType w:val="multilevel"/>
    <w:tmpl w:val="189A50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82B0AAD"/>
    <w:multiLevelType w:val="hybridMultilevel"/>
    <w:tmpl w:val="11EA7B8A"/>
    <w:lvl w:ilvl="0" w:tplc="DE12012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1DE35C7"/>
    <w:multiLevelType w:val="hybridMultilevel"/>
    <w:tmpl w:val="078493DA"/>
    <w:lvl w:ilvl="0" w:tplc="79E82D44">
      <w:start w:val="8"/>
      <w:numFmt w:val="bullet"/>
      <w:lvlText w:val=""/>
      <w:lvlJc w:val="left"/>
      <w:pPr>
        <w:ind w:left="720" w:hanging="36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2921C73"/>
    <w:multiLevelType w:val="multilevel"/>
    <w:tmpl w:val="195AF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1" w15:restartNumberingAfterBreak="0">
    <w:nsid w:val="4A6D73A5"/>
    <w:multiLevelType w:val="multilevel"/>
    <w:tmpl w:val="8A28B8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B2B73B5"/>
    <w:multiLevelType w:val="hybridMultilevel"/>
    <w:tmpl w:val="D32A7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BE14317"/>
    <w:multiLevelType w:val="multilevel"/>
    <w:tmpl w:val="FA2E4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6386450"/>
    <w:multiLevelType w:val="hybridMultilevel"/>
    <w:tmpl w:val="D24C2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7B74B40"/>
    <w:multiLevelType w:val="hybridMultilevel"/>
    <w:tmpl w:val="3FFC2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906563"/>
    <w:multiLevelType w:val="multilevel"/>
    <w:tmpl w:val="8DD46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8B30637"/>
    <w:multiLevelType w:val="multilevel"/>
    <w:tmpl w:val="1E483B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58DD4FC7"/>
    <w:multiLevelType w:val="hybridMultilevel"/>
    <w:tmpl w:val="83F26BAC"/>
    <w:lvl w:ilvl="0" w:tplc="0809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9E622A5"/>
    <w:multiLevelType w:val="hybridMultilevel"/>
    <w:tmpl w:val="3EAA4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4D1CE2"/>
    <w:multiLevelType w:val="hybridMultilevel"/>
    <w:tmpl w:val="9BD00628"/>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E32723B"/>
    <w:multiLevelType w:val="multilevel"/>
    <w:tmpl w:val="14E868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F1275B1"/>
    <w:multiLevelType w:val="hybridMultilevel"/>
    <w:tmpl w:val="715C65A4"/>
    <w:lvl w:ilvl="0" w:tplc="AF562A92">
      <w:start w:val="8"/>
      <w:numFmt w:val="bullet"/>
      <w:lvlText w:val=""/>
      <w:lvlJc w:val="left"/>
      <w:pPr>
        <w:ind w:left="720" w:hanging="360"/>
      </w:pPr>
      <w:rPr>
        <w:rFonts w:ascii="Symbol" w:eastAsia="MS PGothic"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7E23D2"/>
    <w:multiLevelType w:val="hybridMultilevel"/>
    <w:tmpl w:val="C912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0055972"/>
    <w:multiLevelType w:val="hybridMultilevel"/>
    <w:tmpl w:val="6ADC0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B03722"/>
    <w:multiLevelType w:val="hybridMultilevel"/>
    <w:tmpl w:val="7EC0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50D66C2"/>
    <w:multiLevelType w:val="hybridMultilevel"/>
    <w:tmpl w:val="7E680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5CF730E"/>
    <w:multiLevelType w:val="hybridMultilevel"/>
    <w:tmpl w:val="2C8426A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6A046915"/>
    <w:multiLevelType w:val="multilevel"/>
    <w:tmpl w:val="120469B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9" w15:restartNumberingAfterBreak="0">
    <w:nsid w:val="6ABC70BA"/>
    <w:multiLevelType w:val="multilevel"/>
    <w:tmpl w:val="BC488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6E492C1F"/>
    <w:multiLevelType w:val="hybridMultilevel"/>
    <w:tmpl w:val="53568B5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1" w15:restartNumberingAfterBreak="0">
    <w:nsid w:val="6F376BBC"/>
    <w:multiLevelType w:val="multilevel"/>
    <w:tmpl w:val="8EBC6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18B2080"/>
    <w:multiLevelType w:val="multilevel"/>
    <w:tmpl w:val="17E88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75A03E0F"/>
    <w:multiLevelType w:val="multilevel"/>
    <w:tmpl w:val="2D7C7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7B2221E5"/>
    <w:multiLevelType w:val="hybridMultilevel"/>
    <w:tmpl w:val="96BAF562"/>
    <w:lvl w:ilvl="0" w:tplc="0D7CA50E">
      <w:start w:val="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8522741">
    <w:abstractNumId w:val="24"/>
  </w:num>
  <w:num w:numId="2" w16cid:durableId="1173495345">
    <w:abstractNumId w:val="1"/>
  </w:num>
  <w:num w:numId="3" w16cid:durableId="166870467">
    <w:abstractNumId w:val="9"/>
  </w:num>
  <w:num w:numId="4" w16cid:durableId="1691951035">
    <w:abstractNumId w:val="26"/>
  </w:num>
  <w:num w:numId="5" w16cid:durableId="1011906559">
    <w:abstractNumId w:val="35"/>
  </w:num>
  <w:num w:numId="6" w16cid:durableId="1277104421">
    <w:abstractNumId w:val="39"/>
  </w:num>
  <w:num w:numId="7" w16cid:durableId="242104871">
    <w:abstractNumId w:val="22"/>
  </w:num>
  <w:num w:numId="8" w16cid:durableId="522284696">
    <w:abstractNumId w:val="14"/>
  </w:num>
  <w:num w:numId="9" w16cid:durableId="1250770362">
    <w:abstractNumId w:val="10"/>
  </w:num>
  <w:num w:numId="10" w16cid:durableId="1358701701">
    <w:abstractNumId w:val="44"/>
  </w:num>
  <w:num w:numId="11" w16cid:durableId="1625037795">
    <w:abstractNumId w:val="23"/>
  </w:num>
  <w:num w:numId="12" w16cid:durableId="61487579">
    <w:abstractNumId w:val="54"/>
  </w:num>
  <w:num w:numId="13" w16cid:durableId="856233915">
    <w:abstractNumId w:val="18"/>
  </w:num>
  <w:num w:numId="14" w16cid:durableId="1381858278">
    <w:abstractNumId w:val="42"/>
  </w:num>
  <w:num w:numId="15" w16cid:durableId="402408764">
    <w:abstractNumId w:val="4"/>
  </w:num>
  <w:num w:numId="16" w16cid:durableId="1085760005">
    <w:abstractNumId w:val="34"/>
  </w:num>
  <w:num w:numId="17" w16cid:durableId="633215943">
    <w:abstractNumId w:val="7"/>
  </w:num>
  <w:num w:numId="18" w16cid:durableId="2020691353">
    <w:abstractNumId w:val="28"/>
  </w:num>
  <w:num w:numId="19" w16cid:durableId="1500385072">
    <w:abstractNumId w:val="12"/>
  </w:num>
  <w:num w:numId="20" w16cid:durableId="1520046844">
    <w:abstractNumId w:val="47"/>
  </w:num>
  <w:num w:numId="21" w16cid:durableId="748115910">
    <w:abstractNumId w:val="5"/>
  </w:num>
  <w:num w:numId="22" w16cid:durableId="717703608">
    <w:abstractNumId w:val="43"/>
  </w:num>
  <w:num w:numId="23" w16cid:durableId="600113171">
    <w:abstractNumId w:val="16"/>
  </w:num>
  <w:num w:numId="24" w16cid:durableId="241523878">
    <w:abstractNumId w:val="45"/>
  </w:num>
  <w:num w:numId="25" w16cid:durableId="80297080">
    <w:abstractNumId w:val="11"/>
  </w:num>
  <w:num w:numId="26" w16cid:durableId="576936923">
    <w:abstractNumId w:val="46"/>
  </w:num>
  <w:num w:numId="27" w16cid:durableId="379136238">
    <w:abstractNumId w:val="21"/>
  </w:num>
  <w:num w:numId="28" w16cid:durableId="1234242114">
    <w:abstractNumId w:val="19"/>
  </w:num>
  <w:num w:numId="29" w16cid:durableId="64909796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2865041">
    <w:abstractNumId w:val="17"/>
  </w:num>
  <w:num w:numId="31" w16cid:durableId="2036344500">
    <w:abstractNumId w:val="20"/>
  </w:num>
  <w:num w:numId="32" w16cid:durableId="891308780">
    <w:abstractNumId w:val="32"/>
  </w:num>
  <w:num w:numId="33" w16cid:durableId="2059163146">
    <w:abstractNumId w:val="3"/>
  </w:num>
  <w:num w:numId="34" w16cid:durableId="767845549">
    <w:abstractNumId w:val="13"/>
  </w:num>
  <w:num w:numId="35" w16cid:durableId="1295915667">
    <w:abstractNumId w:val="0"/>
  </w:num>
  <w:num w:numId="36" w16cid:durableId="597906997">
    <w:abstractNumId w:val="40"/>
  </w:num>
  <w:num w:numId="37" w16cid:durableId="860432523">
    <w:abstractNumId w:val="30"/>
  </w:num>
  <w:num w:numId="38" w16cid:durableId="1880386777">
    <w:abstractNumId w:val="27"/>
  </w:num>
  <w:num w:numId="39" w16cid:durableId="140314737">
    <w:abstractNumId w:val="8"/>
  </w:num>
  <w:num w:numId="40" w16cid:durableId="399055937">
    <w:abstractNumId w:val="38"/>
  </w:num>
  <w:num w:numId="41" w16cid:durableId="713895999">
    <w:abstractNumId w:val="15"/>
  </w:num>
  <w:num w:numId="42" w16cid:durableId="1845654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25461700">
    <w:abstractNumId w:val="29"/>
  </w:num>
  <w:num w:numId="44" w16cid:durableId="1799033031">
    <w:abstractNumId w:val="48"/>
  </w:num>
  <w:num w:numId="45" w16cid:durableId="1135955017">
    <w:abstractNumId w:val="25"/>
  </w:num>
  <w:num w:numId="46" w16cid:durableId="1030571240">
    <w:abstractNumId w:val="6"/>
  </w:num>
  <w:num w:numId="47" w16cid:durableId="782963187">
    <w:abstractNumId w:val="51"/>
  </w:num>
  <w:num w:numId="48" w16cid:durableId="2039040181">
    <w:abstractNumId w:val="49"/>
  </w:num>
  <w:num w:numId="49" w16cid:durableId="124547340">
    <w:abstractNumId w:val="33"/>
  </w:num>
  <w:num w:numId="50" w16cid:durableId="856887012">
    <w:abstractNumId w:val="41"/>
  </w:num>
  <w:num w:numId="51" w16cid:durableId="2055737785">
    <w:abstractNumId w:val="2"/>
  </w:num>
  <w:num w:numId="52" w16cid:durableId="40255169">
    <w:abstractNumId w:val="36"/>
  </w:num>
  <w:num w:numId="53" w16cid:durableId="688993306">
    <w:abstractNumId w:val="53"/>
  </w:num>
  <w:num w:numId="54" w16cid:durableId="48381466">
    <w:abstractNumId w:val="52"/>
  </w:num>
  <w:num w:numId="55" w16cid:durableId="898982209">
    <w:abstractNumId w:val="31"/>
  </w:num>
  <w:num w:numId="56" w16cid:durableId="147174833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activeWritingStyle w:appName="MSWord" w:lang="fr-BE"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423ED"/>
    <w:rsid w:val="00005041"/>
    <w:rsid w:val="0000519F"/>
    <w:rsid w:val="00010643"/>
    <w:rsid w:val="00011399"/>
    <w:rsid w:val="00012092"/>
    <w:rsid w:val="00012894"/>
    <w:rsid w:val="00014682"/>
    <w:rsid w:val="00014D80"/>
    <w:rsid w:val="00014FC1"/>
    <w:rsid w:val="00017975"/>
    <w:rsid w:val="00017CCB"/>
    <w:rsid w:val="00017E26"/>
    <w:rsid w:val="00020224"/>
    <w:rsid w:val="000210DA"/>
    <w:rsid w:val="00021998"/>
    <w:rsid w:val="0002382B"/>
    <w:rsid w:val="0003054A"/>
    <w:rsid w:val="00034BCA"/>
    <w:rsid w:val="00034CD6"/>
    <w:rsid w:val="0003591B"/>
    <w:rsid w:val="00041510"/>
    <w:rsid w:val="0004186B"/>
    <w:rsid w:val="000419D7"/>
    <w:rsid w:val="00045DC1"/>
    <w:rsid w:val="00050C64"/>
    <w:rsid w:val="00051C3B"/>
    <w:rsid w:val="00051F4B"/>
    <w:rsid w:val="00052966"/>
    <w:rsid w:val="000535B6"/>
    <w:rsid w:val="00054EFC"/>
    <w:rsid w:val="000559B1"/>
    <w:rsid w:val="00055FB8"/>
    <w:rsid w:val="00056C1F"/>
    <w:rsid w:val="000577BD"/>
    <w:rsid w:val="0006019B"/>
    <w:rsid w:val="000608BB"/>
    <w:rsid w:val="00061CC5"/>
    <w:rsid w:val="00062613"/>
    <w:rsid w:val="00072418"/>
    <w:rsid w:val="00072A71"/>
    <w:rsid w:val="00073F2F"/>
    <w:rsid w:val="00076B4F"/>
    <w:rsid w:val="0008625B"/>
    <w:rsid w:val="00091187"/>
    <w:rsid w:val="0009209F"/>
    <w:rsid w:val="00093282"/>
    <w:rsid w:val="00095CCD"/>
    <w:rsid w:val="00095E45"/>
    <w:rsid w:val="00097757"/>
    <w:rsid w:val="000A14D4"/>
    <w:rsid w:val="000A389E"/>
    <w:rsid w:val="000B1B90"/>
    <w:rsid w:val="000B2D70"/>
    <w:rsid w:val="000B4672"/>
    <w:rsid w:val="000B5823"/>
    <w:rsid w:val="000B64DA"/>
    <w:rsid w:val="000B6506"/>
    <w:rsid w:val="000C2820"/>
    <w:rsid w:val="000C76A0"/>
    <w:rsid w:val="000D081D"/>
    <w:rsid w:val="000D274A"/>
    <w:rsid w:val="000D5DA1"/>
    <w:rsid w:val="000D6887"/>
    <w:rsid w:val="000E09A3"/>
    <w:rsid w:val="000E0F53"/>
    <w:rsid w:val="000E148B"/>
    <w:rsid w:val="000F0320"/>
    <w:rsid w:val="000F116E"/>
    <w:rsid w:val="000F2312"/>
    <w:rsid w:val="000F2E76"/>
    <w:rsid w:val="000F3513"/>
    <w:rsid w:val="000F48C0"/>
    <w:rsid w:val="000F5DF6"/>
    <w:rsid w:val="001009E1"/>
    <w:rsid w:val="0010295A"/>
    <w:rsid w:val="00103CDF"/>
    <w:rsid w:val="001043B5"/>
    <w:rsid w:val="00111EE2"/>
    <w:rsid w:val="00114AE5"/>
    <w:rsid w:val="00115964"/>
    <w:rsid w:val="00117F89"/>
    <w:rsid w:val="00121F7F"/>
    <w:rsid w:val="00122C81"/>
    <w:rsid w:val="001275B5"/>
    <w:rsid w:val="001276AF"/>
    <w:rsid w:val="00130308"/>
    <w:rsid w:val="0013460E"/>
    <w:rsid w:val="00134EFB"/>
    <w:rsid w:val="0013601B"/>
    <w:rsid w:val="001414C8"/>
    <w:rsid w:val="00142894"/>
    <w:rsid w:val="00145AC7"/>
    <w:rsid w:val="00151DA2"/>
    <w:rsid w:val="00152987"/>
    <w:rsid w:val="00154193"/>
    <w:rsid w:val="00157759"/>
    <w:rsid w:val="00161F7C"/>
    <w:rsid w:val="00163CAA"/>
    <w:rsid w:val="00171CC5"/>
    <w:rsid w:val="00171F53"/>
    <w:rsid w:val="001732F3"/>
    <w:rsid w:val="0017367A"/>
    <w:rsid w:val="00180B29"/>
    <w:rsid w:val="00184522"/>
    <w:rsid w:val="001845DA"/>
    <w:rsid w:val="001846C3"/>
    <w:rsid w:val="0018499A"/>
    <w:rsid w:val="00184BBF"/>
    <w:rsid w:val="00184EE6"/>
    <w:rsid w:val="00185016"/>
    <w:rsid w:val="00185CBB"/>
    <w:rsid w:val="00185FAB"/>
    <w:rsid w:val="0019445C"/>
    <w:rsid w:val="001A6646"/>
    <w:rsid w:val="001A7191"/>
    <w:rsid w:val="001A7C2A"/>
    <w:rsid w:val="001B4613"/>
    <w:rsid w:val="001B6F96"/>
    <w:rsid w:val="001B78F3"/>
    <w:rsid w:val="001B7B9B"/>
    <w:rsid w:val="001C0B9E"/>
    <w:rsid w:val="001C2449"/>
    <w:rsid w:val="001C39FE"/>
    <w:rsid w:val="001C71D5"/>
    <w:rsid w:val="001C78E7"/>
    <w:rsid w:val="001D28D2"/>
    <w:rsid w:val="001D3D71"/>
    <w:rsid w:val="001D5DBD"/>
    <w:rsid w:val="001D6744"/>
    <w:rsid w:val="001D6960"/>
    <w:rsid w:val="001D741B"/>
    <w:rsid w:val="001D7E6B"/>
    <w:rsid w:val="001E7466"/>
    <w:rsid w:val="001F049E"/>
    <w:rsid w:val="001F0D95"/>
    <w:rsid w:val="001F0EE1"/>
    <w:rsid w:val="001F1F4E"/>
    <w:rsid w:val="001F204C"/>
    <w:rsid w:val="001F3FCA"/>
    <w:rsid w:val="001F7A65"/>
    <w:rsid w:val="00204003"/>
    <w:rsid w:val="00205962"/>
    <w:rsid w:val="00206F76"/>
    <w:rsid w:val="0021224B"/>
    <w:rsid w:val="00214016"/>
    <w:rsid w:val="0022333D"/>
    <w:rsid w:val="0022392F"/>
    <w:rsid w:val="00223C1A"/>
    <w:rsid w:val="002275C7"/>
    <w:rsid w:val="00230846"/>
    <w:rsid w:val="00230D55"/>
    <w:rsid w:val="002372FB"/>
    <w:rsid w:val="00237826"/>
    <w:rsid w:val="00237F7D"/>
    <w:rsid w:val="002406BE"/>
    <w:rsid w:val="002435C8"/>
    <w:rsid w:val="00243BB5"/>
    <w:rsid w:val="00244DC1"/>
    <w:rsid w:val="002460CE"/>
    <w:rsid w:val="00250338"/>
    <w:rsid w:val="0025034E"/>
    <w:rsid w:val="00251F67"/>
    <w:rsid w:val="00253135"/>
    <w:rsid w:val="00254757"/>
    <w:rsid w:val="002554C6"/>
    <w:rsid w:val="00256770"/>
    <w:rsid w:val="00262BC4"/>
    <w:rsid w:val="00263177"/>
    <w:rsid w:val="00270481"/>
    <w:rsid w:val="002724C2"/>
    <w:rsid w:val="002742CC"/>
    <w:rsid w:val="00276971"/>
    <w:rsid w:val="00276D48"/>
    <w:rsid w:val="00280104"/>
    <w:rsid w:val="00281EC6"/>
    <w:rsid w:val="00285AAD"/>
    <w:rsid w:val="00286684"/>
    <w:rsid w:val="00294F4A"/>
    <w:rsid w:val="00297997"/>
    <w:rsid w:val="002A3A96"/>
    <w:rsid w:val="002A52F1"/>
    <w:rsid w:val="002B7CAB"/>
    <w:rsid w:val="002C5816"/>
    <w:rsid w:val="002C6DB7"/>
    <w:rsid w:val="002D2AF8"/>
    <w:rsid w:val="002D47D4"/>
    <w:rsid w:val="002D4E1F"/>
    <w:rsid w:val="002D6035"/>
    <w:rsid w:val="002D609E"/>
    <w:rsid w:val="002D7006"/>
    <w:rsid w:val="002D7454"/>
    <w:rsid w:val="002E18B7"/>
    <w:rsid w:val="002E3A1C"/>
    <w:rsid w:val="002E552F"/>
    <w:rsid w:val="002F16EA"/>
    <w:rsid w:val="002F49D1"/>
    <w:rsid w:val="002F545F"/>
    <w:rsid w:val="002F6A5D"/>
    <w:rsid w:val="002F6DAD"/>
    <w:rsid w:val="0030106B"/>
    <w:rsid w:val="00302124"/>
    <w:rsid w:val="0030468D"/>
    <w:rsid w:val="00304BA4"/>
    <w:rsid w:val="00306553"/>
    <w:rsid w:val="003065F3"/>
    <w:rsid w:val="00306795"/>
    <w:rsid w:val="00310EEC"/>
    <w:rsid w:val="00311609"/>
    <w:rsid w:val="003118A8"/>
    <w:rsid w:val="00312973"/>
    <w:rsid w:val="00314878"/>
    <w:rsid w:val="003149D4"/>
    <w:rsid w:val="00314A34"/>
    <w:rsid w:val="003169AC"/>
    <w:rsid w:val="003231B7"/>
    <w:rsid w:val="00330F6D"/>
    <w:rsid w:val="00341A52"/>
    <w:rsid w:val="003450BC"/>
    <w:rsid w:val="003450DA"/>
    <w:rsid w:val="003458EC"/>
    <w:rsid w:val="0034665F"/>
    <w:rsid w:val="003478C9"/>
    <w:rsid w:val="00351678"/>
    <w:rsid w:val="00351724"/>
    <w:rsid w:val="00352F26"/>
    <w:rsid w:val="00354021"/>
    <w:rsid w:val="0035675F"/>
    <w:rsid w:val="00356CA0"/>
    <w:rsid w:val="00362582"/>
    <w:rsid w:val="003635DC"/>
    <w:rsid w:val="003643E0"/>
    <w:rsid w:val="003653C8"/>
    <w:rsid w:val="003661A6"/>
    <w:rsid w:val="00367B0A"/>
    <w:rsid w:val="00367CD1"/>
    <w:rsid w:val="00367F99"/>
    <w:rsid w:val="003713E2"/>
    <w:rsid w:val="0037316F"/>
    <w:rsid w:val="00377F18"/>
    <w:rsid w:val="00380BED"/>
    <w:rsid w:val="00384600"/>
    <w:rsid w:val="00384678"/>
    <w:rsid w:val="00391785"/>
    <w:rsid w:val="00391C7B"/>
    <w:rsid w:val="00397767"/>
    <w:rsid w:val="00397AF5"/>
    <w:rsid w:val="003A61D4"/>
    <w:rsid w:val="003A6AE1"/>
    <w:rsid w:val="003A758F"/>
    <w:rsid w:val="003B7881"/>
    <w:rsid w:val="003C0B83"/>
    <w:rsid w:val="003C3243"/>
    <w:rsid w:val="003C34DE"/>
    <w:rsid w:val="003C42D8"/>
    <w:rsid w:val="003C58CA"/>
    <w:rsid w:val="003D2755"/>
    <w:rsid w:val="003E3CD5"/>
    <w:rsid w:val="003E6A9E"/>
    <w:rsid w:val="003E6C62"/>
    <w:rsid w:val="003E7FD7"/>
    <w:rsid w:val="003F00E2"/>
    <w:rsid w:val="003F3691"/>
    <w:rsid w:val="003F6D3C"/>
    <w:rsid w:val="003F7DF6"/>
    <w:rsid w:val="00400D2F"/>
    <w:rsid w:val="00401B7C"/>
    <w:rsid w:val="00412F27"/>
    <w:rsid w:val="004151B3"/>
    <w:rsid w:val="00420313"/>
    <w:rsid w:val="00422AB6"/>
    <w:rsid w:val="00423C2C"/>
    <w:rsid w:val="00423DE4"/>
    <w:rsid w:val="004253C7"/>
    <w:rsid w:val="00425C62"/>
    <w:rsid w:val="00426F1B"/>
    <w:rsid w:val="0043036A"/>
    <w:rsid w:val="0043054B"/>
    <w:rsid w:val="004354C6"/>
    <w:rsid w:val="00435862"/>
    <w:rsid w:val="00435B8B"/>
    <w:rsid w:val="004367EA"/>
    <w:rsid w:val="00436CF3"/>
    <w:rsid w:val="004379A0"/>
    <w:rsid w:val="004415A2"/>
    <w:rsid w:val="00446733"/>
    <w:rsid w:val="00452FA3"/>
    <w:rsid w:val="00454488"/>
    <w:rsid w:val="0045475E"/>
    <w:rsid w:val="00454BF0"/>
    <w:rsid w:val="004567D1"/>
    <w:rsid w:val="00463478"/>
    <w:rsid w:val="004678B2"/>
    <w:rsid w:val="00471FAC"/>
    <w:rsid w:val="00473535"/>
    <w:rsid w:val="00473C6D"/>
    <w:rsid w:val="0047433B"/>
    <w:rsid w:val="00476C6C"/>
    <w:rsid w:val="00476EF6"/>
    <w:rsid w:val="0048489F"/>
    <w:rsid w:val="004879B9"/>
    <w:rsid w:val="004904E4"/>
    <w:rsid w:val="004916CB"/>
    <w:rsid w:val="004933D4"/>
    <w:rsid w:val="0049373C"/>
    <w:rsid w:val="004957D4"/>
    <w:rsid w:val="00495A99"/>
    <w:rsid w:val="00496D11"/>
    <w:rsid w:val="004970A6"/>
    <w:rsid w:val="004A05E0"/>
    <w:rsid w:val="004A3E05"/>
    <w:rsid w:val="004A415A"/>
    <w:rsid w:val="004A4EB1"/>
    <w:rsid w:val="004A76D1"/>
    <w:rsid w:val="004A7D73"/>
    <w:rsid w:val="004B03A3"/>
    <w:rsid w:val="004B23ED"/>
    <w:rsid w:val="004C1D42"/>
    <w:rsid w:val="004C35E8"/>
    <w:rsid w:val="004C4E78"/>
    <w:rsid w:val="004C5139"/>
    <w:rsid w:val="004D088D"/>
    <w:rsid w:val="004D0D19"/>
    <w:rsid w:val="004D22F3"/>
    <w:rsid w:val="004D41F6"/>
    <w:rsid w:val="004D4970"/>
    <w:rsid w:val="004D4AF2"/>
    <w:rsid w:val="004D588A"/>
    <w:rsid w:val="004D5890"/>
    <w:rsid w:val="004E494E"/>
    <w:rsid w:val="004E5CE6"/>
    <w:rsid w:val="004F0049"/>
    <w:rsid w:val="004F42FC"/>
    <w:rsid w:val="004F4BEB"/>
    <w:rsid w:val="004F586D"/>
    <w:rsid w:val="004F6D56"/>
    <w:rsid w:val="00500A65"/>
    <w:rsid w:val="00503D9B"/>
    <w:rsid w:val="00504812"/>
    <w:rsid w:val="005072BC"/>
    <w:rsid w:val="005077DE"/>
    <w:rsid w:val="00507F10"/>
    <w:rsid w:val="00510588"/>
    <w:rsid w:val="00514995"/>
    <w:rsid w:val="00514C90"/>
    <w:rsid w:val="00515F4D"/>
    <w:rsid w:val="0051785F"/>
    <w:rsid w:val="005204E8"/>
    <w:rsid w:val="005239A4"/>
    <w:rsid w:val="00526261"/>
    <w:rsid w:val="00526B2E"/>
    <w:rsid w:val="00526FAE"/>
    <w:rsid w:val="00534E5F"/>
    <w:rsid w:val="005375B9"/>
    <w:rsid w:val="00537DC3"/>
    <w:rsid w:val="0054143E"/>
    <w:rsid w:val="005418F4"/>
    <w:rsid w:val="00542EC9"/>
    <w:rsid w:val="0054375F"/>
    <w:rsid w:val="00544090"/>
    <w:rsid w:val="0054452A"/>
    <w:rsid w:val="00544A57"/>
    <w:rsid w:val="00550083"/>
    <w:rsid w:val="005539D6"/>
    <w:rsid w:val="005542F6"/>
    <w:rsid w:val="00560224"/>
    <w:rsid w:val="0056088A"/>
    <w:rsid w:val="00562C26"/>
    <w:rsid w:val="00563B47"/>
    <w:rsid w:val="0056423C"/>
    <w:rsid w:val="00571000"/>
    <w:rsid w:val="00571C29"/>
    <w:rsid w:val="00575074"/>
    <w:rsid w:val="00584255"/>
    <w:rsid w:val="00584F5F"/>
    <w:rsid w:val="005927C1"/>
    <w:rsid w:val="005943E6"/>
    <w:rsid w:val="00594DEE"/>
    <w:rsid w:val="005A00EE"/>
    <w:rsid w:val="005A09F6"/>
    <w:rsid w:val="005A14CA"/>
    <w:rsid w:val="005A2F72"/>
    <w:rsid w:val="005A4590"/>
    <w:rsid w:val="005A469A"/>
    <w:rsid w:val="005A494B"/>
    <w:rsid w:val="005A61AC"/>
    <w:rsid w:val="005B6CD1"/>
    <w:rsid w:val="005B7150"/>
    <w:rsid w:val="005C068C"/>
    <w:rsid w:val="005C1B6F"/>
    <w:rsid w:val="005C1CB4"/>
    <w:rsid w:val="005C2DDB"/>
    <w:rsid w:val="005C5EC5"/>
    <w:rsid w:val="005D0BE0"/>
    <w:rsid w:val="005D136B"/>
    <w:rsid w:val="005D13F5"/>
    <w:rsid w:val="005D15BD"/>
    <w:rsid w:val="005D610D"/>
    <w:rsid w:val="005E01AE"/>
    <w:rsid w:val="005E1188"/>
    <w:rsid w:val="005E26AC"/>
    <w:rsid w:val="005E67FA"/>
    <w:rsid w:val="005E7CFE"/>
    <w:rsid w:val="005F2030"/>
    <w:rsid w:val="005F3295"/>
    <w:rsid w:val="005F75B1"/>
    <w:rsid w:val="005F780B"/>
    <w:rsid w:val="0060301F"/>
    <w:rsid w:val="00606D3D"/>
    <w:rsid w:val="0061617E"/>
    <w:rsid w:val="00620231"/>
    <w:rsid w:val="006203E8"/>
    <w:rsid w:val="006225D4"/>
    <w:rsid w:val="00622EFB"/>
    <w:rsid w:val="0062470F"/>
    <w:rsid w:val="006248E6"/>
    <w:rsid w:val="0062587F"/>
    <w:rsid w:val="00625B61"/>
    <w:rsid w:val="00626633"/>
    <w:rsid w:val="00633F49"/>
    <w:rsid w:val="0063709B"/>
    <w:rsid w:val="00637DDA"/>
    <w:rsid w:val="00647BF8"/>
    <w:rsid w:val="00656701"/>
    <w:rsid w:val="00656753"/>
    <w:rsid w:val="00657D98"/>
    <w:rsid w:val="00657F93"/>
    <w:rsid w:val="00661297"/>
    <w:rsid w:val="00663F03"/>
    <w:rsid w:val="00671DC9"/>
    <w:rsid w:val="006727C3"/>
    <w:rsid w:val="00672A40"/>
    <w:rsid w:val="00673304"/>
    <w:rsid w:val="006769D9"/>
    <w:rsid w:val="00677CA7"/>
    <w:rsid w:val="00677FC6"/>
    <w:rsid w:val="006822CF"/>
    <w:rsid w:val="00682F93"/>
    <w:rsid w:val="006830F3"/>
    <w:rsid w:val="00683352"/>
    <w:rsid w:val="00683DD4"/>
    <w:rsid w:val="00684098"/>
    <w:rsid w:val="00687BAA"/>
    <w:rsid w:val="006905AA"/>
    <w:rsid w:val="00692152"/>
    <w:rsid w:val="00693B5E"/>
    <w:rsid w:val="00694939"/>
    <w:rsid w:val="00694B6C"/>
    <w:rsid w:val="0069515A"/>
    <w:rsid w:val="00697256"/>
    <w:rsid w:val="0069788F"/>
    <w:rsid w:val="006A0940"/>
    <w:rsid w:val="006A23E6"/>
    <w:rsid w:val="006A56A1"/>
    <w:rsid w:val="006A6429"/>
    <w:rsid w:val="006B095A"/>
    <w:rsid w:val="006B3515"/>
    <w:rsid w:val="006B656A"/>
    <w:rsid w:val="006B7138"/>
    <w:rsid w:val="006C4483"/>
    <w:rsid w:val="006C4FB1"/>
    <w:rsid w:val="006C523F"/>
    <w:rsid w:val="006C642C"/>
    <w:rsid w:val="006D3572"/>
    <w:rsid w:val="006D4637"/>
    <w:rsid w:val="006D5390"/>
    <w:rsid w:val="006D609F"/>
    <w:rsid w:val="006D7A3A"/>
    <w:rsid w:val="006E05CD"/>
    <w:rsid w:val="006E2139"/>
    <w:rsid w:val="006E31A4"/>
    <w:rsid w:val="006E6CA3"/>
    <w:rsid w:val="006F1C44"/>
    <w:rsid w:val="006F1EEE"/>
    <w:rsid w:val="006F1F9C"/>
    <w:rsid w:val="006F3F02"/>
    <w:rsid w:val="006F5051"/>
    <w:rsid w:val="006F6FE7"/>
    <w:rsid w:val="00700DF8"/>
    <w:rsid w:val="00700FF9"/>
    <w:rsid w:val="00702433"/>
    <w:rsid w:val="00704643"/>
    <w:rsid w:val="00704813"/>
    <w:rsid w:val="00704FE8"/>
    <w:rsid w:val="0070560B"/>
    <w:rsid w:val="00706AA9"/>
    <w:rsid w:val="00707738"/>
    <w:rsid w:val="00710360"/>
    <w:rsid w:val="00710682"/>
    <w:rsid w:val="0071268A"/>
    <w:rsid w:val="007130B0"/>
    <w:rsid w:val="00714637"/>
    <w:rsid w:val="00714D3E"/>
    <w:rsid w:val="0071508A"/>
    <w:rsid w:val="00722336"/>
    <w:rsid w:val="00724DAA"/>
    <w:rsid w:val="00726DD9"/>
    <w:rsid w:val="007317EE"/>
    <w:rsid w:val="00733747"/>
    <w:rsid w:val="00733B83"/>
    <w:rsid w:val="0074179A"/>
    <w:rsid w:val="00745400"/>
    <w:rsid w:val="00745A34"/>
    <w:rsid w:val="00746039"/>
    <w:rsid w:val="007477AD"/>
    <w:rsid w:val="007509CE"/>
    <w:rsid w:val="007526CF"/>
    <w:rsid w:val="0075328B"/>
    <w:rsid w:val="00753B77"/>
    <w:rsid w:val="0075487C"/>
    <w:rsid w:val="00754C2E"/>
    <w:rsid w:val="00754F1C"/>
    <w:rsid w:val="00755641"/>
    <w:rsid w:val="007567A3"/>
    <w:rsid w:val="00756F09"/>
    <w:rsid w:val="00757681"/>
    <w:rsid w:val="00757E92"/>
    <w:rsid w:val="0076021C"/>
    <w:rsid w:val="0076163D"/>
    <w:rsid w:val="00762B89"/>
    <w:rsid w:val="00764085"/>
    <w:rsid w:val="00767FAE"/>
    <w:rsid w:val="0077619B"/>
    <w:rsid w:val="00776B13"/>
    <w:rsid w:val="00777F6A"/>
    <w:rsid w:val="0078616F"/>
    <w:rsid w:val="0079065E"/>
    <w:rsid w:val="007976F0"/>
    <w:rsid w:val="007A09F7"/>
    <w:rsid w:val="007A1D4E"/>
    <w:rsid w:val="007A5215"/>
    <w:rsid w:val="007A5DB4"/>
    <w:rsid w:val="007B1EE9"/>
    <w:rsid w:val="007B2568"/>
    <w:rsid w:val="007B4C9B"/>
    <w:rsid w:val="007B53D4"/>
    <w:rsid w:val="007B58FA"/>
    <w:rsid w:val="007B6D83"/>
    <w:rsid w:val="007B6FE8"/>
    <w:rsid w:val="007B70CC"/>
    <w:rsid w:val="007C0FBC"/>
    <w:rsid w:val="007C3375"/>
    <w:rsid w:val="007C4BA8"/>
    <w:rsid w:val="007D1F5E"/>
    <w:rsid w:val="007D4841"/>
    <w:rsid w:val="007D655B"/>
    <w:rsid w:val="007D656F"/>
    <w:rsid w:val="007D765D"/>
    <w:rsid w:val="007D7D6A"/>
    <w:rsid w:val="007E09ED"/>
    <w:rsid w:val="007E28F2"/>
    <w:rsid w:val="007E666B"/>
    <w:rsid w:val="007F0870"/>
    <w:rsid w:val="007F5298"/>
    <w:rsid w:val="007F7EEB"/>
    <w:rsid w:val="008002E0"/>
    <w:rsid w:val="00803112"/>
    <w:rsid w:val="0080408D"/>
    <w:rsid w:val="008057FF"/>
    <w:rsid w:val="00807C0E"/>
    <w:rsid w:val="00811675"/>
    <w:rsid w:val="00812D47"/>
    <w:rsid w:val="008171AA"/>
    <w:rsid w:val="0082073B"/>
    <w:rsid w:val="00820FB0"/>
    <w:rsid w:val="00831CD3"/>
    <w:rsid w:val="00833CF1"/>
    <w:rsid w:val="008409D8"/>
    <w:rsid w:val="00841231"/>
    <w:rsid w:val="00841C9C"/>
    <w:rsid w:val="00844083"/>
    <w:rsid w:val="00850751"/>
    <w:rsid w:val="00852C6B"/>
    <w:rsid w:val="00853E06"/>
    <w:rsid w:val="00855F28"/>
    <w:rsid w:val="00856495"/>
    <w:rsid w:val="008569CD"/>
    <w:rsid w:val="00865338"/>
    <w:rsid w:val="008719FE"/>
    <w:rsid w:val="00875FB6"/>
    <w:rsid w:val="008836D6"/>
    <w:rsid w:val="00883EB8"/>
    <w:rsid w:val="0088596C"/>
    <w:rsid w:val="0088693B"/>
    <w:rsid w:val="008A4900"/>
    <w:rsid w:val="008A62FE"/>
    <w:rsid w:val="008A6C4F"/>
    <w:rsid w:val="008A70F0"/>
    <w:rsid w:val="008B3621"/>
    <w:rsid w:val="008B3F2E"/>
    <w:rsid w:val="008B5E48"/>
    <w:rsid w:val="008C3EE4"/>
    <w:rsid w:val="008C6CED"/>
    <w:rsid w:val="008C7273"/>
    <w:rsid w:val="008C754D"/>
    <w:rsid w:val="008D0372"/>
    <w:rsid w:val="008D4F7C"/>
    <w:rsid w:val="008D5779"/>
    <w:rsid w:val="008D5CFA"/>
    <w:rsid w:val="008D64C2"/>
    <w:rsid w:val="008D6593"/>
    <w:rsid w:val="008E38F0"/>
    <w:rsid w:val="008E3D4B"/>
    <w:rsid w:val="008E6AC7"/>
    <w:rsid w:val="008E70C8"/>
    <w:rsid w:val="008F031E"/>
    <w:rsid w:val="008F034A"/>
    <w:rsid w:val="008F1040"/>
    <w:rsid w:val="008F1D85"/>
    <w:rsid w:val="008F4472"/>
    <w:rsid w:val="008F6E6F"/>
    <w:rsid w:val="00900567"/>
    <w:rsid w:val="009011C8"/>
    <w:rsid w:val="0090216D"/>
    <w:rsid w:val="00904222"/>
    <w:rsid w:val="009059A0"/>
    <w:rsid w:val="00905E44"/>
    <w:rsid w:val="00912242"/>
    <w:rsid w:val="0091244E"/>
    <w:rsid w:val="009139A3"/>
    <w:rsid w:val="0091430E"/>
    <w:rsid w:val="00914500"/>
    <w:rsid w:val="00915AB2"/>
    <w:rsid w:val="00915B9C"/>
    <w:rsid w:val="00923DDC"/>
    <w:rsid w:val="00924ADE"/>
    <w:rsid w:val="009256F5"/>
    <w:rsid w:val="00925DDA"/>
    <w:rsid w:val="00926FED"/>
    <w:rsid w:val="0093007F"/>
    <w:rsid w:val="00936132"/>
    <w:rsid w:val="00937307"/>
    <w:rsid w:val="0093779B"/>
    <w:rsid w:val="0094111F"/>
    <w:rsid w:val="009424AD"/>
    <w:rsid w:val="0095140E"/>
    <w:rsid w:val="009525E3"/>
    <w:rsid w:val="0095451A"/>
    <w:rsid w:val="00954FFB"/>
    <w:rsid w:val="00955632"/>
    <w:rsid w:val="00957F57"/>
    <w:rsid w:val="009604A0"/>
    <w:rsid w:val="00962745"/>
    <w:rsid w:val="00962CF5"/>
    <w:rsid w:val="00965447"/>
    <w:rsid w:val="00965995"/>
    <w:rsid w:val="0096626E"/>
    <w:rsid w:val="009706BB"/>
    <w:rsid w:val="00970C96"/>
    <w:rsid w:val="009712AE"/>
    <w:rsid w:val="00971D94"/>
    <w:rsid w:val="00975140"/>
    <w:rsid w:val="00975CCF"/>
    <w:rsid w:val="009773FC"/>
    <w:rsid w:val="00982B6A"/>
    <w:rsid w:val="00983E12"/>
    <w:rsid w:val="00984B6C"/>
    <w:rsid w:val="00984BE6"/>
    <w:rsid w:val="0098679C"/>
    <w:rsid w:val="009905EF"/>
    <w:rsid w:val="00992820"/>
    <w:rsid w:val="00994DA0"/>
    <w:rsid w:val="009A1850"/>
    <w:rsid w:val="009A2509"/>
    <w:rsid w:val="009A3551"/>
    <w:rsid w:val="009A4B25"/>
    <w:rsid w:val="009A56EC"/>
    <w:rsid w:val="009A6579"/>
    <w:rsid w:val="009A65FD"/>
    <w:rsid w:val="009A7D59"/>
    <w:rsid w:val="009B0613"/>
    <w:rsid w:val="009B0E34"/>
    <w:rsid w:val="009B271D"/>
    <w:rsid w:val="009B31FD"/>
    <w:rsid w:val="009B37E5"/>
    <w:rsid w:val="009B4F2A"/>
    <w:rsid w:val="009B6E02"/>
    <w:rsid w:val="009C08AC"/>
    <w:rsid w:val="009C0C3E"/>
    <w:rsid w:val="009C41BB"/>
    <w:rsid w:val="009C50B0"/>
    <w:rsid w:val="009D47B6"/>
    <w:rsid w:val="009D48A7"/>
    <w:rsid w:val="009D5692"/>
    <w:rsid w:val="009E545A"/>
    <w:rsid w:val="009E7CF6"/>
    <w:rsid w:val="009F0CD6"/>
    <w:rsid w:val="009F1DFD"/>
    <w:rsid w:val="009F3D64"/>
    <w:rsid w:val="009F4FA5"/>
    <w:rsid w:val="009F5660"/>
    <w:rsid w:val="00A017EB"/>
    <w:rsid w:val="00A02A9C"/>
    <w:rsid w:val="00A05373"/>
    <w:rsid w:val="00A0770D"/>
    <w:rsid w:val="00A11D13"/>
    <w:rsid w:val="00A15416"/>
    <w:rsid w:val="00A15F68"/>
    <w:rsid w:val="00A17913"/>
    <w:rsid w:val="00A20B8C"/>
    <w:rsid w:val="00A2572D"/>
    <w:rsid w:val="00A26050"/>
    <w:rsid w:val="00A27407"/>
    <w:rsid w:val="00A30BDC"/>
    <w:rsid w:val="00A30C51"/>
    <w:rsid w:val="00A35174"/>
    <w:rsid w:val="00A37BEC"/>
    <w:rsid w:val="00A403D9"/>
    <w:rsid w:val="00A409B8"/>
    <w:rsid w:val="00A41B8D"/>
    <w:rsid w:val="00A423ED"/>
    <w:rsid w:val="00A43398"/>
    <w:rsid w:val="00A443ED"/>
    <w:rsid w:val="00A466B1"/>
    <w:rsid w:val="00A509B8"/>
    <w:rsid w:val="00A520DD"/>
    <w:rsid w:val="00A54E20"/>
    <w:rsid w:val="00A62138"/>
    <w:rsid w:val="00A64C5A"/>
    <w:rsid w:val="00A73E4E"/>
    <w:rsid w:val="00A773FB"/>
    <w:rsid w:val="00A8089C"/>
    <w:rsid w:val="00A80C70"/>
    <w:rsid w:val="00A80FCD"/>
    <w:rsid w:val="00A822CD"/>
    <w:rsid w:val="00A8348C"/>
    <w:rsid w:val="00A83ED5"/>
    <w:rsid w:val="00A9023A"/>
    <w:rsid w:val="00A92500"/>
    <w:rsid w:val="00A94E8C"/>
    <w:rsid w:val="00AA40EB"/>
    <w:rsid w:val="00AA4DF4"/>
    <w:rsid w:val="00AA5041"/>
    <w:rsid w:val="00AA7786"/>
    <w:rsid w:val="00AB0622"/>
    <w:rsid w:val="00AB1537"/>
    <w:rsid w:val="00AB4E10"/>
    <w:rsid w:val="00AB676D"/>
    <w:rsid w:val="00AC3B99"/>
    <w:rsid w:val="00AC4997"/>
    <w:rsid w:val="00AC61DA"/>
    <w:rsid w:val="00AD1D92"/>
    <w:rsid w:val="00AD2088"/>
    <w:rsid w:val="00AD2439"/>
    <w:rsid w:val="00AD32BC"/>
    <w:rsid w:val="00AD3633"/>
    <w:rsid w:val="00AD3EEC"/>
    <w:rsid w:val="00AD5DC0"/>
    <w:rsid w:val="00AD69A3"/>
    <w:rsid w:val="00AD6C14"/>
    <w:rsid w:val="00AE2A8B"/>
    <w:rsid w:val="00AE2BEA"/>
    <w:rsid w:val="00AE3958"/>
    <w:rsid w:val="00AE48EE"/>
    <w:rsid w:val="00AE653F"/>
    <w:rsid w:val="00AE6A16"/>
    <w:rsid w:val="00AE779B"/>
    <w:rsid w:val="00AF0623"/>
    <w:rsid w:val="00AF247C"/>
    <w:rsid w:val="00AF2DF7"/>
    <w:rsid w:val="00AF7348"/>
    <w:rsid w:val="00B00142"/>
    <w:rsid w:val="00B013DD"/>
    <w:rsid w:val="00B023CC"/>
    <w:rsid w:val="00B04229"/>
    <w:rsid w:val="00B0621B"/>
    <w:rsid w:val="00B067E8"/>
    <w:rsid w:val="00B073CC"/>
    <w:rsid w:val="00B14E19"/>
    <w:rsid w:val="00B150DB"/>
    <w:rsid w:val="00B15CE6"/>
    <w:rsid w:val="00B2293E"/>
    <w:rsid w:val="00B2323A"/>
    <w:rsid w:val="00B2344E"/>
    <w:rsid w:val="00B26885"/>
    <w:rsid w:val="00B31E1B"/>
    <w:rsid w:val="00B329F8"/>
    <w:rsid w:val="00B32FA4"/>
    <w:rsid w:val="00B4705A"/>
    <w:rsid w:val="00B53150"/>
    <w:rsid w:val="00B54016"/>
    <w:rsid w:val="00B55EEB"/>
    <w:rsid w:val="00B60A46"/>
    <w:rsid w:val="00B63E25"/>
    <w:rsid w:val="00B66A6F"/>
    <w:rsid w:val="00B767FA"/>
    <w:rsid w:val="00B80B73"/>
    <w:rsid w:val="00B847FA"/>
    <w:rsid w:val="00B9019E"/>
    <w:rsid w:val="00B91640"/>
    <w:rsid w:val="00B93E4A"/>
    <w:rsid w:val="00B95F6B"/>
    <w:rsid w:val="00B9720A"/>
    <w:rsid w:val="00BA02A0"/>
    <w:rsid w:val="00BA0488"/>
    <w:rsid w:val="00BA3D80"/>
    <w:rsid w:val="00BA60BB"/>
    <w:rsid w:val="00BB19BC"/>
    <w:rsid w:val="00BB1BBB"/>
    <w:rsid w:val="00BB250D"/>
    <w:rsid w:val="00BB2C9E"/>
    <w:rsid w:val="00BB3433"/>
    <w:rsid w:val="00BB34AA"/>
    <w:rsid w:val="00BB6547"/>
    <w:rsid w:val="00BB751F"/>
    <w:rsid w:val="00BC3352"/>
    <w:rsid w:val="00BC678A"/>
    <w:rsid w:val="00BC7AE8"/>
    <w:rsid w:val="00BC7FEF"/>
    <w:rsid w:val="00BD1C7B"/>
    <w:rsid w:val="00BD57D2"/>
    <w:rsid w:val="00BD6737"/>
    <w:rsid w:val="00BD7ECE"/>
    <w:rsid w:val="00BE3997"/>
    <w:rsid w:val="00BE4416"/>
    <w:rsid w:val="00BE5499"/>
    <w:rsid w:val="00BE5623"/>
    <w:rsid w:val="00BE6794"/>
    <w:rsid w:val="00BE79CD"/>
    <w:rsid w:val="00BF1308"/>
    <w:rsid w:val="00BF4812"/>
    <w:rsid w:val="00BF4A3D"/>
    <w:rsid w:val="00BF5BCA"/>
    <w:rsid w:val="00C036D3"/>
    <w:rsid w:val="00C03E79"/>
    <w:rsid w:val="00C11311"/>
    <w:rsid w:val="00C16FE3"/>
    <w:rsid w:val="00C2027E"/>
    <w:rsid w:val="00C206BA"/>
    <w:rsid w:val="00C21A1E"/>
    <w:rsid w:val="00C24FB8"/>
    <w:rsid w:val="00C25FC7"/>
    <w:rsid w:val="00C27973"/>
    <w:rsid w:val="00C31686"/>
    <w:rsid w:val="00C3248B"/>
    <w:rsid w:val="00C328BC"/>
    <w:rsid w:val="00C3516A"/>
    <w:rsid w:val="00C36F65"/>
    <w:rsid w:val="00C36FE1"/>
    <w:rsid w:val="00C37190"/>
    <w:rsid w:val="00C37AE1"/>
    <w:rsid w:val="00C4155A"/>
    <w:rsid w:val="00C421FE"/>
    <w:rsid w:val="00C429C1"/>
    <w:rsid w:val="00C45713"/>
    <w:rsid w:val="00C47814"/>
    <w:rsid w:val="00C502B6"/>
    <w:rsid w:val="00C52105"/>
    <w:rsid w:val="00C52159"/>
    <w:rsid w:val="00C536C6"/>
    <w:rsid w:val="00C578D1"/>
    <w:rsid w:val="00C57ADF"/>
    <w:rsid w:val="00C6132C"/>
    <w:rsid w:val="00C62050"/>
    <w:rsid w:val="00C67260"/>
    <w:rsid w:val="00C702A7"/>
    <w:rsid w:val="00C70884"/>
    <w:rsid w:val="00C728F3"/>
    <w:rsid w:val="00C733E6"/>
    <w:rsid w:val="00C749E5"/>
    <w:rsid w:val="00C767F9"/>
    <w:rsid w:val="00C80A49"/>
    <w:rsid w:val="00C8199E"/>
    <w:rsid w:val="00C830DE"/>
    <w:rsid w:val="00C84A02"/>
    <w:rsid w:val="00C905FA"/>
    <w:rsid w:val="00C91E56"/>
    <w:rsid w:val="00C936AF"/>
    <w:rsid w:val="00C94533"/>
    <w:rsid w:val="00C95666"/>
    <w:rsid w:val="00C95BE9"/>
    <w:rsid w:val="00CA1322"/>
    <w:rsid w:val="00CA2EC0"/>
    <w:rsid w:val="00CA4703"/>
    <w:rsid w:val="00CA5826"/>
    <w:rsid w:val="00CB1755"/>
    <w:rsid w:val="00CB299B"/>
    <w:rsid w:val="00CB5319"/>
    <w:rsid w:val="00CB53B6"/>
    <w:rsid w:val="00CB65B3"/>
    <w:rsid w:val="00CB66DC"/>
    <w:rsid w:val="00CC270C"/>
    <w:rsid w:val="00CC5015"/>
    <w:rsid w:val="00CC740F"/>
    <w:rsid w:val="00CD7391"/>
    <w:rsid w:val="00CE39E2"/>
    <w:rsid w:val="00CE618F"/>
    <w:rsid w:val="00CF0CE5"/>
    <w:rsid w:val="00CF1D8A"/>
    <w:rsid w:val="00CF372A"/>
    <w:rsid w:val="00CF45ED"/>
    <w:rsid w:val="00CF6129"/>
    <w:rsid w:val="00D00BA4"/>
    <w:rsid w:val="00D00F60"/>
    <w:rsid w:val="00D010BF"/>
    <w:rsid w:val="00D01230"/>
    <w:rsid w:val="00D050F1"/>
    <w:rsid w:val="00D1325D"/>
    <w:rsid w:val="00D144F9"/>
    <w:rsid w:val="00D14EF0"/>
    <w:rsid w:val="00D1594B"/>
    <w:rsid w:val="00D16555"/>
    <w:rsid w:val="00D1763F"/>
    <w:rsid w:val="00D179A2"/>
    <w:rsid w:val="00D206A4"/>
    <w:rsid w:val="00D21915"/>
    <w:rsid w:val="00D265EA"/>
    <w:rsid w:val="00D2745E"/>
    <w:rsid w:val="00D32E53"/>
    <w:rsid w:val="00D34BA7"/>
    <w:rsid w:val="00D36C8C"/>
    <w:rsid w:val="00D36E67"/>
    <w:rsid w:val="00D37034"/>
    <w:rsid w:val="00D42D22"/>
    <w:rsid w:val="00D44A37"/>
    <w:rsid w:val="00D45D33"/>
    <w:rsid w:val="00D51661"/>
    <w:rsid w:val="00D601D8"/>
    <w:rsid w:val="00D64526"/>
    <w:rsid w:val="00D6662D"/>
    <w:rsid w:val="00D669AC"/>
    <w:rsid w:val="00D671D2"/>
    <w:rsid w:val="00D67246"/>
    <w:rsid w:val="00D711D8"/>
    <w:rsid w:val="00D75CA8"/>
    <w:rsid w:val="00D77B76"/>
    <w:rsid w:val="00D81C73"/>
    <w:rsid w:val="00D82D32"/>
    <w:rsid w:val="00D8367C"/>
    <w:rsid w:val="00D904F8"/>
    <w:rsid w:val="00D91440"/>
    <w:rsid w:val="00D92A85"/>
    <w:rsid w:val="00D92EB8"/>
    <w:rsid w:val="00D953C7"/>
    <w:rsid w:val="00DA0134"/>
    <w:rsid w:val="00DA343D"/>
    <w:rsid w:val="00DA461A"/>
    <w:rsid w:val="00DA546B"/>
    <w:rsid w:val="00DB2253"/>
    <w:rsid w:val="00DB2D57"/>
    <w:rsid w:val="00DB3CC7"/>
    <w:rsid w:val="00DC0197"/>
    <w:rsid w:val="00DC7BFE"/>
    <w:rsid w:val="00DD1E52"/>
    <w:rsid w:val="00DD4200"/>
    <w:rsid w:val="00DD72E6"/>
    <w:rsid w:val="00DD7F25"/>
    <w:rsid w:val="00DE2362"/>
    <w:rsid w:val="00DE238B"/>
    <w:rsid w:val="00DE49E6"/>
    <w:rsid w:val="00DE6C37"/>
    <w:rsid w:val="00DF3E01"/>
    <w:rsid w:val="00DF6920"/>
    <w:rsid w:val="00E00516"/>
    <w:rsid w:val="00E02A2C"/>
    <w:rsid w:val="00E05480"/>
    <w:rsid w:val="00E06CEF"/>
    <w:rsid w:val="00E1024B"/>
    <w:rsid w:val="00E14891"/>
    <w:rsid w:val="00E16240"/>
    <w:rsid w:val="00E22CDC"/>
    <w:rsid w:val="00E23ADF"/>
    <w:rsid w:val="00E25B0B"/>
    <w:rsid w:val="00E31454"/>
    <w:rsid w:val="00E33074"/>
    <w:rsid w:val="00E33D90"/>
    <w:rsid w:val="00E34B27"/>
    <w:rsid w:val="00E3533D"/>
    <w:rsid w:val="00E4033D"/>
    <w:rsid w:val="00E4289F"/>
    <w:rsid w:val="00E451FD"/>
    <w:rsid w:val="00E459A3"/>
    <w:rsid w:val="00E50375"/>
    <w:rsid w:val="00E50CA5"/>
    <w:rsid w:val="00E54F56"/>
    <w:rsid w:val="00E55896"/>
    <w:rsid w:val="00E57C4C"/>
    <w:rsid w:val="00E57E3F"/>
    <w:rsid w:val="00E602AE"/>
    <w:rsid w:val="00E62551"/>
    <w:rsid w:val="00E65663"/>
    <w:rsid w:val="00E65C88"/>
    <w:rsid w:val="00E679A9"/>
    <w:rsid w:val="00E72AA1"/>
    <w:rsid w:val="00E7310B"/>
    <w:rsid w:val="00E827EB"/>
    <w:rsid w:val="00E82F67"/>
    <w:rsid w:val="00E84BB2"/>
    <w:rsid w:val="00E87D26"/>
    <w:rsid w:val="00E90515"/>
    <w:rsid w:val="00E9189B"/>
    <w:rsid w:val="00E91A26"/>
    <w:rsid w:val="00E94684"/>
    <w:rsid w:val="00E95285"/>
    <w:rsid w:val="00E972E1"/>
    <w:rsid w:val="00EA1644"/>
    <w:rsid w:val="00EA372E"/>
    <w:rsid w:val="00EA7761"/>
    <w:rsid w:val="00EB0062"/>
    <w:rsid w:val="00EB3981"/>
    <w:rsid w:val="00EB4721"/>
    <w:rsid w:val="00EB6F0F"/>
    <w:rsid w:val="00EC1ED4"/>
    <w:rsid w:val="00EC432D"/>
    <w:rsid w:val="00EC5699"/>
    <w:rsid w:val="00ED36BD"/>
    <w:rsid w:val="00EE1EEC"/>
    <w:rsid w:val="00EE5FCA"/>
    <w:rsid w:val="00EE6804"/>
    <w:rsid w:val="00EE6889"/>
    <w:rsid w:val="00EF1CB9"/>
    <w:rsid w:val="00EF3BCF"/>
    <w:rsid w:val="00EF524C"/>
    <w:rsid w:val="00EF5255"/>
    <w:rsid w:val="00EF55D4"/>
    <w:rsid w:val="00EF5D6A"/>
    <w:rsid w:val="00F001CD"/>
    <w:rsid w:val="00F00963"/>
    <w:rsid w:val="00F0225F"/>
    <w:rsid w:val="00F02D78"/>
    <w:rsid w:val="00F02F98"/>
    <w:rsid w:val="00F03390"/>
    <w:rsid w:val="00F06436"/>
    <w:rsid w:val="00F07316"/>
    <w:rsid w:val="00F07CD8"/>
    <w:rsid w:val="00F11863"/>
    <w:rsid w:val="00F11A29"/>
    <w:rsid w:val="00F16AFC"/>
    <w:rsid w:val="00F2033E"/>
    <w:rsid w:val="00F20E0E"/>
    <w:rsid w:val="00F22352"/>
    <w:rsid w:val="00F22DC2"/>
    <w:rsid w:val="00F241F4"/>
    <w:rsid w:val="00F2442C"/>
    <w:rsid w:val="00F278BA"/>
    <w:rsid w:val="00F3341C"/>
    <w:rsid w:val="00F34C4D"/>
    <w:rsid w:val="00F435CD"/>
    <w:rsid w:val="00F4469F"/>
    <w:rsid w:val="00F455DC"/>
    <w:rsid w:val="00F528C8"/>
    <w:rsid w:val="00F533AE"/>
    <w:rsid w:val="00F634A4"/>
    <w:rsid w:val="00F63F39"/>
    <w:rsid w:val="00F65CBF"/>
    <w:rsid w:val="00F714DB"/>
    <w:rsid w:val="00F74076"/>
    <w:rsid w:val="00F75823"/>
    <w:rsid w:val="00F7785F"/>
    <w:rsid w:val="00F80196"/>
    <w:rsid w:val="00F8055A"/>
    <w:rsid w:val="00F871C8"/>
    <w:rsid w:val="00F87743"/>
    <w:rsid w:val="00F90DA1"/>
    <w:rsid w:val="00F91BA1"/>
    <w:rsid w:val="00F9382E"/>
    <w:rsid w:val="00F94191"/>
    <w:rsid w:val="00F94B5B"/>
    <w:rsid w:val="00F966F6"/>
    <w:rsid w:val="00FA2209"/>
    <w:rsid w:val="00FA2704"/>
    <w:rsid w:val="00FA360E"/>
    <w:rsid w:val="00FA49EE"/>
    <w:rsid w:val="00FA7132"/>
    <w:rsid w:val="00FA7397"/>
    <w:rsid w:val="00FB16B4"/>
    <w:rsid w:val="00FB2E54"/>
    <w:rsid w:val="00FB7F5C"/>
    <w:rsid w:val="00FC0A38"/>
    <w:rsid w:val="00FC154E"/>
    <w:rsid w:val="00FC15E9"/>
    <w:rsid w:val="00FC51D6"/>
    <w:rsid w:val="00FC53C2"/>
    <w:rsid w:val="00FC5D67"/>
    <w:rsid w:val="00FC70BE"/>
    <w:rsid w:val="00FD148F"/>
    <w:rsid w:val="00FD1BCF"/>
    <w:rsid w:val="00FD262D"/>
    <w:rsid w:val="00FD650A"/>
    <w:rsid w:val="00FD65EC"/>
    <w:rsid w:val="00FE273D"/>
    <w:rsid w:val="00FE3EF4"/>
    <w:rsid w:val="00FE62C5"/>
    <w:rsid w:val="00FE74CC"/>
    <w:rsid w:val="00FF052F"/>
    <w:rsid w:val="00FF1034"/>
    <w:rsid w:val="00FF1332"/>
    <w:rsid w:val="00FF4980"/>
    <w:rsid w:val="00FF787C"/>
    <w:rsid w:val="279FB398"/>
    <w:rsid w:val="3107FB2D"/>
    <w:rsid w:val="54639287"/>
    <w:rsid w:val="590A19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FFF0"/>
  <w15:docId w15:val="{FCE9BF1B-7F29-491F-8AB3-A0C06CF3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7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738"/>
  </w:style>
  <w:style w:type="paragraph" w:styleId="Footer">
    <w:name w:val="footer"/>
    <w:basedOn w:val="Normal"/>
    <w:link w:val="FooterChar"/>
    <w:uiPriority w:val="99"/>
    <w:unhideWhenUsed/>
    <w:rsid w:val="007077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738"/>
  </w:style>
  <w:style w:type="paragraph" w:styleId="BalloonText">
    <w:name w:val="Balloon Text"/>
    <w:basedOn w:val="Normal"/>
    <w:link w:val="BalloonTextChar"/>
    <w:uiPriority w:val="99"/>
    <w:semiHidden/>
    <w:unhideWhenUsed/>
    <w:rsid w:val="00707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738"/>
    <w:rPr>
      <w:rFonts w:ascii="Tahoma" w:hAnsi="Tahoma" w:cs="Tahoma"/>
      <w:sz w:val="16"/>
      <w:szCs w:val="16"/>
    </w:rPr>
  </w:style>
  <w:style w:type="table" w:styleId="TableGrid">
    <w:name w:val="Table Grid"/>
    <w:basedOn w:val="TableNormal"/>
    <w:uiPriority w:val="39"/>
    <w:rsid w:val="00F27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61F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1F7C"/>
    <w:rPr>
      <w:sz w:val="20"/>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basedOn w:val="DefaultParagraphFont"/>
    <w:uiPriority w:val="99"/>
    <w:unhideWhenUsed/>
    <w:qFormat/>
    <w:rsid w:val="00161F7C"/>
    <w:rPr>
      <w:vertAlign w:val="superscript"/>
    </w:rPr>
  </w:style>
  <w:style w:type="paragraph" w:customStyle="1" w:styleId="Titlelevel1">
    <w:name w:val="Title level 1"/>
    <w:autoRedefine/>
    <w:qFormat/>
    <w:rsid w:val="00F02D78"/>
    <w:pPr>
      <w:pBdr>
        <w:bottom w:val="single" w:sz="8" w:space="17" w:color="2F5773"/>
      </w:pBdr>
      <w:spacing w:after="240" w:line="240" w:lineRule="auto"/>
      <w:jc w:val="center"/>
    </w:pPr>
    <w:rPr>
      <w:rFonts w:ascii="Arial" w:eastAsia="MS PGothic" w:hAnsi="Arial" w:cs="Arial"/>
      <w:b/>
      <w:color w:val="2F5773"/>
      <w:spacing w:val="5"/>
      <w:kern w:val="28"/>
      <w:sz w:val="32"/>
      <w:szCs w:val="32"/>
    </w:rPr>
  </w:style>
  <w:style w:type="paragraph" w:customStyle="1" w:styleId="Titlelevel3">
    <w:name w:val="Title level 3"/>
    <w:qFormat/>
    <w:rsid w:val="00A05373"/>
    <w:pPr>
      <w:spacing w:before="240" w:after="240" w:line="240" w:lineRule="auto"/>
    </w:pPr>
    <w:rPr>
      <w:rFonts w:ascii="Calibri" w:eastAsia="MS PGothic" w:hAnsi="Calibri" w:cs="Times New Roman"/>
      <w:b/>
      <w:color w:val="2F5773"/>
      <w:sz w:val="24"/>
      <w:szCs w:val="24"/>
      <w:lang w:val="en-US"/>
    </w:rPr>
  </w:style>
  <w:style w:type="paragraph" w:styleId="ListParagraph">
    <w:name w:val="List Paragraph"/>
    <w:aliases w:val="Paragraphe EI,Paragraphe de liste1,EC,List Paragraph_Sections,Dot pt,List Paragraph1,Colorful List - Accent 11,No Spacing1,List Paragraph Char Char Char,Indicator Text,Numbered Para 1,Bullet 1,F5 List Paragraph,Bullet Points,OBC Bullet,3"/>
    <w:basedOn w:val="Normal"/>
    <w:link w:val="ListParagraphChar"/>
    <w:uiPriority w:val="34"/>
    <w:qFormat/>
    <w:rsid w:val="008057FF"/>
    <w:pPr>
      <w:ind w:left="720"/>
      <w:contextualSpacing/>
    </w:pPr>
  </w:style>
  <w:style w:type="character" w:styleId="CommentReference">
    <w:name w:val="annotation reference"/>
    <w:basedOn w:val="DefaultParagraphFont"/>
    <w:uiPriority w:val="99"/>
    <w:semiHidden/>
    <w:unhideWhenUsed/>
    <w:rsid w:val="009A3551"/>
    <w:rPr>
      <w:sz w:val="16"/>
      <w:szCs w:val="16"/>
    </w:rPr>
  </w:style>
  <w:style w:type="paragraph" w:styleId="CommentText">
    <w:name w:val="annotation text"/>
    <w:basedOn w:val="Normal"/>
    <w:link w:val="CommentTextChar"/>
    <w:uiPriority w:val="99"/>
    <w:unhideWhenUsed/>
    <w:rsid w:val="009A3551"/>
    <w:pPr>
      <w:spacing w:line="240" w:lineRule="auto"/>
    </w:pPr>
    <w:rPr>
      <w:sz w:val="20"/>
      <w:szCs w:val="20"/>
    </w:rPr>
  </w:style>
  <w:style w:type="character" w:customStyle="1" w:styleId="CommentTextChar">
    <w:name w:val="Comment Text Char"/>
    <w:basedOn w:val="DefaultParagraphFont"/>
    <w:link w:val="CommentText"/>
    <w:uiPriority w:val="99"/>
    <w:rsid w:val="009A3551"/>
    <w:rPr>
      <w:sz w:val="20"/>
      <w:szCs w:val="20"/>
    </w:rPr>
  </w:style>
  <w:style w:type="paragraph" w:styleId="CommentSubject">
    <w:name w:val="annotation subject"/>
    <w:basedOn w:val="CommentText"/>
    <w:next w:val="CommentText"/>
    <w:link w:val="CommentSubjectChar"/>
    <w:uiPriority w:val="99"/>
    <w:semiHidden/>
    <w:unhideWhenUsed/>
    <w:rsid w:val="009A3551"/>
    <w:rPr>
      <w:b/>
      <w:bCs/>
    </w:rPr>
  </w:style>
  <w:style w:type="character" w:customStyle="1" w:styleId="CommentSubjectChar">
    <w:name w:val="Comment Subject Char"/>
    <w:basedOn w:val="CommentTextChar"/>
    <w:link w:val="CommentSubject"/>
    <w:uiPriority w:val="99"/>
    <w:semiHidden/>
    <w:rsid w:val="009A3551"/>
    <w:rPr>
      <w:b/>
      <w:bCs/>
      <w:sz w:val="20"/>
      <w:szCs w:val="20"/>
    </w:rPr>
  </w:style>
  <w:style w:type="paragraph" w:styleId="NormalWeb">
    <w:name w:val="Normal (Web)"/>
    <w:basedOn w:val="Normal"/>
    <w:uiPriority w:val="99"/>
    <w:semiHidden/>
    <w:unhideWhenUsed/>
    <w:rsid w:val="001360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37BEC"/>
    <w:rPr>
      <w:color w:val="0000FF" w:themeColor="hyperlink"/>
      <w:u w:val="single"/>
    </w:rPr>
  </w:style>
  <w:style w:type="paragraph" w:customStyle="1" w:styleId="Default">
    <w:name w:val="Default"/>
    <w:rsid w:val="00D36E67"/>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Paragraphe EI Char,Paragraphe de liste1 Char,EC Char,List Paragraph_Sections Char,Dot pt Char,List Paragraph1 Char,Colorful List - Accent 11 Char,No Spacing1 Char,List Paragraph Char Char Char Char,Indicator Text Char,Bullet 1 Char"/>
    <w:basedOn w:val="DefaultParagraphFont"/>
    <w:link w:val="ListParagraph"/>
    <w:uiPriority w:val="34"/>
    <w:qFormat/>
    <w:locked/>
    <w:rsid w:val="00D36E67"/>
  </w:style>
  <w:style w:type="paragraph" w:styleId="Title">
    <w:name w:val="Title"/>
    <w:basedOn w:val="Normal"/>
    <w:next w:val="Normal"/>
    <w:link w:val="TitleChar"/>
    <w:uiPriority w:val="10"/>
    <w:qFormat/>
    <w:rsid w:val="005B6CD1"/>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TitleChar">
    <w:name w:val="Title Char"/>
    <w:basedOn w:val="DefaultParagraphFont"/>
    <w:link w:val="Title"/>
    <w:uiPriority w:val="10"/>
    <w:rsid w:val="005B6CD1"/>
    <w:rPr>
      <w:rFonts w:asciiTheme="majorHAnsi" w:eastAsiaTheme="majorEastAsia" w:hAnsiTheme="majorHAnsi" w:cstheme="majorBidi"/>
      <w:color w:val="17365D" w:themeColor="text2" w:themeShade="BF"/>
      <w:spacing w:val="5"/>
      <w:kern w:val="28"/>
      <w:sz w:val="52"/>
      <w:szCs w:val="52"/>
      <w:lang w:eastAsia="en-GB"/>
    </w:rPr>
  </w:style>
  <w:style w:type="paragraph" w:styleId="Revision">
    <w:name w:val="Revision"/>
    <w:hidden/>
    <w:uiPriority w:val="99"/>
    <w:semiHidden/>
    <w:rsid w:val="00D1763F"/>
    <w:pPr>
      <w:spacing w:after="0" w:line="240" w:lineRule="auto"/>
    </w:pPr>
  </w:style>
  <w:style w:type="character" w:styleId="FollowedHyperlink">
    <w:name w:val="FollowedHyperlink"/>
    <w:basedOn w:val="DefaultParagraphFont"/>
    <w:uiPriority w:val="99"/>
    <w:semiHidden/>
    <w:unhideWhenUsed/>
    <w:rsid w:val="001275B5"/>
    <w:rPr>
      <w:color w:val="800080" w:themeColor="followedHyperlink"/>
      <w:u w:val="single"/>
    </w:rPr>
  </w:style>
  <w:style w:type="paragraph" w:customStyle="1" w:styleId="Letterhead">
    <w:name w:val="Letterhead"/>
    <w:basedOn w:val="Normal"/>
    <w:link w:val="LetterheadChar"/>
    <w:qFormat/>
    <w:rsid w:val="0079065E"/>
    <w:pPr>
      <w:spacing w:after="0"/>
      <w:jc w:val="right"/>
    </w:pPr>
    <w:rPr>
      <w:rFonts w:eastAsiaTheme="minorEastAsia"/>
      <w:b/>
      <w:szCs w:val="20"/>
    </w:rPr>
  </w:style>
  <w:style w:type="character" w:customStyle="1" w:styleId="LetterheadChar">
    <w:name w:val="Letterhead Char"/>
    <w:basedOn w:val="DefaultParagraphFont"/>
    <w:link w:val="Letterhead"/>
    <w:rsid w:val="0079065E"/>
    <w:rPr>
      <w:rFonts w:eastAsiaTheme="minorEastAsia"/>
      <w:b/>
      <w:szCs w:val="20"/>
    </w:rPr>
  </w:style>
  <w:style w:type="paragraph" w:customStyle="1" w:styleId="body">
    <w:name w:val="body"/>
    <w:qFormat/>
    <w:rsid w:val="0079065E"/>
    <w:pPr>
      <w:spacing w:before="240" w:after="120"/>
      <w:jc w:val="both"/>
    </w:pPr>
    <w:rPr>
      <w:rFonts w:ascii="Calibri" w:eastAsiaTheme="minorEastAsia" w:hAnsi="Calibri"/>
      <w:lang w:val="en-US"/>
    </w:rPr>
  </w:style>
  <w:style w:type="character" w:customStyle="1" w:styleId="ESMARegularuse">
    <w:name w:val="ESMA Regular use"/>
    <w:basedOn w:val="DefaultParagraphFont"/>
    <w:uiPriority w:val="1"/>
    <w:qFormat/>
    <w:rsid w:val="005418F4"/>
    <w:rPr>
      <w:b w:val="0"/>
      <w:bCs/>
      <w:caps/>
      <w:smallCaps w:val="0"/>
      <w:color w:val="1F497D" w:themeColor="text2"/>
      <w:sz w:val="22"/>
    </w:rPr>
  </w:style>
  <w:style w:type="paragraph" w:customStyle="1" w:styleId="HeaderFoot">
    <w:name w:val="HeaderFoot"/>
    <w:basedOn w:val="Normal"/>
    <w:link w:val="HeaderFootChar"/>
    <w:qFormat/>
    <w:rsid w:val="005418F4"/>
    <w:pPr>
      <w:spacing w:after="0"/>
      <w:jc w:val="right"/>
    </w:pPr>
    <w:rPr>
      <w:rFonts w:ascii="Arial" w:eastAsiaTheme="minorEastAsia" w:hAnsi="Arial" w:cs="Arial"/>
      <w:color w:val="001B4F"/>
      <w:sz w:val="16"/>
      <w:szCs w:val="16"/>
    </w:rPr>
  </w:style>
  <w:style w:type="character" w:customStyle="1" w:styleId="HeaderFootChar">
    <w:name w:val="HeaderFoot Char"/>
    <w:basedOn w:val="DefaultParagraphFont"/>
    <w:link w:val="HeaderFoot"/>
    <w:rsid w:val="005418F4"/>
    <w:rPr>
      <w:rFonts w:ascii="Arial" w:eastAsiaTheme="minorEastAsia" w:hAnsi="Arial" w:cs="Arial"/>
      <w:color w:val="001B4F"/>
      <w:sz w:val="16"/>
      <w:szCs w:val="16"/>
    </w:rPr>
  </w:style>
  <w:style w:type="character" w:styleId="UnresolvedMention">
    <w:name w:val="Unresolved Mention"/>
    <w:basedOn w:val="DefaultParagraphFont"/>
    <w:uiPriority w:val="99"/>
    <w:semiHidden/>
    <w:unhideWhenUsed/>
    <w:rsid w:val="00905E44"/>
    <w:rPr>
      <w:color w:val="605E5C"/>
      <w:shd w:val="clear" w:color="auto" w:fill="E1DFDD"/>
    </w:rPr>
  </w:style>
  <w:style w:type="paragraph" w:customStyle="1" w:styleId="Questionstyle">
    <w:name w:val="Question style"/>
    <w:basedOn w:val="Normal"/>
    <w:next w:val="Normal"/>
    <w:link w:val="QuestionstyleChar"/>
    <w:autoRedefine/>
    <w:qFormat/>
    <w:rsid w:val="00AE48EE"/>
    <w:pPr>
      <w:spacing w:after="250"/>
      <w:contextualSpacing/>
      <w:jc w:val="both"/>
    </w:pPr>
    <w:rPr>
      <w:rFonts w:ascii="Arial" w:eastAsiaTheme="minorEastAsia" w:hAnsi="Arial" w:cs="Arial"/>
      <w:b/>
      <w:lang w:val="en-US"/>
    </w:rPr>
  </w:style>
  <w:style w:type="character" w:customStyle="1" w:styleId="QuestionstyleChar">
    <w:name w:val="Question style Char"/>
    <w:basedOn w:val="DefaultParagraphFont"/>
    <w:link w:val="Questionstyle"/>
    <w:rsid w:val="00AE48EE"/>
    <w:rPr>
      <w:rFonts w:ascii="Arial" w:eastAsiaTheme="minorEastAsia" w:hAnsi="Arial" w:cs="Arial"/>
      <w:b/>
      <w:lang w:val="en-US"/>
    </w:rPr>
  </w:style>
  <w:style w:type="paragraph" w:customStyle="1" w:styleId="02Date">
    <w:name w:val="02_Date"/>
    <w:basedOn w:val="Normal"/>
    <w:rsid w:val="004B03A3"/>
    <w:pPr>
      <w:spacing w:after="0" w:line="220" w:lineRule="exact"/>
    </w:pPr>
    <w:rPr>
      <w:rFonts w:ascii="Arial" w:eastAsia="Times New Roman" w:hAnsi="Arial" w:cs="Times New Roman"/>
      <w:sz w:val="17"/>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167">
      <w:bodyDiv w:val="1"/>
      <w:marLeft w:val="0"/>
      <w:marRight w:val="0"/>
      <w:marTop w:val="0"/>
      <w:marBottom w:val="0"/>
      <w:divBdr>
        <w:top w:val="none" w:sz="0" w:space="0" w:color="auto"/>
        <w:left w:val="none" w:sz="0" w:space="0" w:color="auto"/>
        <w:bottom w:val="none" w:sz="0" w:space="0" w:color="auto"/>
        <w:right w:val="none" w:sz="0" w:space="0" w:color="auto"/>
      </w:divBdr>
    </w:div>
    <w:div w:id="94332759">
      <w:bodyDiv w:val="1"/>
      <w:marLeft w:val="0"/>
      <w:marRight w:val="0"/>
      <w:marTop w:val="0"/>
      <w:marBottom w:val="0"/>
      <w:divBdr>
        <w:top w:val="none" w:sz="0" w:space="0" w:color="auto"/>
        <w:left w:val="none" w:sz="0" w:space="0" w:color="auto"/>
        <w:bottom w:val="none" w:sz="0" w:space="0" w:color="auto"/>
        <w:right w:val="none" w:sz="0" w:space="0" w:color="auto"/>
      </w:divBdr>
    </w:div>
    <w:div w:id="175704071">
      <w:bodyDiv w:val="1"/>
      <w:marLeft w:val="0"/>
      <w:marRight w:val="0"/>
      <w:marTop w:val="0"/>
      <w:marBottom w:val="0"/>
      <w:divBdr>
        <w:top w:val="none" w:sz="0" w:space="0" w:color="auto"/>
        <w:left w:val="none" w:sz="0" w:space="0" w:color="auto"/>
        <w:bottom w:val="none" w:sz="0" w:space="0" w:color="auto"/>
        <w:right w:val="none" w:sz="0" w:space="0" w:color="auto"/>
      </w:divBdr>
    </w:div>
    <w:div w:id="194777168">
      <w:bodyDiv w:val="1"/>
      <w:marLeft w:val="0"/>
      <w:marRight w:val="0"/>
      <w:marTop w:val="0"/>
      <w:marBottom w:val="0"/>
      <w:divBdr>
        <w:top w:val="none" w:sz="0" w:space="0" w:color="auto"/>
        <w:left w:val="none" w:sz="0" w:space="0" w:color="auto"/>
        <w:bottom w:val="none" w:sz="0" w:space="0" w:color="auto"/>
        <w:right w:val="none" w:sz="0" w:space="0" w:color="auto"/>
      </w:divBdr>
    </w:div>
    <w:div w:id="291864465">
      <w:bodyDiv w:val="1"/>
      <w:marLeft w:val="0"/>
      <w:marRight w:val="0"/>
      <w:marTop w:val="0"/>
      <w:marBottom w:val="0"/>
      <w:divBdr>
        <w:top w:val="none" w:sz="0" w:space="0" w:color="auto"/>
        <w:left w:val="none" w:sz="0" w:space="0" w:color="auto"/>
        <w:bottom w:val="none" w:sz="0" w:space="0" w:color="auto"/>
        <w:right w:val="none" w:sz="0" w:space="0" w:color="auto"/>
      </w:divBdr>
    </w:div>
    <w:div w:id="437411890">
      <w:bodyDiv w:val="1"/>
      <w:marLeft w:val="0"/>
      <w:marRight w:val="0"/>
      <w:marTop w:val="0"/>
      <w:marBottom w:val="0"/>
      <w:divBdr>
        <w:top w:val="none" w:sz="0" w:space="0" w:color="auto"/>
        <w:left w:val="none" w:sz="0" w:space="0" w:color="auto"/>
        <w:bottom w:val="none" w:sz="0" w:space="0" w:color="auto"/>
        <w:right w:val="none" w:sz="0" w:space="0" w:color="auto"/>
      </w:divBdr>
    </w:div>
    <w:div w:id="552273038">
      <w:bodyDiv w:val="1"/>
      <w:marLeft w:val="0"/>
      <w:marRight w:val="0"/>
      <w:marTop w:val="0"/>
      <w:marBottom w:val="0"/>
      <w:divBdr>
        <w:top w:val="none" w:sz="0" w:space="0" w:color="auto"/>
        <w:left w:val="none" w:sz="0" w:space="0" w:color="auto"/>
        <w:bottom w:val="none" w:sz="0" w:space="0" w:color="auto"/>
        <w:right w:val="none" w:sz="0" w:space="0" w:color="auto"/>
      </w:divBdr>
    </w:div>
    <w:div w:id="579297373">
      <w:bodyDiv w:val="1"/>
      <w:marLeft w:val="0"/>
      <w:marRight w:val="0"/>
      <w:marTop w:val="0"/>
      <w:marBottom w:val="0"/>
      <w:divBdr>
        <w:top w:val="none" w:sz="0" w:space="0" w:color="auto"/>
        <w:left w:val="none" w:sz="0" w:space="0" w:color="auto"/>
        <w:bottom w:val="none" w:sz="0" w:space="0" w:color="auto"/>
        <w:right w:val="none" w:sz="0" w:space="0" w:color="auto"/>
      </w:divBdr>
    </w:div>
    <w:div w:id="605892621">
      <w:bodyDiv w:val="1"/>
      <w:marLeft w:val="0"/>
      <w:marRight w:val="0"/>
      <w:marTop w:val="0"/>
      <w:marBottom w:val="0"/>
      <w:divBdr>
        <w:top w:val="none" w:sz="0" w:space="0" w:color="auto"/>
        <w:left w:val="none" w:sz="0" w:space="0" w:color="auto"/>
        <w:bottom w:val="none" w:sz="0" w:space="0" w:color="auto"/>
        <w:right w:val="none" w:sz="0" w:space="0" w:color="auto"/>
      </w:divBdr>
    </w:div>
    <w:div w:id="762187103">
      <w:bodyDiv w:val="1"/>
      <w:marLeft w:val="0"/>
      <w:marRight w:val="0"/>
      <w:marTop w:val="0"/>
      <w:marBottom w:val="0"/>
      <w:divBdr>
        <w:top w:val="none" w:sz="0" w:space="0" w:color="auto"/>
        <w:left w:val="none" w:sz="0" w:space="0" w:color="auto"/>
        <w:bottom w:val="none" w:sz="0" w:space="0" w:color="auto"/>
        <w:right w:val="none" w:sz="0" w:space="0" w:color="auto"/>
      </w:divBdr>
    </w:div>
    <w:div w:id="814106497">
      <w:bodyDiv w:val="1"/>
      <w:marLeft w:val="0"/>
      <w:marRight w:val="0"/>
      <w:marTop w:val="0"/>
      <w:marBottom w:val="0"/>
      <w:divBdr>
        <w:top w:val="none" w:sz="0" w:space="0" w:color="auto"/>
        <w:left w:val="none" w:sz="0" w:space="0" w:color="auto"/>
        <w:bottom w:val="none" w:sz="0" w:space="0" w:color="auto"/>
        <w:right w:val="none" w:sz="0" w:space="0" w:color="auto"/>
      </w:divBdr>
    </w:div>
    <w:div w:id="862212544">
      <w:bodyDiv w:val="1"/>
      <w:marLeft w:val="0"/>
      <w:marRight w:val="0"/>
      <w:marTop w:val="0"/>
      <w:marBottom w:val="0"/>
      <w:divBdr>
        <w:top w:val="none" w:sz="0" w:space="0" w:color="auto"/>
        <w:left w:val="none" w:sz="0" w:space="0" w:color="auto"/>
        <w:bottom w:val="none" w:sz="0" w:space="0" w:color="auto"/>
        <w:right w:val="none" w:sz="0" w:space="0" w:color="auto"/>
      </w:divBdr>
    </w:div>
    <w:div w:id="980161457">
      <w:bodyDiv w:val="1"/>
      <w:marLeft w:val="0"/>
      <w:marRight w:val="0"/>
      <w:marTop w:val="0"/>
      <w:marBottom w:val="0"/>
      <w:divBdr>
        <w:top w:val="none" w:sz="0" w:space="0" w:color="auto"/>
        <w:left w:val="none" w:sz="0" w:space="0" w:color="auto"/>
        <w:bottom w:val="none" w:sz="0" w:space="0" w:color="auto"/>
        <w:right w:val="none" w:sz="0" w:space="0" w:color="auto"/>
      </w:divBdr>
      <w:divsChild>
        <w:div w:id="211188900">
          <w:marLeft w:val="0"/>
          <w:marRight w:val="0"/>
          <w:marTop w:val="0"/>
          <w:marBottom w:val="0"/>
          <w:divBdr>
            <w:top w:val="none" w:sz="0" w:space="0" w:color="auto"/>
            <w:left w:val="none" w:sz="0" w:space="0" w:color="auto"/>
            <w:bottom w:val="none" w:sz="0" w:space="0" w:color="auto"/>
            <w:right w:val="none" w:sz="0" w:space="0" w:color="auto"/>
          </w:divBdr>
        </w:div>
      </w:divsChild>
    </w:div>
    <w:div w:id="1008556457">
      <w:bodyDiv w:val="1"/>
      <w:marLeft w:val="0"/>
      <w:marRight w:val="0"/>
      <w:marTop w:val="0"/>
      <w:marBottom w:val="0"/>
      <w:divBdr>
        <w:top w:val="none" w:sz="0" w:space="0" w:color="auto"/>
        <w:left w:val="none" w:sz="0" w:space="0" w:color="auto"/>
        <w:bottom w:val="none" w:sz="0" w:space="0" w:color="auto"/>
        <w:right w:val="none" w:sz="0" w:space="0" w:color="auto"/>
      </w:divBdr>
    </w:div>
    <w:div w:id="1018387702">
      <w:bodyDiv w:val="1"/>
      <w:marLeft w:val="0"/>
      <w:marRight w:val="0"/>
      <w:marTop w:val="0"/>
      <w:marBottom w:val="0"/>
      <w:divBdr>
        <w:top w:val="none" w:sz="0" w:space="0" w:color="auto"/>
        <w:left w:val="none" w:sz="0" w:space="0" w:color="auto"/>
        <w:bottom w:val="none" w:sz="0" w:space="0" w:color="auto"/>
        <w:right w:val="none" w:sz="0" w:space="0" w:color="auto"/>
      </w:divBdr>
    </w:div>
    <w:div w:id="1025210527">
      <w:bodyDiv w:val="1"/>
      <w:marLeft w:val="0"/>
      <w:marRight w:val="0"/>
      <w:marTop w:val="0"/>
      <w:marBottom w:val="0"/>
      <w:divBdr>
        <w:top w:val="none" w:sz="0" w:space="0" w:color="auto"/>
        <w:left w:val="none" w:sz="0" w:space="0" w:color="auto"/>
        <w:bottom w:val="none" w:sz="0" w:space="0" w:color="auto"/>
        <w:right w:val="none" w:sz="0" w:space="0" w:color="auto"/>
      </w:divBdr>
    </w:div>
    <w:div w:id="1038047364">
      <w:bodyDiv w:val="1"/>
      <w:marLeft w:val="0"/>
      <w:marRight w:val="0"/>
      <w:marTop w:val="0"/>
      <w:marBottom w:val="0"/>
      <w:divBdr>
        <w:top w:val="none" w:sz="0" w:space="0" w:color="auto"/>
        <w:left w:val="none" w:sz="0" w:space="0" w:color="auto"/>
        <w:bottom w:val="none" w:sz="0" w:space="0" w:color="auto"/>
        <w:right w:val="none" w:sz="0" w:space="0" w:color="auto"/>
      </w:divBdr>
    </w:div>
    <w:div w:id="1294020462">
      <w:bodyDiv w:val="1"/>
      <w:marLeft w:val="0"/>
      <w:marRight w:val="0"/>
      <w:marTop w:val="0"/>
      <w:marBottom w:val="0"/>
      <w:divBdr>
        <w:top w:val="none" w:sz="0" w:space="0" w:color="auto"/>
        <w:left w:val="none" w:sz="0" w:space="0" w:color="auto"/>
        <w:bottom w:val="none" w:sz="0" w:space="0" w:color="auto"/>
        <w:right w:val="none" w:sz="0" w:space="0" w:color="auto"/>
      </w:divBdr>
    </w:div>
    <w:div w:id="1306929741">
      <w:bodyDiv w:val="1"/>
      <w:marLeft w:val="0"/>
      <w:marRight w:val="0"/>
      <w:marTop w:val="0"/>
      <w:marBottom w:val="0"/>
      <w:divBdr>
        <w:top w:val="none" w:sz="0" w:space="0" w:color="auto"/>
        <w:left w:val="none" w:sz="0" w:space="0" w:color="auto"/>
        <w:bottom w:val="none" w:sz="0" w:space="0" w:color="auto"/>
        <w:right w:val="none" w:sz="0" w:space="0" w:color="auto"/>
      </w:divBdr>
    </w:div>
    <w:div w:id="1510679168">
      <w:bodyDiv w:val="1"/>
      <w:marLeft w:val="0"/>
      <w:marRight w:val="0"/>
      <w:marTop w:val="0"/>
      <w:marBottom w:val="0"/>
      <w:divBdr>
        <w:top w:val="none" w:sz="0" w:space="0" w:color="auto"/>
        <w:left w:val="none" w:sz="0" w:space="0" w:color="auto"/>
        <w:bottom w:val="none" w:sz="0" w:space="0" w:color="auto"/>
        <w:right w:val="none" w:sz="0" w:space="0" w:color="auto"/>
      </w:divBdr>
    </w:div>
    <w:div w:id="1724211839">
      <w:bodyDiv w:val="1"/>
      <w:marLeft w:val="0"/>
      <w:marRight w:val="0"/>
      <w:marTop w:val="0"/>
      <w:marBottom w:val="0"/>
      <w:divBdr>
        <w:top w:val="none" w:sz="0" w:space="0" w:color="auto"/>
        <w:left w:val="none" w:sz="0" w:space="0" w:color="auto"/>
        <w:bottom w:val="none" w:sz="0" w:space="0" w:color="auto"/>
        <w:right w:val="none" w:sz="0" w:space="0" w:color="auto"/>
      </w:divBdr>
    </w:div>
    <w:div w:id="1797597476">
      <w:bodyDiv w:val="1"/>
      <w:marLeft w:val="0"/>
      <w:marRight w:val="0"/>
      <w:marTop w:val="0"/>
      <w:marBottom w:val="0"/>
      <w:divBdr>
        <w:top w:val="none" w:sz="0" w:space="0" w:color="auto"/>
        <w:left w:val="none" w:sz="0" w:space="0" w:color="auto"/>
        <w:bottom w:val="none" w:sz="0" w:space="0" w:color="auto"/>
        <w:right w:val="none" w:sz="0" w:space="0" w:color="auto"/>
      </w:divBdr>
    </w:div>
    <w:div w:id="1821728171">
      <w:bodyDiv w:val="1"/>
      <w:marLeft w:val="0"/>
      <w:marRight w:val="0"/>
      <w:marTop w:val="0"/>
      <w:marBottom w:val="0"/>
      <w:divBdr>
        <w:top w:val="none" w:sz="0" w:space="0" w:color="auto"/>
        <w:left w:val="none" w:sz="0" w:space="0" w:color="auto"/>
        <w:bottom w:val="none" w:sz="0" w:space="0" w:color="auto"/>
        <w:right w:val="none" w:sz="0" w:space="0" w:color="auto"/>
      </w:divBdr>
    </w:div>
    <w:div w:id="1923486592">
      <w:bodyDiv w:val="1"/>
      <w:marLeft w:val="0"/>
      <w:marRight w:val="0"/>
      <w:marTop w:val="0"/>
      <w:marBottom w:val="0"/>
      <w:divBdr>
        <w:top w:val="none" w:sz="0" w:space="0" w:color="auto"/>
        <w:left w:val="none" w:sz="0" w:space="0" w:color="auto"/>
        <w:bottom w:val="none" w:sz="0" w:space="0" w:color="auto"/>
        <w:right w:val="none" w:sz="0" w:space="0" w:color="auto"/>
      </w:divBdr>
    </w:div>
    <w:div w:id="1945652088">
      <w:bodyDiv w:val="1"/>
      <w:marLeft w:val="0"/>
      <w:marRight w:val="0"/>
      <w:marTop w:val="0"/>
      <w:marBottom w:val="0"/>
      <w:divBdr>
        <w:top w:val="none" w:sz="0" w:space="0" w:color="auto"/>
        <w:left w:val="none" w:sz="0" w:space="0" w:color="auto"/>
        <w:bottom w:val="none" w:sz="0" w:space="0" w:color="auto"/>
        <w:right w:val="none" w:sz="0" w:space="0" w:color="auto"/>
      </w:divBdr>
    </w:div>
    <w:div w:id="1984768787">
      <w:bodyDiv w:val="1"/>
      <w:marLeft w:val="0"/>
      <w:marRight w:val="0"/>
      <w:marTop w:val="0"/>
      <w:marBottom w:val="0"/>
      <w:divBdr>
        <w:top w:val="none" w:sz="0" w:space="0" w:color="auto"/>
        <w:left w:val="none" w:sz="0" w:space="0" w:color="auto"/>
        <w:bottom w:val="none" w:sz="0" w:space="0" w:color="auto"/>
        <w:right w:val="none" w:sz="0" w:space="0" w:color="auto"/>
      </w:divBdr>
    </w:div>
    <w:div w:id="2046903922">
      <w:bodyDiv w:val="1"/>
      <w:marLeft w:val="0"/>
      <w:marRight w:val="0"/>
      <w:marTop w:val="0"/>
      <w:marBottom w:val="0"/>
      <w:divBdr>
        <w:top w:val="none" w:sz="0" w:space="0" w:color="auto"/>
        <w:left w:val="none" w:sz="0" w:space="0" w:color="auto"/>
        <w:bottom w:val="none" w:sz="0" w:space="0" w:color="auto"/>
        <w:right w:val="none" w:sz="0" w:space="0" w:color="auto"/>
      </w:divBdr>
    </w:div>
    <w:div w:id="2117551736">
      <w:bodyDiv w:val="1"/>
      <w:marLeft w:val="0"/>
      <w:marRight w:val="0"/>
      <w:marTop w:val="0"/>
      <w:marBottom w:val="0"/>
      <w:divBdr>
        <w:top w:val="none" w:sz="0" w:space="0" w:color="auto"/>
        <w:left w:val="none" w:sz="0" w:space="0" w:color="auto"/>
        <w:bottom w:val="none" w:sz="0" w:space="0" w:color="auto"/>
        <w:right w:val="none" w:sz="0" w:space="0" w:color="auto"/>
      </w:divBdr>
    </w:div>
    <w:div w:id="212141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ba.europa.eu/legal-noti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esma.europa.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sma.europa.eu/legal-notic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iopa.europa.eu/Pages/Links/Legal-notice.aspx"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dipierri\Desktop\dot\JC%20ESAs%20letter%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267</Value>
      <Value>316</Value>
      <Value>163</Value>
      <Value>6</Value>
      <Value>5</Value>
      <Value>38</Value>
    </TaxCatchAll>
    <_dlc_DocId xmlns="d0fb0f98-34f9-4d57-9559-eb8efd17aa5e">ESMA34-1592494965-470</_dlc_DocId>
    <_dlc_DocIdUrl xmlns="d0fb0f98-34f9-4d57-9559-eb8efd17aa5e">
      <Url>https://securitiesandmarketsauth.sharepoint.com/sites/sherpa-ivm/_layouts/15/DocIdRedir.aspx?ID=ESMA34-1592494965-470</Url>
      <Description>ESMA34-1592494965-470</Description>
    </_dlc_DocIdUrl>
    <_dlc_DocIdPersistId xmlns="d0fb0f98-34f9-4d57-9559-eb8efd17aa5e" xsi:nil="true"/>
    <i273e4c9de95495b82bee898e1d119e4 xmlns="d0fb0f98-34f9-4d57-9559-eb8efd17aa5e">
      <Terms xmlns="http://schemas.microsoft.com/office/infopath/2007/PartnerControls">
        <TermInfo xmlns="http://schemas.microsoft.com/office/infopath/2007/PartnerControls">
          <TermName xmlns="http://schemas.microsoft.com/office/infopath/2007/PartnerControls">Joint Committee</TermName>
          <TermId xmlns="http://schemas.microsoft.com/office/infopath/2007/PartnerControls">cb43e48b-6753-43e1-a3b5-5b621e1f60b3</TermId>
        </TermInfo>
      </Terms>
    </i273e4c9de95495b82bee898e1d119e4>
    <k9db3a09612944c49e649e0ff38a506b xmlns="d0fb0f98-34f9-4d57-9559-eb8efd17aa5e">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902c1e7c-3957-48c1-abbe-acf26525b3f2</TermId>
        </TermInfo>
      </Terms>
    </k9db3a09612944c49e649e0ff38a506b>
    <MeetingDate xmlns="d0fb0f98-34f9-4d57-9559-eb8efd17aa5e" xsi:nil="true"/>
    <Year xmlns="d0fb0f98-34f9-4d57-9559-eb8efd17aa5e">2023</Year>
    <o129a376828d47fdaef4d5f5d93fd079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pe003f6b23174764860dd10a5d2d3e7f xmlns="d0fb0f98-34f9-4d57-9559-eb8efd17aa5e">
      <Terms xmlns="http://schemas.microsoft.com/office/infopath/2007/PartnerControls">
        <TermInfo xmlns="http://schemas.microsoft.com/office/infopath/2007/PartnerControls">
          <TermName xmlns="http://schemas.microsoft.com/office/infopath/2007/PartnerControls">SFDR RTS (second mandate)</TermName>
          <TermId xmlns="http://schemas.microsoft.com/office/infopath/2007/PartnerControls">5756ea92-2063-4f07-a9d1-5ce84418bdc1</TermId>
        </TermInfo>
      </Terms>
    </pe003f6b23174764860dd10a5d2d3e7f>
    <kdd529b9a5cb416096d62dbd0e6e5583 xmlns="d0fb0f98-34f9-4d57-9559-eb8efd17aa5e">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oa4fe03ffd8943c1880fe290404e8de7 xmlns="d0fb0f98-34f9-4d57-9559-eb8efd17aa5e">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oa4fe03ffd8943c1880fe290404e8de7>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ustainable Finance Document" ma:contentTypeID="0x0101000ED1C6BF2ECFE74585EFFEA9E6E279620400BEB2507EF22CBE4CB8286BFB2BA9BFB7" ma:contentTypeVersion="23" ma:contentTypeDescription="" ma:contentTypeScope="" ma:versionID="a8c7ca85b262fa0729021505eb132d67">
  <xsd:schema xmlns:xsd="http://www.w3.org/2001/XMLSchema" xmlns:xs="http://www.w3.org/2001/XMLSchema" xmlns:p="http://schemas.microsoft.com/office/2006/metadata/properties" xmlns:ns2="d0fb0f98-34f9-4d57-9559-eb8efd17aa5e" xmlns:ns3="1b4e0555-eea4-42f1-b1c8-1775a3e728bd" targetNamespace="http://schemas.microsoft.com/office/2006/metadata/properties" ma:root="true" ma:fieldsID="40714789edce5923ad982d83fbe7f3ed" ns2:_="" ns3:_="">
    <xsd:import namespace="d0fb0f98-34f9-4d57-9559-eb8efd17aa5e"/>
    <xsd:import namespace="1b4e0555-eea4-42f1-b1c8-1775a3e728bd"/>
    <xsd:element name="properties">
      <xsd:complexType>
        <xsd:sequence>
          <xsd:element name="documentManagement">
            <xsd:complexType>
              <xsd:all>
                <xsd:element ref="ns2:Year"/>
                <xsd:element ref="ns2:MeetingDate" minOccurs="0"/>
                <xsd:element ref="ns2:TaxCatchAll" minOccurs="0"/>
                <xsd:element ref="ns2:TaxCatchAllLabel" minOccurs="0"/>
                <xsd:element ref="ns2:k9db3a09612944c49e649e0ff38a506b" minOccurs="0"/>
                <xsd:element ref="ns2:kdd529b9a5cb416096d62dbd0e6e5583" minOccurs="0"/>
                <xsd:element ref="ns2:oa4fe03ffd8943c1880fe290404e8de7" minOccurs="0"/>
                <xsd:element ref="ns2:o129a376828d47fdaef4d5f5d93fd079" minOccurs="0"/>
                <xsd:element ref="ns2:i273e4c9de95495b82bee898e1d119e4" minOccurs="0"/>
                <xsd:element ref="ns2:pe003f6b23174764860dd10a5d2d3e7f" minOccurs="0"/>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4" nillable="true" ma:displayName="Taxonomy Catch All Column" ma:hidden="true" ma:list="{47290a89-fb2d-4e6f-824b-be70d5d8a6c0}"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7290a89-fb2d-4e6f-824b-be70d5d8a6c0}"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k9db3a09612944c49e649e0ff38a506b" ma:index="18" nillable="true" ma:taxonomy="true" ma:internalName="k9db3a09612944c49e649e0ff38a506b" ma:taxonomyFieldName="EsmaAudience" ma:displayName="Audience" ma:readOnly="false" ma:fieldId="{49db3a09-6129-44c4-9e64-9e0ff38a506b}"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9" nillable="true" ma:taxonomy="true" ma:internalName="kdd529b9a5cb416096d62dbd0e6e5583" ma:taxonomyFieldName="TeamName" ma:displayName="Team Name" ma:readOnly="false" ma:default="-1;#Investment Management|9630b78b-e81c-4ffd-baef-5f8b4aeb7ac5" ma:fieldId="{4dd529b9-a5cb-4160-96d6-2dbd0e6e5583}"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a4fe03ffd8943c1880fe290404e8de7" ma:index="20" nillable="true" ma:taxonomy="true" ma:internalName="oa4fe03ffd8943c1880fe290404e8de7" ma:taxonomyFieldName="DocumentType" ma:displayName="Document Type" ma:readOnly="false" ma:fieldId="{8a4fe03f-fd89-43c1-880f-e290404e8de7}"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21" ma:taxonomy="true" ma:internalName="o129a376828d47fdaef4d5f5d93fd079" ma:taxonomyFieldName="ConfidentialityLevel" ma:displayName="Confidentiality Level" ma:readOnly="false" ma:default="-1;#Regular|07f1e362-856b-423d-bea6-a14079762141" ma:fieldId="{8129a376-828d-47fd-aef4-d5f5d93fd079}"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i273e4c9de95495b82bee898e1d119e4" ma:index="22" nillable="true" ma:taxonomy="true" ma:internalName="i273e4c9de95495b82bee898e1d119e4" ma:taxonomyFieldName="Topic" ma:displayName="Topic" ma:readOnly="false" ma:fieldId="{2273e4c9-de95-495b-82be-e898e1d119e4}" ma:sspId="d4b01e31-ead0-4f68-a8e9-2aaca35f2e62"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3" nillable="true" ma:taxonomy="true" ma:internalName="pe003f6b23174764860dd10a5d2d3e7f" ma:taxonomyFieldName="SubTopic" ma:displayName="Sub Topic" ma:readOnly="false" ma:fieldId="{9e003f6b-2317-4764-860d-d10a5d2d3e7f}" ma:sspId="d4b01e31-ead0-4f68-a8e9-2aaca35f2e62" ma:termSetId="0a6922ba-4b5d-4066-b81e-7cc61c85a71b"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4e0555-eea4-42f1-b1c8-1775a3e728b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1DB528-99DC-4117-9E3A-B74E80433B68}">
  <ds:schemaRefs>
    <ds:schemaRef ds:uri="http://schemas.openxmlformats.org/officeDocument/2006/bibliography"/>
  </ds:schemaRefs>
</ds:datastoreItem>
</file>

<file path=customXml/itemProps2.xml><?xml version="1.0" encoding="utf-8"?>
<ds:datastoreItem xmlns:ds="http://schemas.openxmlformats.org/officeDocument/2006/customXml" ds:itemID="{2265D6AB-5BAF-4F8B-860B-F844D195E660}">
  <ds:schemaRefs>
    <ds:schemaRef ds:uri="http://schemas.microsoft.com/sharepoint/v3/contenttype/forms"/>
  </ds:schemaRefs>
</ds:datastoreItem>
</file>

<file path=customXml/itemProps3.xml><?xml version="1.0" encoding="utf-8"?>
<ds:datastoreItem xmlns:ds="http://schemas.openxmlformats.org/officeDocument/2006/customXml" ds:itemID="{298AAAF1-38A1-4F65-AD56-B9BB84E00524}">
  <ds:schemaRefs>
    <ds:schemaRef ds:uri="http://schemas.microsoft.com/office/2006/metadata/properties"/>
    <ds:schemaRef ds:uri="http://schemas.microsoft.com/office/infopath/2007/PartnerControls"/>
    <ds:schemaRef ds:uri="d0fb0f98-34f9-4d57-9559-eb8efd17aa5e"/>
  </ds:schemaRefs>
</ds:datastoreItem>
</file>

<file path=customXml/itemProps4.xml><?xml version="1.0" encoding="utf-8"?>
<ds:datastoreItem xmlns:ds="http://schemas.openxmlformats.org/officeDocument/2006/customXml" ds:itemID="{958EF864-A2BC-4D23-8318-F4CA46A99FBB}">
  <ds:schemaRefs>
    <ds:schemaRef ds:uri="http://schemas.microsoft.com/sharepoint/events"/>
  </ds:schemaRefs>
</ds:datastoreItem>
</file>

<file path=customXml/itemProps5.xml><?xml version="1.0" encoding="utf-8"?>
<ds:datastoreItem xmlns:ds="http://schemas.openxmlformats.org/officeDocument/2006/customXml" ds:itemID="{B925B865-0003-413B-BB32-173833701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1b4e0555-eea4-42f1-b1c8-1775a3e72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JC ESAs letter 2023</Template>
  <TotalTime>17</TotalTime>
  <Pages>26</Pages>
  <Words>7697</Words>
  <Characters>43877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Di Pierri</dc:creator>
  <cp:keywords/>
  <dc:description/>
  <cp:lastModifiedBy>Mariana Ferreira</cp:lastModifiedBy>
  <cp:revision>3</cp:revision>
  <cp:lastPrinted>2022-02-14T13:26:00Z</cp:lastPrinted>
  <dcterms:created xsi:type="dcterms:W3CDTF">2023-07-03T15:41:00Z</dcterms:created>
  <dcterms:modified xsi:type="dcterms:W3CDTF">2023-07-04T10:36:00Z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0x0101000ED1C6BF2ECFE74585EFFEA9E6E279620400BEB2507EF22CBE4CB8286BFB2BA9BFB7</vt:lpwstr>
  </property>
  <property fmtid="{D5CDD505-2E9C-101B-9397-08002B2CF9AE}" pid="3" name="TeamName">
    <vt:lpwstr>5;#Investment Management|9630b78b-e81c-4ffd-baef-5f8b4aeb7ac5</vt:lpwstr>
  </property>
  <property fmtid="{D5CDD505-2E9C-101B-9397-08002B2CF9AE}" pid="4" name="Topic">
    <vt:lpwstr>316;#Joint Committee|cb43e48b-6753-43e1-a3b5-5b621e1f60b3</vt:lpwstr>
  </property>
  <property fmtid="{D5CDD505-2E9C-101B-9397-08002B2CF9AE}" pid="5" name="_dlc_DocIdItemGuid">
    <vt:lpwstr>e7fe9e3e-83d0-48a9-8c8a-48d74b3831d9</vt:lpwstr>
  </property>
  <property fmtid="{D5CDD505-2E9C-101B-9397-08002B2CF9AE}" pid="6" name="EsmaAudience">
    <vt:lpwstr>38;#Public|902c1e7c-3957-48c1-abbe-acf26525b3f2</vt:lpwstr>
  </property>
  <property fmtid="{D5CDD505-2E9C-101B-9397-08002B2CF9AE}" pid="7" name="InternalStakeholders">
    <vt:lpwstr/>
  </property>
  <property fmtid="{D5CDD505-2E9C-101B-9397-08002B2CF9AE}" pid="8" name="ExternalStakeholders">
    <vt:lpwstr/>
  </property>
  <property fmtid="{D5CDD505-2E9C-101B-9397-08002B2CF9AE}" pid="9" name="ConfidentialityLevel">
    <vt:lpwstr>6;#Regular|07f1e362-856b-423d-bea6-a14079762141</vt:lpwstr>
  </property>
  <property fmtid="{D5CDD505-2E9C-101B-9397-08002B2CF9AE}" pid="10" name="SubTopic">
    <vt:lpwstr>267;#SFDR RTS (second mandate)|5756ea92-2063-4f07-a9d1-5ce84418bdc1</vt:lpwstr>
  </property>
  <property fmtid="{D5CDD505-2E9C-101B-9397-08002B2CF9AE}" pid="11" name="DocumentType">
    <vt:lpwstr>163;#Questionnaire|a849d609-a31c-415e-a1a8-503bcc16b083</vt:lpwstr>
  </property>
  <property fmtid="{D5CDD505-2E9C-101B-9397-08002B2CF9AE}" pid="12" name="ERIS_Keywords">
    <vt:lpwstr>41;#Joint Committee|39f181f6-b682-49b2-b5d6-6bd17197ad5e;#7;#European Supervisory Authorities|088e0315-0add-4db0-8c07-3239a9eebd82;#30;#Meeting|c6a558ef-353c-4a9a-9fb4-9a8352e101a3</vt:lpwstr>
  </property>
  <property fmtid="{D5CDD505-2E9C-101B-9397-08002B2CF9AE}" pid="13" name="ERIS_Department">
    <vt:lpwstr>3;#Corporate Affairs Department|7d798a32-4c3f-4fe6-bdf3-ee2d844df284</vt:lpwstr>
  </property>
  <property fmtid="{D5CDD505-2E9C-101B-9397-08002B2CF9AE}" pid="14" name="ERIS_LeadDepartment">
    <vt:lpwstr>3;#Corporate Affairs Department|7d798a32-4c3f-4fe6-bdf3-ee2d844df284</vt:lpwstr>
  </property>
  <property fmtid="{D5CDD505-2E9C-101B-9397-08002B2CF9AE}" pid="15" name="ERIS_Language">
    <vt:lpwstr>1;#English|2741a941-2920-4ba4-aa70-d8ed6ac1785d</vt:lpwstr>
  </property>
  <property fmtid="{D5CDD505-2E9C-101B-9397-08002B2CF9AE}" pid="16" name="ERIS_DocumentType">
    <vt:lpwstr>103;#Working Document|254f018b-be83-4207-974c-c7551dec58f8</vt:lpwstr>
  </property>
  <property fmtid="{D5CDD505-2E9C-101B-9397-08002B2CF9AE}" pid="17" name="RecordPoint_WorkflowType">
    <vt:lpwstr>ActiveSubmitStub</vt:lpwstr>
  </property>
  <property fmtid="{D5CDD505-2E9C-101B-9397-08002B2CF9AE}" pid="18" name="RecordPoint_ActiveItemWebId">
    <vt:lpwstr>{6817eb41-f58d-4d8c-9928-e40df44e6c06}</vt:lpwstr>
  </property>
  <property fmtid="{D5CDD505-2E9C-101B-9397-08002B2CF9AE}" pid="19" name="RecordPoint_ActiveItemSiteId">
    <vt:lpwstr>{107a66c6-4449-4fba-9d19-643279d9d6a9}</vt:lpwstr>
  </property>
  <property fmtid="{D5CDD505-2E9C-101B-9397-08002B2CF9AE}" pid="20" name="RecordPoint_ActiveItemListId">
    <vt:lpwstr>{5ba7ce30-1b05-4c10-b6bc-07152f9885f1}</vt:lpwstr>
  </property>
  <property fmtid="{D5CDD505-2E9C-101B-9397-08002B2CF9AE}" pid="21" name="RecordPoint_ActiveItemUniqueId">
    <vt:lpwstr>{7c301d50-d3a2-4ab0-821a-65a05a36f2c2}</vt:lpwstr>
  </property>
  <property fmtid="{D5CDD505-2E9C-101B-9397-08002B2CF9AE}" pid="22" name="RecordPoint_RecordNumberSubmitted">
    <vt:lpwstr>EIOPA(2022)0007624</vt:lpwstr>
  </property>
  <property fmtid="{D5CDD505-2E9C-101B-9397-08002B2CF9AE}" pid="23" name="RecordPoint_SubmissionCompleted">
    <vt:lpwstr>2022-02-16T11:35:30.5422534+00:00</vt:lpwstr>
  </property>
  <property fmtid="{D5CDD505-2E9C-101B-9397-08002B2CF9AE}" pid="24" name="RecordPoint_SubmissionDate">
    <vt:lpwstr/>
  </property>
  <property fmtid="{D5CDD505-2E9C-101B-9397-08002B2CF9AE}" pid="25" name="RecordPoint_RecordFormat">
    <vt:lpwstr/>
  </property>
  <property fmtid="{D5CDD505-2E9C-101B-9397-08002B2CF9AE}" pid="26" name="RecordPoint_ActiveItemMoved">
    <vt:lpwstr/>
  </property>
  <property fmtid="{D5CDD505-2E9C-101B-9397-08002B2CF9AE}" pid="27" name="MDU">
    <vt:lpwstr/>
  </property>
  <property fmtid="{D5CDD505-2E9C-101B-9397-08002B2CF9AE}" pid="28" name="_docset_NoMedatataSyncRequired">
    <vt:lpwstr>False</vt:lpwstr>
  </property>
  <property fmtid="{D5CDD505-2E9C-101B-9397-08002B2CF9AE}" pid="29" name="ESMATemplatesTopic">
    <vt:lpwstr>51;#Joint Committee/ESAs|f1e6c470-d3a4-45e8-8907-aa3596040947</vt:lpwstr>
  </property>
  <property fmtid="{D5CDD505-2E9C-101B-9397-08002B2CF9AE}" pid="30" name="ESMATemplatesConfidentialityLevel">
    <vt:lpwstr>6;#Regular|07f1e362-856b-423d-bea6-a14079762141</vt:lpwstr>
  </property>
  <property fmtid="{D5CDD505-2E9C-101B-9397-08002B2CF9AE}" pid="31" name="DocumentSetDescription">
    <vt:lpwstr/>
  </property>
</Properties>
</file>