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pPr>
        <w:numPr>
          <w:ilvl w:val="0"/>
          <w:numId w:val="1"/>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9B4A88">
        <w:rPr>
          <w:rFonts w:ascii="Arial" w:eastAsiaTheme="minorEastAsia" w:hAnsi="Arial" w:cs="Arial"/>
          <w:color w:val="1A1A1A" w:themeColor="background1" w:themeShade="1A"/>
          <w:szCs w:val="20"/>
          <w:highlight w:val="yellow"/>
        </w:rPr>
        <w:t>Upload the Word reply form containing your responses to ESMA’s website (</w:t>
      </w:r>
      <w:r w:rsidRPr="009B4A88">
        <w:rPr>
          <w:rFonts w:ascii="Arial" w:eastAsiaTheme="minorEastAsia" w:hAnsi="Arial" w:cs="Arial"/>
          <w:b/>
          <w:bCs/>
          <w:color w:val="1A1A1A" w:themeColor="background1" w:themeShade="1A"/>
          <w:szCs w:val="20"/>
          <w:highlight w:val="yellow"/>
        </w:rPr>
        <w:t>pdf documents will not be considered except for annexes</w:t>
      </w:r>
      <w:r w:rsidRPr="009B4A88">
        <w:rPr>
          <w:rFonts w:ascii="Arial" w:eastAsiaTheme="minorEastAsia" w:hAnsi="Arial" w:cs="Arial"/>
          <w:color w:val="1A1A1A" w:themeColor="background1" w:themeShade="1A"/>
          <w:szCs w:val="20"/>
          <w:highlight w:val="yellow"/>
        </w:rPr>
        <w:t>)</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2"/>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B21997">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C00EAB">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0A7223D7" w:rsidR="005418F4" w:rsidRPr="005418F4" w:rsidRDefault="00B21997" w:rsidP="005418F4">
                <w:pPr>
                  <w:spacing w:after="250"/>
                  <w:rPr>
                    <w:rFonts w:ascii="Arial" w:eastAsiaTheme="minorEastAsia" w:hAnsi="Arial" w:cs="Arial"/>
                    <w:color w:val="808080"/>
                    <w:szCs w:val="20"/>
                  </w:rPr>
                </w:pPr>
                <w:r>
                  <w:rPr>
                    <w:rFonts w:ascii="Arial" w:eastAsiaTheme="minorEastAsia" w:hAnsi="Arial" w:cs="Arial"/>
                    <w:color w:val="808080"/>
                    <w:szCs w:val="20"/>
                  </w:rPr>
                  <w:t>Danish Institute for Human Rights</w:t>
                </w:r>
              </w:p>
            </w:tc>
          </w:sdtContent>
        </w:sdt>
      </w:tr>
      <w:tr w:rsidR="005418F4" w:rsidRPr="005418F4" w14:paraId="1994CDD1" w14:textId="77777777" w:rsidTr="00C00EAB">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70F4AA29" w:rsidR="005418F4" w:rsidRPr="005418F4" w:rsidRDefault="00864F4D"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03A24">
                  <w:rPr>
                    <w:rFonts w:ascii="Arial" w:eastAsiaTheme="minorEastAsia" w:hAnsi="Arial" w:cs="Arial"/>
                    <w:color w:val="1A1A1A" w:themeColor="background1" w:themeShade="1A"/>
                    <w:szCs w:val="20"/>
                  </w:rPr>
                  <w:t>Government, Regulatory and Enforcement</w:t>
                </w:r>
              </w:sdtContent>
            </w:sdt>
          </w:p>
        </w:tc>
      </w:tr>
      <w:tr w:rsidR="005418F4" w:rsidRPr="005418F4" w14:paraId="6D2BB9B6" w14:textId="77777777" w:rsidTr="00C00EAB">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585E6660" w:rsidR="005418F4" w:rsidRPr="005418F4" w:rsidRDefault="00B21997"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C00EAB">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077B0E81" w:rsidR="005418F4" w:rsidRPr="005418F4" w:rsidRDefault="00B21997"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Denmark</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pPr>
        <w:pStyle w:val="Questionstyle"/>
        <w:numPr>
          <w:ilvl w:val="0"/>
          <w:numId w:val="2"/>
        </w:numPr>
      </w:pPr>
      <w:bookmarkStart w:id="0" w:name="_Hlk131609827"/>
      <w:r>
        <w:t xml:space="preserve">: </w:t>
      </w:r>
      <w:r w:rsidRPr="00DD7261">
        <w:t>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1348034591" w:edGrp="everyone"/>
    </w:p>
    <w:p w14:paraId="6518D979" w14:textId="300128DE" w:rsidR="000A0D6F" w:rsidRPr="008D1A7D" w:rsidRDefault="000A0D6F" w:rsidP="000A0D6F">
      <w:pPr>
        <w:rPr>
          <w:b/>
          <w:bCs/>
        </w:rPr>
      </w:pPr>
      <w:r>
        <w:rPr>
          <w:b/>
          <w:bCs/>
        </w:rPr>
        <w:t xml:space="preserve">General </w:t>
      </w:r>
      <w:r w:rsidR="009A536C">
        <w:rPr>
          <w:b/>
          <w:bCs/>
        </w:rPr>
        <w:t>observations</w:t>
      </w:r>
    </w:p>
    <w:p w14:paraId="3135FED5" w14:textId="2FE2FBDA" w:rsidR="00BE15F4" w:rsidRDefault="000A0D6F" w:rsidP="000A0D6F">
      <w:r>
        <w:t xml:space="preserve">The </w:t>
      </w:r>
      <w:r w:rsidR="00E61159">
        <w:t xml:space="preserve">DIHR </w:t>
      </w:r>
      <w:r w:rsidR="001554A7">
        <w:t xml:space="preserve">welcomes the opportunity to </w:t>
      </w:r>
      <w:r w:rsidR="00D57B53">
        <w:t>participate in</w:t>
      </w:r>
      <w:r w:rsidR="00497415">
        <w:t xml:space="preserve"> this consultation</w:t>
      </w:r>
      <w:r w:rsidR="00B120C1">
        <w:t xml:space="preserve">, </w:t>
      </w:r>
      <w:r w:rsidR="00097B0A">
        <w:t>as well as the aim of the European Supervisory Authorities</w:t>
      </w:r>
      <w:r w:rsidR="005B5CFE">
        <w:t xml:space="preserve"> (ESAs)</w:t>
      </w:r>
      <w:r w:rsidR="00097B0A">
        <w:t xml:space="preserve"> </w:t>
      </w:r>
      <w:r w:rsidR="00845376">
        <w:t xml:space="preserve">to </w:t>
      </w:r>
      <w:r w:rsidR="000B30F0">
        <w:t>strengthen the consideration of social adverse impacts in the Sustainable Finance Disclosure Regulation</w:t>
      </w:r>
      <w:r w:rsidR="00134F1A">
        <w:t xml:space="preserve"> (SFDR)</w:t>
      </w:r>
      <w:r w:rsidR="000B30F0">
        <w:t>.</w:t>
      </w:r>
      <w:r w:rsidR="00B120C1">
        <w:t xml:space="preserve"> </w:t>
      </w:r>
      <w:r w:rsidR="00097B0A">
        <w:t xml:space="preserve">This </w:t>
      </w:r>
      <w:r w:rsidR="0038056C">
        <w:t xml:space="preserve">input primarily focuses on the </w:t>
      </w:r>
      <w:r w:rsidR="00664E6A">
        <w:t>‘social’ clauses</w:t>
      </w:r>
      <w:r w:rsidR="0038056C">
        <w:t xml:space="preserve"> as they pertain to human rights and </w:t>
      </w:r>
      <w:r w:rsidR="005A6A1B">
        <w:t xml:space="preserve">labour rights (or </w:t>
      </w:r>
      <w:r w:rsidR="00762989">
        <w:t>‘</w:t>
      </w:r>
      <w:r w:rsidR="005A6A1B">
        <w:t>employee matters</w:t>
      </w:r>
      <w:r w:rsidR="00762989">
        <w:t>’</w:t>
      </w:r>
      <w:r w:rsidR="005A6A1B">
        <w:t xml:space="preserve"> as </w:t>
      </w:r>
      <w:r w:rsidR="00762989">
        <w:t xml:space="preserve">referred to in </w:t>
      </w:r>
      <w:r w:rsidR="00F463A3">
        <w:t>RTS</w:t>
      </w:r>
      <w:r w:rsidR="00762989">
        <w:t xml:space="preserve">). </w:t>
      </w:r>
      <w:r w:rsidR="007A053E">
        <w:t>To</w:t>
      </w:r>
      <w:r w:rsidR="007D156E">
        <w:t xml:space="preserve"> contextualise the responses to the </w:t>
      </w:r>
      <w:r w:rsidR="00676EF2">
        <w:t xml:space="preserve">specific </w:t>
      </w:r>
      <w:r w:rsidR="007D156E">
        <w:t>consultation questions</w:t>
      </w:r>
      <w:r w:rsidR="00072ACE">
        <w:t xml:space="preserve"> below</w:t>
      </w:r>
      <w:r w:rsidR="009B7A43">
        <w:t>,</w:t>
      </w:r>
      <w:r w:rsidR="007D156E">
        <w:t xml:space="preserve"> </w:t>
      </w:r>
      <w:r w:rsidR="00AB5D79">
        <w:t xml:space="preserve">we would </w:t>
      </w:r>
      <w:r w:rsidR="00373B82">
        <w:t xml:space="preserve">like to </w:t>
      </w:r>
      <w:r w:rsidR="00984DEA">
        <w:t>raise two</w:t>
      </w:r>
      <w:r w:rsidR="00F03277">
        <w:t xml:space="preserve"> general</w:t>
      </w:r>
      <w:r w:rsidR="00984DEA">
        <w:t xml:space="preserve"> concerns</w:t>
      </w:r>
      <w:r w:rsidR="00072ACE">
        <w:t>.</w:t>
      </w:r>
    </w:p>
    <w:p w14:paraId="4B6604E4" w14:textId="3A5A90B9" w:rsidR="00CF0E6F" w:rsidRDefault="0038792E" w:rsidP="000A0D6F">
      <w:pPr>
        <w:rPr>
          <w:rFonts w:cs="Arial"/>
        </w:rPr>
      </w:pPr>
      <w:r>
        <w:t xml:space="preserve">First, </w:t>
      </w:r>
      <w:r w:rsidR="00F03277">
        <w:t xml:space="preserve">we find that </w:t>
      </w:r>
      <w:r w:rsidR="005B09A5">
        <w:t xml:space="preserve">the </w:t>
      </w:r>
      <w:r w:rsidR="0013292C">
        <w:t>current</w:t>
      </w:r>
      <w:r w:rsidR="002B30AF">
        <w:t xml:space="preserve"> regulatory technical standards (RTS)</w:t>
      </w:r>
      <w:r w:rsidR="0013292C">
        <w:t xml:space="preserve"> </w:t>
      </w:r>
      <w:r w:rsidR="0015541A">
        <w:t xml:space="preserve">continue to </w:t>
      </w:r>
      <w:r w:rsidR="00BC15F1">
        <w:t>have gaps</w:t>
      </w:r>
      <w:r w:rsidR="0013292C">
        <w:t xml:space="preserve"> vis-à-vis international standards on responsible business conduct such as </w:t>
      </w:r>
      <w:r w:rsidR="00792C36">
        <w:t>UN Guiding Principles on Business and Human Rights</w:t>
      </w:r>
      <w:r w:rsidR="008708B5">
        <w:t xml:space="preserve"> (UNGPs)</w:t>
      </w:r>
      <w:r w:rsidR="00792C36">
        <w:t xml:space="preserve"> and OECD Guidelines on Multinational Enterprises</w:t>
      </w:r>
      <w:r w:rsidR="008708B5">
        <w:t xml:space="preserve"> (OECD Guidelines)</w:t>
      </w:r>
      <w:r w:rsidR="0013292C">
        <w:t xml:space="preserve">. </w:t>
      </w:r>
      <w:r w:rsidR="00BE15F4">
        <w:t>The DIHR</w:t>
      </w:r>
      <w:r w:rsidR="001A5CA8">
        <w:t xml:space="preserve"> has raise</w:t>
      </w:r>
      <w:r w:rsidR="00AD515E">
        <w:t>d</w:t>
      </w:r>
      <w:r w:rsidR="001A5CA8">
        <w:t xml:space="preserve"> </w:t>
      </w:r>
      <w:r w:rsidR="009622E7">
        <w:t>such</w:t>
      </w:r>
      <w:r w:rsidR="001A5CA8">
        <w:t xml:space="preserve"> concerns </w:t>
      </w:r>
      <w:r w:rsidR="00AD515E">
        <w:t>in</w:t>
      </w:r>
      <w:r w:rsidR="009622E7">
        <w:t xml:space="preserve"> its submission</w:t>
      </w:r>
      <w:r w:rsidR="001A5CA8">
        <w:t xml:space="preserve"> </w:t>
      </w:r>
      <w:r w:rsidR="00AD515E">
        <w:t xml:space="preserve">to </w:t>
      </w:r>
      <w:r w:rsidR="001A5CA8">
        <w:t>the first consultation on RTS organised by the Supervisory Authorities in the summer of 2020</w:t>
      </w:r>
      <w:r w:rsidR="00A76AC7">
        <w:t xml:space="preserve">. </w:t>
      </w:r>
      <w:r w:rsidR="003F6D90">
        <w:t xml:space="preserve">This leads to a situation whereby </w:t>
      </w:r>
      <w:r w:rsidR="008C0B81">
        <w:t xml:space="preserve">the regulation sets a lower standard </w:t>
      </w:r>
      <w:r w:rsidR="00C244DE">
        <w:t>for</w:t>
      </w:r>
      <w:r w:rsidR="008C0B81">
        <w:t xml:space="preserve"> </w:t>
      </w:r>
      <w:r w:rsidR="00177742">
        <w:t xml:space="preserve">disclosure than what many responsible investors </w:t>
      </w:r>
      <w:r w:rsidR="00CD5E9F">
        <w:t xml:space="preserve">are </w:t>
      </w:r>
      <w:r w:rsidR="00177742">
        <w:t>committed to (see for example PRI</w:t>
      </w:r>
      <w:r w:rsidR="00FD14CB">
        <w:t>´s</w:t>
      </w:r>
      <w:r w:rsidR="00177742">
        <w:t xml:space="preserve"> </w:t>
      </w:r>
      <w:hyperlink r:id="rId15">
        <w:r w:rsidR="00FD14CB" w:rsidRPr="07652243">
          <w:rPr>
            <w:rStyle w:val="Hyperlink"/>
          </w:rPr>
          <w:t>Why and How Investors Should Act on Human Rights</w:t>
        </w:r>
      </w:hyperlink>
      <w:r w:rsidR="00177742">
        <w:t>).</w:t>
      </w:r>
      <w:r w:rsidR="008B0825">
        <w:t xml:space="preserve"> </w:t>
      </w:r>
      <w:r w:rsidR="00FE41D3">
        <w:t xml:space="preserve">One </w:t>
      </w:r>
      <w:r w:rsidR="00BC15F1">
        <w:t xml:space="preserve">important area </w:t>
      </w:r>
      <w:r w:rsidR="00FD14CB">
        <w:t>of mis</w:t>
      </w:r>
      <w:r w:rsidR="00BC15F1">
        <w:t>alignment</w:t>
      </w:r>
      <w:r w:rsidR="00FD14CB">
        <w:t xml:space="preserve"> is the </w:t>
      </w:r>
      <w:r w:rsidR="00711915">
        <w:t xml:space="preserve">expectation that </w:t>
      </w:r>
      <w:r w:rsidR="00CD5E9F">
        <w:t>financial market participants (FMPs)</w:t>
      </w:r>
      <w:r w:rsidR="00CA384E">
        <w:t xml:space="preserve"> should primarily report on </w:t>
      </w:r>
      <w:r w:rsidR="002C5840">
        <w:t>a</w:t>
      </w:r>
      <w:r w:rsidR="00CA384E">
        <w:t xml:space="preserve"> pre-defined</w:t>
      </w:r>
      <w:r w:rsidR="00711915">
        <w:t xml:space="preserve"> </w:t>
      </w:r>
      <w:r w:rsidR="00CA384E">
        <w:t xml:space="preserve">list of </w:t>
      </w:r>
      <w:r w:rsidR="00EB4F73">
        <w:t>principal adverse impacts</w:t>
      </w:r>
      <w:r w:rsidR="00CA384E">
        <w:t xml:space="preserve"> indicators. </w:t>
      </w:r>
      <w:r w:rsidR="002703D6">
        <w:rPr>
          <w:rFonts w:cs="Arial"/>
        </w:rPr>
        <w:t>I</w:t>
      </w:r>
      <w:r w:rsidR="002703D6" w:rsidRPr="00D559A6">
        <w:rPr>
          <w:rFonts w:cs="Arial"/>
        </w:rPr>
        <w:t>ntroducing indicators that are predetermined to constitute principal adverse</w:t>
      </w:r>
      <w:r w:rsidR="190D31A5" w:rsidRPr="07652243">
        <w:rPr>
          <w:rFonts w:cs="Arial"/>
        </w:rPr>
        <w:t xml:space="preserve"> impact</w:t>
      </w:r>
      <w:r w:rsidR="002703D6" w:rsidRPr="00D559A6">
        <w:rPr>
          <w:rFonts w:cs="Arial"/>
        </w:rPr>
        <w:t xml:space="preserve"> take</w:t>
      </w:r>
      <w:r w:rsidR="002C5840">
        <w:rPr>
          <w:rFonts w:cs="Arial"/>
        </w:rPr>
        <w:t>s</w:t>
      </w:r>
      <w:r w:rsidR="002703D6" w:rsidRPr="00D559A6">
        <w:rPr>
          <w:rFonts w:cs="Arial"/>
        </w:rPr>
        <w:t xml:space="preserve"> a different approach to that of the main standard</w:t>
      </w:r>
      <w:r w:rsidR="008708B5">
        <w:rPr>
          <w:rFonts w:cs="Arial"/>
        </w:rPr>
        <w:t>s</w:t>
      </w:r>
      <w:r w:rsidR="002703D6" w:rsidRPr="00D559A6">
        <w:rPr>
          <w:rFonts w:cs="Arial"/>
        </w:rPr>
        <w:t xml:space="preserve"> on </w:t>
      </w:r>
      <w:r w:rsidR="008708B5">
        <w:rPr>
          <w:rFonts w:cs="Arial"/>
        </w:rPr>
        <w:t>responsible business conduct</w:t>
      </w:r>
      <w:r w:rsidR="002C5840">
        <w:rPr>
          <w:rFonts w:cs="Arial"/>
        </w:rPr>
        <w:t xml:space="preserve"> </w:t>
      </w:r>
      <w:r w:rsidR="00DD3797">
        <w:rPr>
          <w:rFonts w:cs="Arial"/>
        </w:rPr>
        <w:t>which</w:t>
      </w:r>
      <w:r w:rsidR="008708B5">
        <w:rPr>
          <w:rFonts w:cs="Arial"/>
        </w:rPr>
        <w:t xml:space="preserve"> </w:t>
      </w:r>
      <w:r w:rsidR="002703D6" w:rsidRPr="00D559A6">
        <w:rPr>
          <w:rFonts w:cs="Arial"/>
        </w:rPr>
        <w:t>require businesses</w:t>
      </w:r>
      <w:r w:rsidR="00C616D0">
        <w:rPr>
          <w:rFonts w:cs="Arial"/>
        </w:rPr>
        <w:t>,</w:t>
      </w:r>
      <w:r w:rsidR="002703D6" w:rsidRPr="00D559A6">
        <w:rPr>
          <w:rFonts w:cs="Arial"/>
        </w:rPr>
        <w:t xml:space="preserve"> including investors</w:t>
      </w:r>
      <w:r w:rsidR="00C616D0">
        <w:rPr>
          <w:rFonts w:cs="Arial"/>
        </w:rPr>
        <w:t>,</w:t>
      </w:r>
      <w:r w:rsidR="002703D6" w:rsidRPr="00D559A6">
        <w:rPr>
          <w:rFonts w:cs="Arial"/>
        </w:rPr>
        <w:t xml:space="preserve"> to identify through due diligence their potential and actual human rights impacts and take action to prevent </w:t>
      </w:r>
      <w:r w:rsidR="002703D6" w:rsidRPr="00D559A6">
        <w:rPr>
          <w:rFonts w:cs="Arial"/>
        </w:rPr>
        <w:lastRenderedPageBreak/>
        <w:t>and mitigate such impacts. When doing so</w:t>
      </w:r>
      <w:r w:rsidR="00C616D0">
        <w:rPr>
          <w:rFonts w:cs="Arial"/>
        </w:rPr>
        <w:t xml:space="preserve">, </w:t>
      </w:r>
      <w:r w:rsidR="002703D6" w:rsidRPr="00D559A6">
        <w:rPr>
          <w:rFonts w:cs="Arial"/>
        </w:rPr>
        <w:t xml:space="preserve">entities are asked to consider </w:t>
      </w:r>
      <w:r w:rsidR="002703D6" w:rsidRPr="001F3900">
        <w:rPr>
          <w:rFonts w:cs="Arial"/>
          <w:i/>
          <w:iCs/>
        </w:rPr>
        <w:t>all</w:t>
      </w:r>
      <w:r w:rsidR="002703D6" w:rsidRPr="00D559A6">
        <w:rPr>
          <w:rFonts w:cs="Arial"/>
        </w:rPr>
        <w:t xml:space="preserve"> human rights</w:t>
      </w:r>
      <w:r w:rsidR="001F3900">
        <w:rPr>
          <w:rFonts w:cs="Arial"/>
        </w:rPr>
        <w:t xml:space="preserve"> and </w:t>
      </w:r>
      <w:r w:rsidR="002703D6" w:rsidRPr="00D559A6">
        <w:rPr>
          <w:rFonts w:cs="Arial"/>
        </w:rPr>
        <w:t xml:space="preserve">identify those most at risk of adverse impacts related to business activities. By including some human rights and not others in the list of indicators in Table 1, aside from not being fully aligned with the </w:t>
      </w:r>
      <w:r w:rsidR="001F3900">
        <w:rPr>
          <w:rFonts w:cs="Arial"/>
        </w:rPr>
        <w:t>international standards</w:t>
      </w:r>
      <w:r w:rsidR="002703D6" w:rsidRPr="00D559A6">
        <w:rPr>
          <w:rFonts w:cs="Arial"/>
        </w:rPr>
        <w:t>, the regulator risks driving due diligence attention and efforts towards some human rights only at the expense of consideration of all impacts and prioritisation of those most severe. To mitigate these risks</w:t>
      </w:r>
      <w:r w:rsidR="248394D1" w:rsidRPr="01444D38">
        <w:rPr>
          <w:rFonts w:cs="Arial"/>
        </w:rPr>
        <w:t>,</w:t>
      </w:r>
      <w:r w:rsidR="002703D6" w:rsidRPr="00D559A6">
        <w:rPr>
          <w:rFonts w:cs="Arial"/>
        </w:rPr>
        <w:t xml:space="preserve"> it is important that the regulator requires FMPs</w:t>
      </w:r>
      <w:r w:rsidR="00FA4665">
        <w:rPr>
          <w:rFonts w:cs="Arial"/>
        </w:rPr>
        <w:t xml:space="preserve">, as a first step, </w:t>
      </w:r>
      <w:r w:rsidR="002703D6" w:rsidRPr="00D559A6">
        <w:rPr>
          <w:rFonts w:cs="Arial"/>
        </w:rPr>
        <w:t>to describe their own identification of main human rights risks and impacts</w:t>
      </w:r>
      <w:r w:rsidR="00BF3F4C">
        <w:rPr>
          <w:rFonts w:cs="Arial"/>
        </w:rPr>
        <w:t xml:space="preserve"> in recognition of the fact that </w:t>
      </w:r>
      <w:r w:rsidR="00BF3F4C">
        <w:t>the principal adverse impacts of most relevance to their activities may well differ from the ones represented through mandatory indicators</w:t>
      </w:r>
      <w:r w:rsidR="006663BA">
        <w:rPr>
          <w:rFonts w:cs="Arial"/>
        </w:rPr>
        <w:t xml:space="preserve">. This </w:t>
      </w:r>
      <w:r w:rsidR="00687E1D">
        <w:rPr>
          <w:rFonts w:cs="Arial"/>
        </w:rPr>
        <w:t>would require</w:t>
      </w:r>
      <w:r w:rsidR="006663BA">
        <w:rPr>
          <w:rFonts w:cs="Arial"/>
        </w:rPr>
        <w:t xml:space="preserve"> making changes to both RTS</w:t>
      </w:r>
      <w:r w:rsidR="005B2DC1">
        <w:rPr>
          <w:rFonts w:cs="Arial"/>
        </w:rPr>
        <w:t xml:space="preserve">– articles 6, 7, 8 and modifying Table 1 </w:t>
      </w:r>
      <w:r w:rsidR="00687F22">
        <w:rPr>
          <w:rFonts w:cs="Arial"/>
        </w:rPr>
        <w:t>accordingly.</w:t>
      </w:r>
      <w:r w:rsidR="00845214">
        <w:rPr>
          <w:rFonts w:cs="Arial"/>
        </w:rPr>
        <w:t xml:space="preserve"> </w:t>
      </w:r>
      <w:r w:rsidR="00845214">
        <w:t>We appreciate that addressing this concern goes beyond the scope of this consultation, but we deem it a critical issue that needs careful attention</w:t>
      </w:r>
      <w:r w:rsidR="00577A12">
        <w:t>.</w:t>
      </w:r>
      <w:r w:rsidR="00687F22">
        <w:rPr>
          <w:rFonts w:cs="Arial"/>
        </w:rPr>
        <w:t xml:space="preserve"> </w:t>
      </w:r>
      <w:r w:rsidR="004274DC">
        <w:rPr>
          <w:rFonts w:cs="Arial"/>
        </w:rPr>
        <w:t>DIHR´s submission to the consultation in 2020</w:t>
      </w:r>
      <w:r w:rsidR="0000610E">
        <w:rPr>
          <w:rFonts w:cs="Arial"/>
        </w:rPr>
        <w:t>, prepared</w:t>
      </w:r>
      <w:r w:rsidR="00095A66">
        <w:rPr>
          <w:rFonts w:cs="Arial"/>
        </w:rPr>
        <w:t xml:space="preserve"> with </w:t>
      </w:r>
      <w:r w:rsidR="004D2C65">
        <w:rPr>
          <w:rFonts w:cs="Arial"/>
        </w:rPr>
        <w:t xml:space="preserve">3 other </w:t>
      </w:r>
      <w:r w:rsidR="00095A66">
        <w:rPr>
          <w:rFonts w:cs="Arial"/>
        </w:rPr>
        <w:t>organisation</w:t>
      </w:r>
      <w:r w:rsidR="004D2C65">
        <w:rPr>
          <w:rFonts w:cs="Arial"/>
        </w:rPr>
        <w:t>s</w:t>
      </w:r>
      <w:r w:rsidR="00095A66">
        <w:rPr>
          <w:rFonts w:cs="Arial"/>
        </w:rPr>
        <w:t xml:space="preserve"> working on business and human rights,</w:t>
      </w:r>
      <w:r w:rsidR="004274DC">
        <w:rPr>
          <w:rFonts w:cs="Arial"/>
        </w:rPr>
        <w:t xml:space="preserve"> includes </w:t>
      </w:r>
      <w:r w:rsidR="00D807B3">
        <w:rPr>
          <w:rFonts w:cs="Arial"/>
        </w:rPr>
        <w:t xml:space="preserve">edits and additions to the RTS and Annex </w:t>
      </w:r>
      <w:r w:rsidR="004E5A10">
        <w:rPr>
          <w:rFonts w:cs="Arial"/>
        </w:rPr>
        <w:t>that highlight how the regulation can be brought in closer alignment with international standards</w:t>
      </w:r>
      <w:r w:rsidR="007F0525">
        <w:rPr>
          <w:rFonts w:cs="Arial"/>
        </w:rPr>
        <w:t xml:space="preserve"> in respect to this and other </w:t>
      </w:r>
      <w:r w:rsidR="00AC593C">
        <w:rPr>
          <w:rFonts w:cs="Arial"/>
        </w:rPr>
        <w:t>identified gaps</w:t>
      </w:r>
      <w:r w:rsidR="002C5840">
        <w:rPr>
          <w:rFonts w:cs="Arial"/>
        </w:rPr>
        <w:t xml:space="preserve"> (see </w:t>
      </w:r>
      <w:r w:rsidR="004B1B8D">
        <w:rPr>
          <w:rFonts w:cs="Arial"/>
        </w:rPr>
        <w:t xml:space="preserve">the two annexes </w:t>
      </w:r>
      <w:r w:rsidR="002C5840">
        <w:rPr>
          <w:rFonts w:cs="Arial"/>
        </w:rPr>
        <w:t>attached).</w:t>
      </w:r>
    </w:p>
    <w:p w14:paraId="06B2B7F4" w14:textId="24D7F899" w:rsidR="00E821AB" w:rsidRDefault="00A52EF8" w:rsidP="00E821AB">
      <w:r>
        <w:t xml:space="preserve">Second, </w:t>
      </w:r>
      <w:r w:rsidR="00DA332D">
        <w:t>the DIHR</w:t>
      </w:r>
      <w:r w:rsidR="004D328C">
        <w:t xml:space="preserve"> welcome</w:t>
      </w:r>
      <w:r w:rsidR="00DA332D">
        <w:t>s</w:t>
      </w:r>
      <w:r w:rsidR="004D328C">
        <w:t xml:space="preserve"> the </w:t>
      </w:r>
      <w:r w:rsidR="00AB6D06">
        <w:t>ESA´s intention to</w:t>
      </w:r>
      <w:r w:rsidR="004408FA">
        <w:t xml:space="preserve"> seek closer</w:t>
      </w:r>
      <w:r w:rsidR="004D328C">
        <w:t xml:space="preserve"> </w:t>
      </w:r>
      <w:r w:rsidR="00A26BC8">
        <w:t xml:space="preserve">alignment </w:t>
      </w:r>
      <w:r w:rsidR="004408FA">
        <w:t xml:space="preserve">of the PAI indicators with the </w:t>
      </w:r>
      <w:r w:rsidR="00190267">
        <w:t xml:space="preserve">draft </w:t>
      </w:r>
      <w:r w:rsidR="004408FA">
        <w:t xml:space="preserve">ESRS published by EFRAG in </w:t>
      </w:r>
      <w:r w:rsidR="0074621B">
        <w:t>November 2022</w:t>
      </w:r>
      <w:r w:rsidR="00C03327">
        <w:t xml:space="preserve">. </w:t>
      </w:r>
      <w:r w:rsidR="00B10830">
        <w:t>We take note</w:t>
      </w:r>
      <w:r w:rsidR="00C9442C">
        <w:t xml:space="preserve"> of the ongoing consultation </w:t>
      </w:r>
      <w:r w:rsidR="008C4568">
        <w:t>by</w:t>
      </w:r>
      <w:r w:rsidR="00C9442C">
        <w:t xml:space="preserve"> the </w:t>
      </w:r>
      <w:r w:rsidR="008C4568">
        <w:t xml:space="preserve">European </w:t>
      </w:r>
      <w:r w:rsidR="00C9442C">
        <w:t>Commission</w:t>
      </w:r>
      <w:r w:rsidR="008C4568">
        <w:t xml:space="preserve"> on</w:t>
      </w:r>
      <w:r w:rsidR="00A921CC">
        <w:t xml:space="preserve"> the</w:t>
      </w:r>
      <w:r w:rsidR="00C9442C">
        <w:t xml:space="preserve"> draft </w:t>
      </w:r>
      <w:r w:rsidR="00A921CC">
        <w:t>D</w:t>
      </w:r>
      <w:r w:rsidR="00C9442C">
        <w:t xml:space="preserve">elegated </w:t>
      </w:r>
      <w:r w:rsidR="00A921CC">
        <w:t>A</w:t>
      </w:r>
      <w:r w:rsidR="00C9442C">
        <w:t xml:space="preserve">ct on the ESRS and stress the importance of </w:t>
      </w:r>
      <w:r w:rsidR="00691956">
        <w:t xml:space="preserve">ensuring that </w:t>
      </w:r>
      <w:r w:rsidR="00F65981">
        <w:t>the final ESRS require mandatory disclosure o</w:t>
      </w:r>
      <w:r w:rsidR="00A921CC">
        <w:t>f</w:t>
      </w:r>
      <w:r w:rsidR="00F65981">
        <w:t xml:space="preserve"> </w:t>
      </w:r>
      <w:r w:rsidR="00675E03">
        <w:t>the data points that FMPs are expected to report on.</w:t>
      </w:r>
      <w:r w:rsidR="00A61ABA">
        <w:t xml:space="preserve"> </w:t>
      </w:r>
      <w:r w:rsidR="00C9442C">
        <w:t>Alignment with CSRD is</w:t>
      </w:r>
      <w:r w:rsidR="00FC0753">
        <w:t xml:space="preserve"> </w:t>
      </w:r>
      <w:r w:rsidR="00767F03">
        <w:t xml:space="preserve">an important step towards </w:t>
      </w:r>
      <w:r w:rsidR="009B745D">
        <w:t xml:space="preserve">EU </w:t>
      </w:r>
      <w:r w:rsidR="00767F03">
        <w:t>policy coherence</w:t>
      </w:r>
      <w:r w:rsidR="00050BFB">
        <w:t>; it also</w:t>
      </w:r>
      <w:r w:rsidR="001D70A8">
        <w:t xml:space="preserve"> has</w:t>
      </w:r>
      <w:r w:rsidR="005241E5">
        <w:t xml:space="preserve"> the potential </w:t>
      </w:r>
      <w:r w:rsidR="00D07876">
        <w:t>to</w:t>
      </w:r>
      <w:r w:rsidR="005241E5">
        <w:t xml:space="preserve"> </w:t>
      </w:r>
      <w:r w:rsidR="005A2C81">
        <w:t xml:space="preserve">simplify </w:t>
      </w:r>
      <w:r w:rsidR="000660A0">
        <w:t>data collection</w:t>
      </w:r>
      <w:r w:rsidR="00024F37">
        <w:t xml:space="preserve"> processes</w:t>
      </w:r>
      <w:r w:rsidR="002A3B0A">
        <w:t xml:space="preserve"> </w:t>
      </w:r>
      <w:r w:rsidR="00050BFB">
        <w:t>and</w:t>
      </w:r>
      <w:r w:rsidR="002A3B0A">
        <w:t xml:space="preserve"> enabl</w:t>
      </w:r>
      <w:r w:rsidR="009B745D">
        <w:t>e</w:t>
      </w:r>
      <w:r w:rsidR="002A3B0A">
        <w:t xml:space="preserve"> compliance with SFDR</w:t>
      </w:r>
      <w:r w:rsidR="000660A0">
        <w:t xml:space="preserve">. However, </w:t>
      </w:r>
      <w:r w:rsidR="005241E5">
        <w:t xml:space="preserve">we </w:t>
      </w:r>
      <w:r w:rsidR="003012DB">
        <w:t xml:space="preserve">believe </w:t>
      </w:r>
      <w:r w:rsidR="00D6311B">
        <w:t xml:space="preserve">there is a need for a more sophisticated </w:t>
      </w:r>
      <w:r w:rsidR="004C1DAE">
        <w:t xml:space="preserve">and nuanced approach to </w:t>
      </w:r>
      <w:r w:rsidR="00095CC5">
        <w:t xml:space="preserve">connecting the two </w:t>
      </w:r>
      <w:r w:rsidR="00907D59">
        <w:t>disclosure</w:t>
      </w:r>
      <w:r w:rsidR="00095CC5">
        <w:t xml:space="preserve"> </w:t>
      </w:r>
      <w:r w:rsidR="00AC228B">
        <w:t xml:space="preserve">frameworks. As </w:t>
      </w:r>
      <w:r w:rsidR="00BE3D00">
        <w:t xml:space="preserve">explained </w:t>
      </w:r>
      <w:r w:rsidR="00AC228B">
        <w:t xml:space="preserve">in answer to </w:t>
      </w:r>
      <w:r w:rsidR="00AC228B" w:rsidRPr="00AC228B">
        <w:rPr>
          <w:highlight w:val="yellow"/>
        </w:rPr>
        <w:t xml:space="preserve">question </w:t>
      </w:r>
      <w:r w:rsidR="00190267">
        <w:t>3</w:t>
      </w:r>
      <w:r w:rsidR="00AC228B">
        <w:t xml:space="preserve"> below</w:t>
      </w:r>
      <w:r w:rsidR="00424D91">
        <w:t xml:space="preserve">, </w:t>
      </w:r>
      <w:r w:rsidR="00D551A0">
        <w:t xml:space="preserve">some </w:t>
      </w:r>
      <w:r w:rsidR="00424D91">
        <w:t xml:space="preserve">ESRS metrics have been imported in the </w:t>
      </w:r>
      <w:r w:rsidR="00D21DE8">
        <w:t>RTS in a decontextualised manner</w:t>
      </w:r>
      <w:r w:rsidR="00D551A0">
        <w:t xml:space="preserve">, </w:t>
      </w:r>
      <w:r w:rsidR="000E721F">
        <w:t>making them</w:t>
      </w:r>
      <w:r w:rsidR="000E502B">
        <w:t xml:space="preserve"> </w:t>
      </w:r>
      <w:r w:rsidR="000E721F">
        <w:t xml:space="preserve">unreliable </w:t>
      </w:r>
      <w:r w:rsidR="00D551A0">
        <w:t xml:space="preserve">proxies </w:t>
      </w:r>
      <w:r w:rsidR="00300B76">
        <w:t>for</w:t>
      </w:r>
      <w:r w:rsidR="000E721F">
        <w:t xml:space="preserve"> </w:t>
      </w:r>
      <w:r w:rsidR="00D551A0">
        <w:t xml:space="preserve">FMP´s adverse impacts on sustainability factors. </w:t>
      </w:r>
      <w:r w:rsidR="00300B76">
        <w:t xml:space="preserve">Moreover, </w:t>
      </w:r>
      <w:r w:rsidR="008C26B0">
        <w:t>the import</w:t>
      </w:r>
      <w:r w:rsidR="00E20EF7">
        <w:t xml:space="preserve"> of</w:t>
      </w:r>
      <w:r w:rsidR="008C26B0">
        <w:t xml:space="preserve"> some ESRS metrics as ‘mandatory’ and</w:t>
      </w:r>
      <w:r w:rsidR="0039349D">
        <w:t xml:space="preserve"> some as</w:t>
      </w:r>
      <w:r w:rsidR="008C26B0">
        <w:t xml:space="preserve"> ‘opt in’ indicators, respectively, hasn´t been </w:t>
      </w:r>
      <w:r w:rsidR="00A73378">
        <w:t>substantiated</w:t>
      </w:r>
      <w:r w:rsidR="00D52ACC">
        <w:t xml:space="preserve"> by the ESA</w:t>
      </w:r>
      <w:r w:rsidR="0098711E">
        <w:t xml:space="preserve">, </w:t>
      </w:r>
      <w:r w:rsidR="00C034A8">
        <w:t xml:space="preserve">and </w:t>
      </w:r>
      <w:r w:rsidR="00D74FF4">
        <w:t>appears</w:t>
      </w:r>
      <w:r w:rsidR="000052F4">
        <w:t xml:space="preserve"> to be</w:t>
      </w:r>
      <w:r w:rsidR="00A84A3A">
        <w:t xml:space="preserve"> </w:t>
      </w:r>
      <w:r w:rsidR="00424FD7">
        <w:t>the result of</w:t>
      </w:r>
      <w:r w:rsidR="00E20EF7">
        <w:t xml:space="preserve"> an arbitrary</w:t>
      </w:r>
      <w:r w:rsidR="00766A4F">
        <w:t xml:space="preserve"> – as opposed to carefully reasoned</w:t>
      </w:r>
      <w:r w:rsidR="00056EEB">
        <w:t xml:space="preserve"> </w:t>
      </w:r>
      <w:r w:rsidR="00766A4F">
        <w:t>-</w:t>
      </w:r>
      <w:r w:rsidR="00E20EF7">
        <w:t xml:space="preserve"> </w:t>
      </w:r>
      <w:r w:rsidR="00766A4F">
        <w:t>process</w:t>
      </w:r>
      <w:r w:rsidR="00E20EF7">
        <w:t>.</w:t>
      </w:r>
      <w:r w:rsidR="00225E9D">
        <w:t xml:space="preserve"> </w:t>
      </w:r>
      <w:r w:rsidR="00996278">
        <w:t xml:space="preserve">The DIHR </w:t>
      </w:r>
      <w:r w:rsidR="0036242B">
        <w:t xml:space="preserve">took note of </w:t>
      </w:r>
      <w:r w:rsidR="00996278">
        <w:t xml:space="preserve">para 19 </w:t>
      </w:r>
      <w:r w:rsidR="0036242B">
        <w:t>in</w:t>
      </w:r>
      <w:r w:rsidR="00996278">
        <w:t xml:space="preserve"> the </w:t>
      </w:r>
      <w:r w:rsidR="0036242B">
        <w:t>Joint Consultation Paper</w:t>
      </w:r>
      <w:r w:rsidR="00CF3F71">
        <w:t xml:space="preserve"> whereby the ESAs have </w:t>
      </w:r>
      <w:r w:rsidR="008E23E1">
        <w:t>relied on</w:t>
      </w:r>
      <w:r w:rsidR="00B608D7">
        <w:t xml:space="preserve"> the ESRS</w:t>
      </w:r>
      <w:r w:rsidR="008E23E1">
        <w:t xml:space="preserve"> not only</w:t>
      </w:r>
      <w:r w:rsidR="00B608D7">
        <w:t xml:space="preserve"> </w:t>
      </w:r>
      <w:r w:rsidR="008E23E1">
        <w:t>to develop</w:t>
      </w:r>
      <w:r w:rsidR="00B608D7">
        <w:t xml:space="preserve"> some of the new indicators, but also </w:t>
      </w:r>
      <w:r w:rsidR="00CF3F71">
        <w:t xml:space="preserve">to align the wording of </w:t>
      </w:r>
      <w:proofErr w:type="gramStart"/>
      <w:r w:rsidR="00CF3F71">
        <w:t>a number of</w:t>
      </w:r>
      <w:proofErr w:type="gramEnd"/>
      <w:r w:rsidR="00CF3F71">
        <w:t xml:space="preserve"> </w:t>
      </w:r>
      <w:r w:rsidR="00F7491F">
        <w:t xml:space="preserve">old </w:t>
      </w:r>
      <w:r w:rsidR="00CF3F71">
        <w:t>PAI</w:t>
      </w:r>
      <w:r w:rsidR="00055B56">
        <w:t xml:space="preserve"> with the ESRS</w:t>
      </w:r>
      <w:r w:rsidR="00F7491F">
        <w:t xml:space="preserve">. However, </w:t>
      </w:r>
      <w:r w:rsidR="00951160">
        <w:t xml:space="preserve">it is unclear why the ESAs haven´t </w:t>
      </w:r>
      <w:r w:rsidR="00935460">
        <w:t xml:space="preserve">reviewed </w:t>
      </w:r>
      <w:r w:rsidR="00935460" w:rsidRPr="006A3210">
        <w:rPr>
          <w:i/>
          <w:iCs/>
        </w:rPr>
        <w:t xml:space="preserve">all </w:t>
      </w:r>
      <w:r w:rsidR="00935460">
        <w:t>PAI indicators in light of the ESRS framework (for example</w:t>
      </w:r>
      <w:r w:rsidR="00D602FD">
        <w:t>, there is no correspond</w:t>
      </w:r>
      <w:r w:rsidR="001D11BA">
        <w:t xml:space="preserve">ing ESRS </w:t>
      </w:r>
      <w:r w:rsidR="00D602FD">
        <w:t xml:space="preserve">disclosure requirement </w:t>
      </w:r>
      <w:r w:rsidR="001D11BA">
        <w:t>regarding</w:t>
      </w:r>
      <w:r w:rsidR="00D602FD">
        <w:t xml:space="preserve"> </w:t>
      </w:r>
      <w:r w:rsidR="001D11BA">
        <w:t>´violations of the UNGPs and OECD Guidelines (</w:t>
      </w:r>
      <w:proofErr w:type="gramStart"/>
      <w:r w:rsidR="001D11BA">
        <w:t>…)´</w:t>
      </w:r>
      <w:proofErr w:type="gramEnd"/>
      <w:r w:rsidR="001D11BA">
        <w:t xml:space="preserve"> as per </w:t>
      </w:r>
      <w:r w:rsidR="00371FCD">
        <w:t xml:space="preserve">indicator 10 </w:t>
      </w:r>
      <w:r w:rsidR="00E821AB">
        <w:t>in Table 1</w:t>
      </w:r>
      <w:r w:rsidR="00371FCD">
        <w:t>)</w:t>
      </w:r>
      <w:r w:rsidR="00E821AB">
        <w:t>. The draft ESRS published by EFRAG represent a consensus amongst a diverse group of stakeholders</w:t>
      </w:r>
      <w:r w:rsidR="00B43868">
        <w:t xml:space="preserve"> and </w:t>
      </w:r>
      <w:r w:rsidR="00B27F30">
        <w:t>are the foundation for company mandatory disclosures that investors can rely on to fulfil obligations under SFDR.</w:t>
      </w:r>
      <w:r w:rsidR="00C56EC8">
        <w:t xml:space="preserve"> </w:t>
      </w:r>
      <w:r w:rsidR="00E821AB">
        <w:t xml:space="preserve">Using </w:t>
      </w:r>
      <w:r w:rsidR="000A5CDF">
        <w:t>different or slightly different</w:t>
      </w:r>
      <w:r w:rsidR="00E821AB">
        <w:t xml:space="preserve"> indicators in SFDR risks fragmenting reporting frameworks, with the perverse effect of undermining the comparability of investor data and eventually reducing the effectiveness of this regulation to improve transparency for end investors.</w:t>
      </w:r>
      <w:r w:rsidR="007F2D38">
        <w:t xml:space="preserve"> </w:t>
      </w:r>
      <w:r w:rsidR="005B170A">
        <w:t xml:space="preserve">The DIHR recommends that the regulator revisits all social indicators </w:t>
      </w:r>
      <w:proofErr w:type="gramStart"/>
      <w:r w:rsidR="005B170A">
        <w:t>in light of</w:t>
      </w:r>
      <w:proofErr w:type="gramEnd"/>
      <w:r w:rsidR="005B170A">
        <w:t xml:space="preserve"> the ESRS</w:t>
      </w:r>
      <w:r w:rsidR="008A23A6">
        <w:t xml:space="preserve"> framework with the objective of achieving full </w:t>
      </w:r>
      <w:r w:rsidR="00053B26">
        <w:t>compat</w:t>
      </w:r>
      <w:r w:rsidR="00737325">
        <w:t>i</w:t>
      </w:r>
      <w:r w:rsidR="00053B26">
        <w:t>bility</w:t>
      </w:r>
      <w:r w:rsidR="008A23A6">
        <w:t xml:space="preserve"> between the SFDR and CSRD regulations.</w:t>
      </w:r>
      <w:r w:rsidR="00053B26">
        <w:t xml:space="preserve"> </w:t>
      </w:r>
      <w:r w:rsidR="005924D0">
        <w:t xml:space="preserve">In this process, </w:t>
      </w:r>
      <w:r w:rsidR="00C85CFD">
        <w:t xml:space="preserve">the regulator should develop a clear reasoning for </w:t>
      </w:r>
      <w:r w:rsidR="00F04A29">
        <w:t>(</w:t>
      </w:r>
      <w:proofErr w:type="spellStart"/>
      <w:r w:rsidR="00F04A29">
        <w:t>i</w:t>
      </w:r>
      <w:proofErr w:type="spellEnd"/>
      <w:r w:rsidR="00F04A29">
        <w:t xml:space="preserve">) </w:t>
      </w:r>
      <w:r w:rsidR="004909E7">
        <w:t>which</w:t>
      </w:r>
      <w:r w:rsidR="00F04A29">
        <w:t xml:space="preserve"> metrics </w:t>
      </w:r>
      <w:r w:rsidR="004909E7">
        <w:t>have been</w:t>
      </w:r>
      <w:r w:rsidR="00F04A29">
        <w:t xml:space="preserve"> imported</w:t>
      </w:r>
      <w:r w:rsidR="004909E7">
        <w:t xml:space="preserve"> and which haven´t</w:t>
      </w:r>
      <w:r w:rsidR="00F04A29">
        <w:t xml:space="preserve">, (ii) </w:t>
      </w:r>
      <w:r w:rsidR="00B8128B">
        <w:t>why</w:t>
      </w:r>
      <w:r w:rsidR="00F04A29">
        <w:t xml:space="preserve"> th</w:t>
      </w:r>
      <w:r w:rsidR="004909E7">
        <w:t>e</w:t>
      </w:r>
      <w:r w:rsidR="00F04A29">
        <w:t xml:space="preserve"> metrics</w:t>
      </w:r>
      <w:r w:rsidR="004909E7">
        <w:t xml:space="preserve"> selected</w:t>
      </w:r>
      <w:r w:rsidR="00F04A29">
        <w:t xml:space="preserve"> are meaningful proxies for FMP´s adverse impact</w:t>
      </w:r>
      <w:r w:rsidR="00B8128B">
        <w:t xml:space="preserve">s, (iii) </w:t>
      </w:r>
      <w:r w:rsidR="008D64E0">
        <w:t>the</w:t>
      </w:r>
      <w:r w:rsidR="00207F6C">
        <w:t>ir</w:t>
      </w:r>
      <w:r w:rsidR="008D64E0">
        <w:t xml:space="preserve"> inclusion in the mandatory and opt-in baskets, respectively. </w:t>
      </w:r>
    </w:p>
    <w:p w14:paraId="223AD54E" w14:textId="5EB40C5B" w:rsidR="00A52EF8" w:rsidRDefault="00845214" w:rsidP="000A0D6F">
      <w:r>
        <w:lastRenderedPageBreak/>
        <w:t>Given these two structural concerns</w:t>
      </w:r>
      <w:r w:rsidR="00342D6B">
        <w:t>, t</w:t>
      </w:r>
      <w:r w:rsidR="00B068B6">
        <w:t xml:space="preserve">he DIHR welcomes the comprehensive assessment of the SFDR </w:t>
      </w:r>
      <w:r w:rsidR="008109A0">
        <w:t xml:space="preserve">starting in autumn 2023 </w:t>
      </w:r>
      <w:r w:rsidR="00B068B6">
        <w:t xml:space="preserve">announced by the Commission </w:t>
      </w:r>
      <w:r w:rsidR="008109A0">
        <w:t>in its sustainable finance package</w:t>
      </w:r>
      <w:r w:rsidR="0037449B">
        <w:t xml:space="preserve">. We recommend that </w:t>
      </w:r>
      <w:r w:rsidR="00E54792">
        <w:t>the</w:t>
      </w:r>
      <w:r w:rsidR="008D64E0">
        <w:t xml:space="preserve"> DIHR´s</w:t>
      </w:r>
      <w:r w:rsidR="00E54792">
        <w:t xml:space="preserve"> input to this consultation should inform that process</w:t>
      </w:r>
      <w:r w:rsidR="0037449B">
        <w:t>.</w:t>
      </w:r>
      <w:r w:rsidR="00BC7BCD">
        <w:t xml:space="preserve"> </w:t>
      </w:r>
      <w:r w:rsidR="00691CC3">
        <w:t xml:space="preserve">It would be advisable that any further changes to RTS as proposed </w:t>
      </w:r>
      <w:r w:rsidR="009646F7">
        <w:t>by</w:t>
      </w:r>
      <w:r w:rsidR="00645C13">
        <w:t xml:space="preserve"> this consultation </w:t>
      </w:r>
      <w:r w:rsidR="009646F7">
        <w:t xml:space="preserve">paper </w:t>
      </w:r>
      <w:r w:rsidR="00645C13">
        <w:t>should</w:t>
      </w:r>
      <w:r w:rsidR="00C56CB7">
        <w:t xml:space="preserve"> </w:t>
      </w:r>
      <w:r w:rsidR="0050417C">
        <w:t xml:space="preserve">be put on hold </w:t>
      </w:r>
      <w:r w:rsidR="00645C13">
        <w:t>until that</w:t>
      </w:r>
      <w:r w:rsidR="00C85542">
        <w:t xml:space="preserve"> </w:t>
      </w:r>
      <w:r w:rsidR="00526EA6">
        <w:t>assessment has been completed.</w:t>
      </w:r>
      <w:r w:rsidR="004C49B7">
        <w:t xml:space="preserve"> </w:t>
      </w:r>
    </w:p>
    <w:p w14:paraId="5E8DED44" w14:textId="77777777" w:rsidR="00A762EE" w:rsidRDefault="008B2D4C" w:rsidP="008B2D4C">
      <w:pPr>
        <w:rPr>
          <w:b/>
          <w:bCs/>
        </w:rPr>
      </w:pPr>
      <w:r>
        <w:rPr>
          <w:b/>
          <w:bCs/>
        </w:rPr>
        <w:t>Answer to question 1</w:t>
      </w:r>
    </w:p>
    <w:p w14:paraId="7D173583" w14:textId="4D6A3422" w:rsidR="00B13D92" w:rsidRPr="00A762EE" w:rsidRDefault="00886CB9" w:rsidP="008B2D4C">
      <w:pPr>
        <w:rPr>
          <w:b/>
          <w:bCs/>
        </w:rPr>
      </w:pPr>
      <w:r>
        <w:t xml:space="preserve">The </w:t>
      </w:r>
      <w:r w:rsidR="00354999">
        <w:t>DIHR welcomes the decision to include more mandatory indicators on human rights</w:t>
      </w:r>
      <w:r w:rsidR="00DD0682">
        <w:t>/labour rights.</w:t>
      </w:r>
      <w:r w:rsidR="00354999">
        <w:t xml:space="preserve"> However, </w:t>
      </w:r>
      <w:r w:rsidR="001C27DA">
        <w:t xml:space="preserve">the 2 indicators on </w:t>
      </w:r>
      <w:r w:rsidR="00C217AB">
        <w:t xml:space="preserve">trade unions and adequate wages can be further strengthened to yield more meaningful information about the exposure of FMPs to adverse human rights impacts. A policy commitment </w:t>
      </w:r>
      <w:r w:rsidR="005823FC">
        <w:t xml:space="preserve">not to interfere with </w:t>
      </w:r>
      <w:r w:rsidR="004F6528">
        <w:t xml:space="preserve">trade union formation </w:t>
      </w:r>
      <w:r w:rsidR="00552A08">
        <w:t>is</w:t>
      </w:r>
      <w:r w:rsidR="00250A7F">
        <w:t xml:space="preserve">, of course, important but insufficient to assess whether the investee companies </w:t>
      </w:r>
      <w:proofErr w:type="gramStart"/>
      <w:r w:rsidR="00250A7F">
        <w:t xml:space="preserve">actually </w:t>
      </w:r>
      <w:r w:rsidR="003A1906">
        <w:t>respect</w:t>
      </w:r>
      <w:proofErr w:type="gramEnd"/>
      <w:r w:rsidR="003A1906">
        <w:t xml:space="preserve"> </w:t>
      </w:r>
      <w:r w:rsidR="00250A7F">
        <w:t xml:space="preserve">trade union </w:t>
      </w:r>
      <w:r w:rsidR="007B1713">
        <w:t>rights.</w:t>
      </w:r>
      <w:r w:rsidR="00552A08">
        <w:t xml:space="preserve"> </w:t>
      </w:r>
      <w:r w:rsidR="00C217AB">
        <w:t xml:space="preserve"> </w:t>
      </w:r>
      <w:r w:rsidR="00227182">
        <w:t>We recommend replacing this with</w:t>
      </w:r>
      <w:r w:rsidR="00E3689E">
        <w:t xml:space="preserve"> an</w:t>
      </w:r>
      <w:r w:rsidR="00227182">
        <w:t xml:space="preserve"> ESRS </w:t>
      </w:r>
      <w:r w:rsidR="00E3689E">
        <w:t xml:space="preserve">metric that focuses on outcomes as opposed to policies such </w:t>
      </w:r>
      <w:proofErr w:type="gramStart"/>
      <w:r w:rsidR="00E3689E">
        <w:t xml:space="preserve">as </w:t>
      </w:r>
      <w:r w:rsidR="00227182">
        <w:t xml:space="preserve"> </w:t>
      </w:r>
      <w:r w:rsidR="00820D67">
        <w:t>“</w:t>
      </w:r>
      <w:proofErr w:type="gramEnd"/>
      <w:r w:rsidR="00820D67">
        <w:t xml:space="preserve">percentage of total </w:t>
      </w:r>
      <w:r w:rsidR="00E71770">
        <w:t>employees</w:t>
      </w:r>
      <w:r w:rsidR="00B111E7">
        <w:t xml:space="preserve"> </w:t>
      </w:r>
      <w:r w:rsidR="00820D67">
        <w:t xml:space="preserve">covered by collective bargaining agreements” (see </w:t>
      </w:r>
      <w:r w:rsidR="003A1906">
        <w:t xml:space="preserve">ESRS </w:t>
      </w:r>
      <w:r w:rsidR="00B111E7">
        <w:t>S1-8, para 60</w:t>
      </w:r>
      <w:r w:rsidR="00D34F04">
        <w:t>)</w:t>
      </w:r>
      <w:r w:rsidR="001C114D">
        <w:t xml:space="preserve"> and “estimate of the </w:t>
      </w:r>
      <w:r w:rsidR="00A856CC">
        <w:t xml:space="preserve">coverage rate of </w:t>
      </w:r>
      <w:r w:rsidR="00185D41">
        <w:t>non-employee workers by collective bargaining agreements” (see ESRS S1-8, para 60(c)</w:t>
      </w:r>
      <w:r w:rsidR="000F1374">
        <w:t>. )</w:t>
      </w:r>
      <w:r w:rsidR="00185D41">
        <w:t xml:space="preserve"> </w:t>
      </w:r>
      <w:r w:rsidR="003A1906">
        <w:t>The indicator on adequate wages should be modified to align with ESRS which require that the data on wages be reported for all workers and not just those in formal employment</w:t>
      </w:r>
      <w:r w:rsidR="00CC0DE9">
        <w:t xml:space="preserve"> </w:t>
      </w:r>
      <w:r w:rsidR="006A0662">
        <w:t>(</w:t>
      </w:r>
      <w:r w:rsidR="00CC0DE9">
        <w:t>see ESRS S1</w:t>
      </w:r>
      <w:r w:rsidR="006A0662">
        <w:t>- 10, para 66</w:t>
      </w:r>
      <w:r w:rsidR="0062544A">
        <w:t>)</w:t>
      </w:r>
      <w:r w:rsidR="003A1906">
        <w:t>.</w:t>
      </w:r>
      <w:r w:rsidR="0062544A">
        <w:t xml:space="preserve"> </w:t>
      </w:r>
      <w:r w:rsidR="000B0673">
        <w:t xml:space="preserve">It is usually non-employee workers </w:t>
      </w:r>
      <w:r w:rsidR="0059555C">
        <w:t xml:space="preserve">who </w:t>
      </w:r>
      <w:r w:rsidR="00592011">
        <w:t>are most vulnerable</w:t>
      </w:r>
      <w:r w:rsidR="00A91A61">
        <w:t xml:space="preserve"> to </w:t>
      </w:r>
      <w:r w:rsidR="009B5D19">
        <w:t xml:space="preserve">adverse </w:t>
      </w:r>
      <w:r w:rsidR="00592011">
        <w:t>human rights impacts</w:t>
      </w:r>
      <w:r w:rsidR="00DC7A0A">
        <w:t xml:space="preserve"> </w:t>
      </w:r>
      <w:r w:rsidR="00D75DF3">
        <w:t xml:space="preserve">and have </w:t>
      </w:r>
      <w:r w:rsidR="009B5D19">
        <w:t xml:space="preserve">no or </w:t>
      </w:r>
      <w:r w:rsidR="00D75DF3">
        <w:t xml:space="preserve">few channels to </w:t>
      </w:r>
      <w:r w:rsidR="009B5D19">
        <w:t>seek remediation</w:t>
      </w:r>
      <w:r w:rsidR="00592011">
        <w:t>.</w:t>
      </w:r>
    </w:p>
    <w:permEnd w:id="1348034591"/>
    <w:p w14:paraId="48EE2711" w14:textId="4EA0AC05" w:rsidR="009C41BB" w:rsidRDefault="009C41BB">
      <w:pPr>
        <w:pStyle w:val="ListParagraph"/>
        <w:numPr>
          <w:ilvl w:val="0"/>
          <w:numId w:val="3"/>
        </w:numPr>
      </w:pPr>
      <w:r>
        <w:t>&lt;ESMA_QUESTION_SFDR_1&gt;</w:t>
      </w:r>
    </w:p>
    <w:p w14:paraId="735D870C" w14:textId="77777777" w:rsidR="009C41BB" w:rsidRDefault="009C41BB" w:rsidP="009C41BB"/>
    <w:p w14:paraId="6612C953" w14:textId="77777777" w:rsidR="009C41BB" w:rsidRPr="00DD7261" w:rsidRDefault="009C41BB">
      <w:pPr>
        <w:pStyle w:val="Questionstyle"/>
        <w:numPr>
          <w:ilvl w:val="0"/>
          <w:numId w:val="2"/>
        </w:numPr>
      </w:pPr>
      <w:bookmarkStart w:id="1" w:name="_Hlk131609829"/>
      <w:r w:rsidRPr="00DD7261">
        <w:t>: Would you recommend any other mandatory social indicator or adjust any of the ones proposed?</w:t>
      </w:r>
    </w:p>
    <w:bookmarkEnd w:id="1"/>
    <w:p w14:paraId="79C259A1" w14:textId="77777777" w:rsidR="009C41BB" w:rsidRDefault="009C41BB" w:rsidP="009C41BB">
      <w:r>
        <w:t>&lt;ESMA_QUESTION_SFDR_2&gt;</w:t>
      </w:r>
    </w:p>
    <w:p w14:paraId="4D2BD02A" w14:textId="096D2719" w:rsidR="0005630E" w:rsidRDefault="00DD3064" w:rsidP="007E2EB1">
      <w:permStart w:id="1140268191" w:edGrp="everyone"/>
      <w:r>
        <w:t>In its 2020 submission, the DIHR recommended a significant expansion of the list of mandatory indicators</w:t>
      </w:r>
      <w:r w:rsidR="00CB3D6B">
        <w:t xml:space="preserve"> to align with </w:t>
      </w:r>
      <w:r w:rsidR="004D4D15">
        <w:t>international standards on responsible business conduct clarifying that business including investors can adversely impact all human rights</w:t>
      </w:r>
      <w:r w:rsidR="0068179E">
        <w:t xml:space="preserve"> (see </w:t>
      </w:r>
      <w:r w:rsidR="004B1B8D">
        <w:t xml:space="preserve">Annex </w:t>
      </w:r>
      <w:r w:rsidR="00864F4D">
        <w:t>B attached</w:t>
      </w:r>
      <w:r w:rsidR="00846E6E">
        <w:t xml:space="preserve"> for </w:t>
      </w:r>
      <w:r w:rsidR="00830DCD">
        <w:t xml:space="preserve">the list of </w:t>
      </w:r>
      <w:r w:rsidR="00ED0F20">
        <w:t xml:space="preserve">revised </w:t>
      </w:r>
      <w:r w:rsidR="00830DCD">
        <w:t>indicators suggested then</w:t>
      </w:r>
      <w:r w:rsidR="0068179E">
        <w:t xml:space="preserve">). </w:t>
      </w:r>
      <w:r w:rsidR="00E36E91">
        <w:t>Specifically, we</w:t>
      </w:r>
      <w:r w:rsidR="00EA01A2">
        <w:t xml:space="preserve"> recommended </w:t>
      </w:r>
      <w:r w:rsidR="00830DCD">
        <w:t xml:space="preserve">the addition of indicators that correspond to </w:t>
      </w:r>
      <w:r w:rsidR="00926C95">
        <w:t>(</w:t>
      </w:r>
      <w:proofErr w:type="spellStart"/>
      <w:r w:rsidR="00926C95">
        <w:t>i</w:t>
      </w:r>
      <w:proofErr w:type="spellEnd"/>
      <w:r w:rsidR="00926C95">
        <w:t xml:space="preserve">) </w:t>
      </w:r>
      <w:r w:rsidR="00830DCD">
        <w:t>the 4 ILO core standa</w:t>
      </w:r>
      <w:r w:rsidR="00AC2EE0">
        <w:t>rds (</w:t>
      </w:r>
      <w:proofErr w:type="gramStart"/>
      <w:r w:rsidR="00AC2EE0">
        <w:t>i.e.</w:t>
      </w:r>
      <w:proofErr w:type="gramEnd"/>
      <w:r w:rsidR="00AC2EE0">
        <w:t xml:space="preserve"> </w:t>
      </w:r>
      <w:r w:rsidR="00AC2EE0" w:rsidRPr="00AC2EE0">
        <w:rPr>
          <w:rFonts w:ascii="Calibri" w:hAnsi="Calibri" w:cs="Calibri"/>
        </w:rPr>
        <w:t>freedom of association and collective bargaining, forced labour, child labour and discrimination</w:t>
      </w:r>
      <w:r w:rsidR="00AC2EE0">
        <w:rPr>
          <w:rFonts w:ascii="Calibri" w:hAnsi="Calibri" w:cs="Calibri"/>
        </w:rPr>
        <w:t>)</w:t>
      </w:r>
      <w:r w:rsidR="00926C95">
        <w:rPr>
          <w:rFonts w:ascii="Calibri" w:hAnsi="Calibri" w:cs="Calibri"/>
        </w:rPr>
        <w:t xml:space="preserve">, (ii) wages and health and safety issues, and (iii) </w:t>
      </w:r>
      <w:r w:rsidR="00823178">
        <w:rPr>
          <w:rFonts w:ascii="Calibri" w:hAnsi="Calibri" w:cs="Calibri"/>
        </w:rPr>
        <w:t>in</w:t>
      </w:r>
      <w:r w:rsidR="0005630E">
        <w:rPr>
          <w:rFonts w:ascii="Calibri" w:hAnsi="Calibri" w:cs="Calibri"/>
        </w:rPr>
        <w:t>d</w:t>
      </w:r>
      <w:r w:rsidR="00823178">
        <w:rPr>
          <w:rFonts w:ascii="Calibri" w:hAnsi="Calibri" w:cs="Calibri"/>
        </w:rPr>
        <w:t>icators covering the expectation for companies to develop human rights due diligence processes</w:t>
      </w:r>
      <w:r w:rsidR="005C0F1D">
        <w:rPr>
          <w:rFonts w:ascii="Calibri" w:hAnsi="Calibri" w:cs="Calibri"/>
        </w:rPr>
        <w:t xml:space="preserve"> </w:t>
      </w:r>
      <w:r w:rsidR="00823178">
        <w:rPr>
          <w:rFonts w:ascii="Calibri" w:hAnsi="Calibri" w:cs="Calibri"/>
        </w:rPr>
        <w:t>.</w:t>
      </w:r>
      <w:r w:rsidR="00AC2EE0" w:rsidRPr="00AC2EE0">
        <w:t xml:space="preserve"> </w:t>
      </w:r>
      <w:r w:rsidR="00ED0F20">
        <w:t>W</w:t>
      </w:r>
      <w:r w:rsidR="00F074C1">
        <w:t xml:space="preserve">ith the publication of </w:t>
      </w:r>
      <w:r w:rsidR="00422768">
        <w:t xml:space="preserve">the draft </w:t>
      </w:r>
      <w:r w:rsidR="00F074C1">
        <w:t xml:space="preserve">ESRS by EFRAG, we believe </w:t>
      </w:r>
      <w:r w:rsidR="003A74BD">
        <w:t xml:space="preserve">that the ESAs should seek </w:t>
      </w:r>
      <w:r w:rsidR="00B41ABA">
        <w:t>coherence with that framework</w:t>
      </w:r>
      <w:r w:rsidR="00E93DC3">
        <w:t xml:space="preserve"> as per the general observation above (see question 1)</w:t>
      </w:r>
      <w:r w:rsidR="00B41ABA">
        <w:t>, including EFRAG´s advice on mandatory di</w:t>
      </w:r>
      <w:r w:rsidR="4388A524">
        <w:t>s</w:t>
      </w:r>
      <w:r w:rsidR="00B41ABA">
        <w:t>closures.</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pPr>
        <w:pStyle w:val="Questionstyle"/>
        <w:numPr>
          <w:ilvl w:val="0"/>
          <w:numId w:val="2"/>
        </w:numPr>
      </w:pPr>
      <w:bookmarkStart w:id="2" w:name="_Hlk131609830"/>
      <w:r>
        <w:t xml:space="preserve">: </w:t>
      </w:r>
      <w:r w:rsidRPr="00FB35FF">
        <w:t>Do you agree with the newly proposed opt-in social indicators in Annex I,</w:t>
      </w:r>
      <w:r>
        <w:t xml:space="preserve"> Table III (excessive use of non-guaranteed-hour employees in investee companies, </w:t>
      </w:r>
      <w:r>
        <w:lastRenderedPageBreak/>
        <w:t>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B277311" w14:textId="0B2C4B50" w:rsidR="00394E5C" w:rsidRDefault="009C41BB" w:rsidP="00394E5C">
      <w:permStart w:id="1930569352" w:edGrp="everyone"/>
      <w:r>
        <w:t>T</w:t>
      </w:r>
      <w:r w:rsidR="008C3D94">
        <w:t xml:space="preserve">he DIHR welcomes </w:t>
      </w:r>
      <w:r w:rsidR="00B01D6F">
        <w:t xml:space="preserve">ESA`s efforts to expand </w:t>
      </w:r>
      <w:r w:rsidR="00C86CF3">
        <w:t>the list of social indicators</w:t>
      </w:r>
      <w:r w:rsidR="00104DE1">
        <w:t xml:space="preserve">. </w:t>
      </w:r>
      <w:r w:rsidR="00017094">
        <w:t xml:space="preserve">However, the import of </w:t>
      </w:r>
      <w:r w:rsidR="00B9182A">
        <w:t xml:space="preserve">certain </w:t>
      </w:r>
      <w:r w:rsidR="00017094">
        <w:t xml:space="preserve">metrics from ESRS was done in a decontextualised manner without </w:t>
      </w:r>
      <w:r w:rsidR="004C1311">
        <w:t xml:space="preserve">a </w:t>
      </w:r>
      <w:r w:rsidR="00017094">
        <w:t xml:space="preserve">supporting explanation as to </w:t>
      </w:r>
      <w:r w:rsidR="00466115">
        <w:t xml:space="preserve">how these metrics </w:t>
      </w:r>
      <w:r w:rsidR="00EB7051">
        <w:t>are</w:t>
      </w:r>
      <w:r w:rsidR="004C1311">
        <w:t xml:space="preserve"> a </w:t>
      </w:r>
      <w:r w:rsidR="00466115">
        <w:t>meaningful proxy for FMP’s adverse impacts.</w:t>
      </w:r>
      <w:r w:rsidR="00017094">
        <w:t xml:space="preserve"> </w:t>
      </w:r>
      <w:r w:rsidR="00942BB8">
        <w:t xml:space="preserve">For example, in respect to the 3 </w:t>
      </w:r>
      <w:r w:rsidR="004C1311">
        <w:t>new indicators</w:t>
      </w:r>
      <w:r w:rsidR="00942BB8">
        <w:t xml:space="preserve"> on non-guaranteed hour employees, temporary contract employees, </w:t>
      </w:r>
      <w:r w:rsidR="00B9199A">
        <w:t xml:space="preserve">non-employee workers, ESRS does not set a threshold of what is considered an ‘excessive use’ thereof as </w:t>
      </w:r>
      <w:r w:rsidR="00466115">
        <w:t>implied</w:t>
      </w:r>
      <w:r w:rsidR="00B9199A">
        <w:t xml:space="preserve"> by the framing of the indicator in the draft RTS</w:t>
      </w:r>
      <w:r w:rsidR="00B12707">
        <w:t>.</w:t>
      </w:r>
      <w:r w:rsidR="00B9199A">
        <w:t xml:space="preserve"> </w:t>
      </w:r>
      <w:r w:rsidR="004C2333">
        <w:t>According to ESRS, the purpose of these disclosure</w:t>
      </w:r>
      <w:r w:rsidR="00503D60">
        <w:t>s</w:t>
      </w:r>
      <w:r w:rsidR="004C2333">
        <w:t xml:space="preserve"> is to “(…)</w:t>
      </w:r>
      <w:r w:rsidR="004A664F">
        <w:t xml:space="preserve"> </w:t>
      </w:r>
      <w:r w:rsidR="004C2333">
        <w:t>provide contextual information that aids an understanding of the information reported in other disclosure</w:t>
      </w:r>
      <w:r w:rsidR="004A664F">
        <w:t>s</w:t>
      </w:r>
      <w:r w:rsidR="004C2333">
        <w:t>”</w:t>
      </w:r>
      <w:r w:rsidR="00503D60">
        <w:t xml:space="preserve"> (see para 50 in ESRS S1-6)</w:t>
      </w:r>
      <w:r w:rsidR="00394E5C">
        <w:t>.</w:t>
      </w:r>
      <w:r w:rsidR="007C3553">
        <w:t xml:space="preserve"> </w:t>
      </w:r>
      <w:r w:rsidR="00394E5C">
        <w:t>Specifically, “</w:t>
      </w:r>
      <w:r w:rsidR="00394E5C" w:rsidRPr="00932165">
        <w:rPr>
          <w:i/>
          <w:iCs/>
          <w:lang w:val="en-US"/>
        </w:rPr>
        <w:t xml:space="preserve">Quantitative data, such as the number of temporary or part-time employees, is unlikely to be sufficient on its own. For example, a high proportion of temporary or part-time employees could indicate a lack of employment security for employees, but it could equally signal workplace flexibility when offered as a voluntary choice. For this reason, the undertaking is required to disclose contextual information to help information users interpret the data. </w:t>
      </w:r>
      <w:r w:rsidR="00394E5C">
        <w:rPr>
          <w:i/>
          <w:iCs/>
          <w:lang w:val="en-US"/>
        </w:rPr>
        <w:t>(…)</w:t>
      </w:r>
      <w:r w:rsidR="00394E5C">
        <w:rPr>
          <w:lang w:val="en-US"/>
        </w:rPr>
        <w:t xml:space="preserve">” (ESRS S1, DR S1-6, AR 58). </w:t>
      </w:r>
      <w:r w:rsidR="00856D1B">
        <w:rPr>
          <w:lang w:val="en-US"/>
        </w:rPr>
        <w:t xml:space="preserve">In ESRS, </w:t>
      </w:r>
      <w:r w:rsidR="00847D21">
        <w:rPr>
          <w:lang w:val="en-US"/>
        </w:rPr>
        <w:t>such</w:t>
      </w:r>
      <w:r w:rsidR="00856D1B">
        <w:rPr>
          <w:lang w:val="en-US"/>
        </w:rPr>
        <w:t xml:space="preserve"> data is one of the many data points required as part of a broader suite of</w:t>
      </w:r>
      <w:r w:rsidR="00847D21">
        <w:rPr>
          <w:lang w:val="en-US"/>
        </w:rPr>
        <w:t xml:space="preserve"> disclosure requirements, including on the </w:t>
      </w:r>
      <w:r w:rsidR="00492DD5">
        <w:rPr>
          <w:lang w:val="en-US"/>
        </w:rPr>
        <w:t xml:space="preserve">quality of </w:t>
      </w:r>
      <w:r w:rsidR="00847D21">
        <w:rPr>
          <w:lang w:val="en-US"/>
        </w:rPr>
        <w:t xml:space="preserve">working conditions of employees and </w:t>
      </w:r>
      <w:r w:rsidR="00F2352F">
        <w:rPr>
          <w:lang w:val="en-US"/>
        </w:rPr>
        <w:t xml:space="preserve">non-employees. </w:t>
      </w:r>
      <w:r w:rsidR="00A73399">
        <w:rPr>
          <w:lang w:val="en-US"/>
        </w:rPr>
        <w:t xml:space="preserve">We recommend that </w:t>
      </w:r>
      <w:r w:rsidR="004D1EA5">
        <w:rPr>
          <w:lang w:val="en-US"/>
        </w:rPr>
        <w:t>the revision of these indicators should be put on hold until a</w:t>
      </w:r>
      <w:r w:rsidR="006766EF">
        <w:rPr>
          <w:lang w:val="en-US"/>
        </w:rPr>
        <w:t xml:space="preserve"> more careful and nuanced approach to </w:t>
      </w:r>
      <w:r w:rsidR="00332EEE">
        <w:rPr>
          <w:lang w:val="en-US"/>
        </w:rPr>
        <w:t>aligning SFDR with ESRS</w:t>
      </w:r>
      <w:r w:rsidR="004D1EA5">
        <w:rPr>
          <w:lang w:val="en-US"/>
        </w:rPr>
        <w:t xml:space="preserve"> is undertaken,</w:t>
      </w:r>
      <w:r w:rsidR="00332EEE">
        <w:rPr>
          <w:lang w:val="en-US"/>
        </w:rPr>
        <w:t xml:space="preserve"> as recommended in our general observations in question 1. </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Pr="00FB35FF" w:rsidRDefault="009C41BB">
      <w:pPr>
        <w:pStyle w:val="Questionstyle"/>
        <w:numPr>
          <w:ilvl w:val="0"/>
          <w:numId w:val="2"/>
        </w:numPr>
      </w:pPr>
      <w:bookmarkStart w:id="3" w:name="_Hlk131609831"/>
      <w:r w:rsidRPr="00FB35FF">
        <w:t>: Would you recommend any other social indicator or adjust any of the ones proposed?</w:t>
      </w:r>
    </w:p>
    <w:bookmarkEnd w:id="3"/>
    <w:p w14:paraId="6BC5AA32" w14:textId="77777777" w:rsidR="009C41BB" w:rsidRDefault="009C41BB" w:rsidP="009C41BB">
      <w:r>
        <w:t>&lt;ESMA_QUESTION_SFDR_4&gt;</w:t>
      </w:r>
    </w:p>
    <w:p w14:paraId="0958C2FE" w14:textId="07F30E9A" w:rsidR="00312326" w:rsidRDefault="00084648" w:rsidP="009A5BF3">
      <w:permStart w:id="2056993415" w:edGrp="everyone"/>
      <w:r>
        <w:t>For policy coherence purposes</w:t>
      </w:r>
      <w:r w:rsidR="00105DC3">
        <w:t xml:space="preserve"> and to </w:t>
      </w:r>
      <w:r w:rsidR="00A12734">
        <w:t>enable data collection by FMPs</w:t>
      </w:r>
      <w:r w:rsidR="000C389E">
        <w:t xml:space="preserve">, </w:t>
      </w:r>
      <w:r w:rsidR="00A82EF9">
        <w:t>the DIHR recommends that all indicators are revis</w:t>
      </w:r>
      <w:r w:rsidR="00920846">
        <w:t>i</w:t>
      </w:r>
      <w:r w:rsidR="00A82EF9">
        <w:t>ted to ensure alignment with the</w:t>
      </w:r>
      <w:r w:rsidR="00AB695B">
        <w:t xml:space="preserve"> social topical standards in</w:t>
      </w:r>
      <w:r w:rsidR="00A82EF9">
        <w:t xml:space="preserve"> ESRS published by EFRAG</w:t>
      </w:r>
      <w:r w:rsidR="00A12734">
        <w:t xml:space="preserve"> in November 2022.</w:t>
      </w:r>
      <w:r w:rsidR="00A54701">
        <w:t xml:space="preserve"> </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Pr="00FB35FF" w:rsidRDefault="009C41BB">
      <w:pPr>
        <w:pStyle w:val="Questionstyle"/>
        <w:numPr>
          <w:ilvl w:val="0"/>
          <w:numId w:val="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w:t>
      </w:r>
      <w:r>
        <w:lastRenderedPageBreak/>
        <w:t xml:space="preserve">Principles and Rights at Work)? </w:t>
      </w:r>
      <w:r w:rsidRPr="00FB35FF">
        <w:t>Do you have any additional suggestions for changes to other indicators not considered by the ESAs?</w:t>
      </w:r>
    </w:p>
    <w:bookmarkEnd w:id="4"/>
    <w:p w14:paraId="0BC3C8F3" w14:textId="77777777" w:rsidR="009C41BB" w:rsidRDefault="009C41BB" w:rsidP="009C41BB">
      <w:r>
        <w:t>&lt;ESMA_QUESTION_SFDR_5&gt;</w:t>
      </w:r>
    </w:p>
    <w:p w14:paraId="6F0F7F70" w14:textId="2E312961" w:rsidR="003C287B" w:rsidRPr="003C287B" w:rsidRDefault="003C287B" w:rsidP="002267E1">
      <w:permStart w:id="452221127" w:edGrp="everyone"/>
      <w:r w:rsidRPr="003C287B">
        <w:t xml:space="preserve">The DIHR welcomes </w:t>
      </w:r>
      <w:r>
        <w:t xml:space="preserve">the </w:t>
      </w:r>
      <w:r w:rsidR="00C30D7D">
        <w:t xml:space="preserve">replacement of the reference </w:t>
      </w:r>
      <w:r w:rsidR="00DB2CFE">
        <w:t>to</w:t>
      </w:r>
      <w:r w:rsidR="00C30D7D">
        <w:t xml:space="preserve"> the UN Global Compact Principles with the UN Guiding </w:t>
      </w:r>
      <w:r w:rsidR="00093C30">
        <w:t>P</w:t>
      </w:r>
      <w:r w:rsidR="00C30D7D">
        <w:t xml:space="preserve">rinciples on </w:t>
      </w:r>
      <w:r w:rsidR="00093C30">
        <w:t>B</w:t>
      </w:r>
      <w:r w:rsidR="00C30D7D">
        <w:t xml:space="preserve">usiness and </w:t>
      </w:r>
      <w:r w:rsidR="00093C30">
        <w:t>H</w:t>
      </w:r>
      <w:r w:rsidR="00C30D7D">
        <w:t xml:space="preserve">uman </w:t>
      </w:r>
      <w:r w:rsidR="00093C30">
        <w:t>R</w:t>
      </w:r>
      <w:r w:rsidR="00C30D7D">
        <w:t>ights</w:t>
      </w:r>
      <w:r w:rsidR="00084BD4">
        <w:t>.</w:t>
      </w:r>
      <w:r w:rsidR="00C30D7D">
        <w:t xml:space="preserve"> </w:t>
      </w:r>
      <w:r w:rsidR="00084BD4">
        <w:t>This</w:t>
      </w:r>
      <w:r w:rsidR="00C30D7D">
        <w:t xml:space="preserve"> better reflects</w:t>
      </w:r>
      <w:r w:rsidR="00DB2CFE">
        <w:t xml:space="preserve"> the normative status of these </w:t>
      </w:r>
      <w:r w:rsidR="001F1694">
        <w:t>standards in international law</w:t>
      </w:r>
      <w:r w:rsidR="002E0696">
        <w:t xml:space="preserve"> and</w:t>
      </w:r>
      <w:r w:rsidR="00B96AD4">
        <w:t xml:space="preserve"> aligns with </w:t>
      </w:r>
      <w:r w:rsidR="00AA7CC6">
        <w:t xml:space="preserve">how the UNGPs have informed </w:t>
      </w:r>
      <w:r w:rsidR="00B96AD4">
        <w:t>other</w:t>
      </w:r>
      <w:r w:rsidR="0042718E">
        <w:t xml:space="preserve"> rel</w:t>
      </w:r>
      <w:r w:rsidR="00896F3E">
        <w:t>e</w:t>
      </w:r>
      <w:r w:rsidR="0042718E">
        <w:t>vant</w:t>
      </w:r>
      <w:r w:rsidR="00B96AD4">
        <w:t xml:space="preserve"> EU regulations</w:t>
      </w:r>
      <w:r w:rsidR="0042718E">
        <w:t xml:space="preserve"> that </w:t>
      </w:r>
      <w:r w:rsidR="004A0736">
        <w:t>are relevant for the</w:t>
      </w:r>
      <w:r w:rsidR="0042718E">
        <w:t xml:space="preserve"> financial sector</w:t>
      </w:r>
      <w:r w:rsidR="00B96AD4">
        <w:t xml:space="preserve"> such as </w:t>
      </w:r>
      <w:r w:rsidR="00F63612">
        <w:t>the Taxonomy Regulation</w:t>
      </w:r>
      <w:r w:rsidR="00AA7CC6">
        <w:t xml:space="preserve"> (see art 18 on minimum safeguards)</w:t>
      </w:r>
      <w:r w:rsidR="0042718E">
        <w:t xml:space="preserve">, CSRD and </w:t>
      </w:r>
      <w:r w:rsidR="00E84C70">
        <w:t>the proposal for a Corporate Sustainability Due Diligence Directive</w:t>
      </w:r>
      <w:r w:rsidR="001F1694">
        <w:t>.</w:t>
      </w:r>
      <w:r w:rsidR="00C5434C">
        <w:t xml:space="preserve"> </w:t>
      </w:r>
      <w:r w:rsidR="00B96AD4">
        <w:t>Suggestions</w:t>
      </w:r>
      <w:r w:rsidR="00C5434C">
        <w:t xml:space="preserve"> for</w:t>
      </w:r>
      <w:r w:rsidR="00B96AD4">
        <w:t xml:space="preserve"> additional</w:t>
      </w:r>
      <w:r w:rsidR="00C5434C">
        <w:t xml:space="preserve"> changes are included below:</w:t>
      </w:r>
    </w:p>
    <w:p w14:paraId="2055008C" w14:textId="5AA1C508" w:rsidR="00394398" w:rsidRDefault="00394398" w:rsidP="002267E1">
      <w:pPr>
        <w:rPr>
          <w:b/>
          <w:bCs/>
          <w:u w:val="single"/>
        </w:rPr>
      </w:pPr>
      <w:r>
        <w:rPr>
          <w:b/>
          <w:bCs/>
          <w:u w:val="single"/>
        </w:rPr>
        <w:t>Table 1</w:t>
      </w:r>
    </w:p>
    <w:p w14:paraId="335AA341" w14:textId="6E9BC2EA" w:rsidR="00437A3C" w:rsidRDefault="007E2EB1" w:rsidP="002267E1">
      <w:r w:rsidRPr="002267E1">
        <w:rPr>
          <w:b/>
          <w:bCs/>
          <w:u w:val="single"/>
        </w:rPr>
        <w:t>Indicator 10</w:t>
      </w:r>
      <w:r>
        <w:t xml:space="preserve"> </w:t>
      </w:r>
      <w:r w:rsidR="00394398">
        <w:t>(i.e.</w:t>
      </w:r>
      <w:r>
        <w:t xml:space="preserve"> “</w:t>
      </w:r>
      <w:r w:rsidR="00394398">
        <w:t>v</w:t>
      </w:r>
      <w:r>
        <w:t>iolations of OECD Guidelines and UNGPs</w:t>
      </w:r>
      <w:proofErr w:type="gramStart"/>
      <w:r w:rsidR="00394398">
        <w:t>…..</w:t>
      </w:r>
      <w:proofErr w:type="gramEnd"/>
      <w:r>
        <w:t>”</w:t>
      </w:r>
      <w:r w:rsidR="00394398">
        <w:t xml:space="preserve">). </w:t>
      </w:r>
      <w:r>
        <w:t xml:space="preserve"> The indicator leaves ample room for interpretation as there is no</w:t>
      </w:r>
      <w:r w:rsidR="00D737D6">
        <w:t xml:space="preserve"> </w:t>
      </w:r>
      <w:r w:rsidR="00093C30">
        <w:t>authoritative</w:t>
      </w:r>
      <w:r>
        <w:t xml:space="preserve"> consensus on what </w:t>
      </w:r>
      <w:r w:rsidR="00A53F45">
        <w:t xml:space="preserve">amounts to a </w:t>
      </w:r>
      <w:r>
        <w:t xml:space="preserve">“violation of OECD Guidelines or UNGPs”. </w:t>
      </w:r>
      <w:r w:rsidR="00CB3E48">
        <w:t xml:space="preserve"> </w:t>
      </w:r>
      <w:r w:rsidR="00093C30">
        <w:t>These</w:t>
      </w:r>
      <w:r w:rsidR="00CB3E48">
        <w:t xml:space="preserve"> standards cover both process-related requirements (</w:t>
      </w:r>
      <w:proofErr w:type="gramStart"/>
      <w:r w:rsidR="00CB3E48">
        <w:t>e.g.</w:t>
      </w:r>
      <w:proofErr w:type="gramEnd"/>
      <w:r w:rsidR="00CB3E48">
        <w:t xml:space="preserve"> adoption of a human rights policy, due diligence process, </w:t>
      </w:r>
      <w:r w:rsidR="00846A14">
        <w:t xml:space="preserve">set-up of a grievance mechanism) as well as outcome-related requirements (e.g. avoiding, mitigating and remediating human rights harm). As such, </w:t>
      </w:r>
      <w:r w:rsidR="008369B6">
        <w:t xml:space="preserve">‘violation’ can mean </w:t>
      </w:r>
      <w:r w:rsidR="00B77F1B">
        <w:t xml:space="preserve">qualitatively </w:t>
      </w:r>
      <w:r w:rsidR="008369B6">
        <w:t xml:space="preserve">different things </w:t>
      </w:r>
      <w:proofErr w:type="gramStart"/>
      <w:r w:rsidR="00E05FDB">
        <w:t>i</w:t>
      </w:r>
      <w:r w:rsidR="001866F5">
        <w:t>.</w:t>
      </w:r>
      <w:r w:rsidR="00E05FDB">
        <w:t>e</w:t>
      </w:r>
      <w:r w:rsidR="00174EB5">
        <w:t>.</w:t>
      </w:r>
      <w:proofErr w:type="gramEnd"/>
      <w:r w:rsidR="00174EB5">
        <w:t xml:space="preserve"> </w:t>
      </w:r>
      <w:r w:rsidR="00CF4851">
        <w:t xml:space="preserve">the </w:t>
      </w:r>
      <w:r w:rsidR="00174EB5">
        <w:t xml:space="preserve">non-existence of </w:t>
      </w:r>
      <w:r w:rsidR="00CF4851">
        <w:t>one or more of the procedural elements,</w:t>
      </w:r>
      <w:r w:rsidR="00174EB5">
        <w:t xml:space="preserve"> the occurrence of adverse human rights impacts. </w:t>
      </w:r>
      <w:r w:rsidR="00253F50">
        <w:t>Th</w:t>
      </w:r>
      <w:r w:rsidR="0068234B">
        <w:t>e lack of guidance on how to interpret this indicator</w:t>
      </w:r>
      <w:r w:rsidR="00370E05">
        <w:t xml:space="preserve"> </w:t>
      </w:r>
      <w:r w:rsidR="0068234B">
        <w:t>can be</w:t>
      </w:r>
      <w:r w:rsidR="00370E05">
        <w:t xml:space="preserve"> problematic for </w:t>
      </w:r>
      <w:r w:rsidR="00174EB5">
        <w:t xml:space="preserve">several </w:t>
      </w:r>
      <w:r w:rsidR="00370E05">
        <w:t>reasons.</w:t>
      </w:r>
      <w:r w:rsidR="008A6EF3">
        <w:t xml:space="preserve"> </w:t>
      </w:r>
      <w:r w:rsidR="00555CDA">
        <w:t xml:space="preserve"> First, if ´violation´ is to be interpreted as the lack of human rights due diligence processes, </w:t>
      </w:r>
      <w:r w:rsidR="005A6B6E">
        <w:t>th</w:t>
      </w:r>
      <w:r w:rsidR="00EB540D">
        <w:t>ere is a clear overlap with the opt-in human rights indicators in table 3 (</w:t>
      </w:r>
      <w:proofErr w:type="gramStart"/>
      <w:r w:rsidR="00EB540D">
        <w:t>i.e.</w:t>
      </w:r>
      <w:proofErr w:type="gramEnd"/>
      <w:r w:rsidR="00EB540D">
        <w:t xml:space="preserve"> lack of human rights policies, lack of due diligence, </w:t>
      </w:r>
      <w:r w:rsidR="00DD5753">
        <w:t xml:space="preserve">lack of remediation mechanisms, etc), raising the question as to </w:t>
      </w:r>
      <w:r w:rsidR="00424955">
        <w:t xml:space="preserve">why those aren´t </w:t>
      </w:r>
      <w:r w:rsidR="00384EE5">
        <w:t>included in</w:t>
      </w:r>
      <w:r w:rsidR="00424955">
        <w:t xml:space="preserve"> the mandatory list. </w:t>
      </w:r>
      <w:r w:rsidR="00E11012">
        <w:t>That wou</w:t>
      </w:r>
      <w:r w:rsidR="071E8E98">
        <w:t>l</w:t>
      </w:r>
      <w:r w:rsidR="00E11012">
        <w:t>d be preferrable given their specificity</w:t>
      </w:r>
      <w:r w:rsidR="00177986">
        <w:t xml:space="preserve"> and clarity</w:t>
      </w:r>
      <w:r w:rsidR="00E11012">
        <w:t xml:space="preserve">. Second, </w:t>
      </w:r>
      <w:r w:rsidR="003501F1">
        <w:t xml:space="preserve">the very different issues that </w:t>
      </w:r>
      <w:r w:rsidR="00B33FFD">
        <w:t xml:space="preserve">this indicator can potentially </w:t>
      </w:r>
      <w:r w:rsidR="00BB3317">
        <w:t>measure</w:t>
      </w:r>
      <w:r w:rsidR="00023CC3">
        <w:t xml:space="preserve"> undermines the comp</w:t>
      </w:r>
      <w:r w:rsidR="00517304">
        <w:t>arability of data across FMPs</w:t>
      </w:r>
      <w:r w:rsidR="0086406D">
        <w:t>,</w:t>
      </w:r>
      <w:r>
        <w:t xml:space="preserve"> which is one of the objectives of SFDR</w:t>
      </w:r>
      <w:r w:rsidR="00AD1EBA">
        <w:t xml:space="preserve">. </w:t>
      </w:r>
      <w:r w:rsidR="00E05FDB">
        <w:t xml:space="preserve">While one FMP might </w:t>
      </w:r>
      <w:r w:rsidR="00A84AE2">
        <w:t xml:space="preserve">interpret this indicator as a process-related non-alignment, others might interpret it as </w:t>
      </w:r>
      <w:r w:rsidR="007C1237">
        <w:t xml:space="preserve">the existence of human rights harm. </w:t>
      </w:r>
      <w:r w:rsidR="00746B22">
        <w:t>However</w:t>
      </w:r>
      <w:r w:rsidR="007C1237">
        <w:t xml:space="preserve">, not having adopted a human rights policy </w:t>
      </w:r>
      <w:r w:rsidR="00746B22">
        <w:t>is a qualitatively different type of adverse</w:t>
      </w:r>
      <w:r w:rsidR="007C1237">
        <w:t xml:space="preserve"> sustainability </w:t>
      </w:r>
      <w:r w:rsidR="00746B22">
        <w:t xml:space="preserve">impact </w:t>
      </w:r>
      <w:r w:rsidR="007C1237">
        <w:t xml:space="preserve">than </w:t>
      </w:r>
      <w:r w:rsidR="00330519">
        <w:t>subjecting employees to forced labour conditions</w:t>
      </w:r>
      <w:r w:rsidR="00746B22">
        <w:t>, for example.</w:t>
      </w:r>
      <w:r w:rsidR="00330519">
        <w:t xml:space="preserve"> </w:t>
      </w:r>
      <w:r w:rsidR="00E81A4E">
        <w:t>The current formulation of the indicator</w:t>
      </w:r>
      <w:r w:rsidR="00D12A7D">
        <w:t xml:space="preserve">, </w:t>
      </w:r>
      <w:r w:rsidR="00AA26AF">
        <w:t>is likely to obfuscate</w:t>
      </w:r>
      <w:r w:rsidR="00746B22">
        <w:t xml:space="preserve"> -</w:t>
      </w:r>
      <w:r w:rsidR="00AA26AF">
        <w:t>rather than enable</w:t>
      </w:r>
      <w:proofErr w:type="gramStart"/>
      <w:r w:rsidR="00746B22">
        <w:t xml:space="preserve">- </w:t>
      </w:r>
      <w:r w:rsidR="00E81A4E">
        <w:t xml:space="preserve"> end</w:t>
      </w:r>
      <w:proofErr w:type="gramEnd"/>
      <w:r w:rsidR="00E81A4E">
        <w:t xml:space="preserve"> investors</w:t>
      </w:r>
      <w:r w:rsidR="00AA26AF">
        <w:t>´</w:t>
      </w:r>
      <w:r w:rsidR="00E81A4E">
        <w:t xml:space="preserve"> understanding</w:t>
      </w:r>
      <w:r w:rsidR="00746B22">
        <w:t xml:space="preserve"> of</w:t>
      </w:r>
      <w:r w:rsidR="00E81A4E">
        <w:t xml:space="preserve"> the </w:t>
      </w:r>
      <w:r w:rsidR="005659BD">
        <w:t xml:space="preserve">seriousness of adverse sustainability impacts of FMPs. The DIHR </w:t>
      </w:r>
      <w:r w:rsidR="00E92F0C">
        <w:t>recommends</w:t>
      </w:r>
      <w:r w:rsidR="00CB5F4E">
        <w:t xml:space="preserve"> that</w:t>
      </w:r>
      <w:r w:rsidR="0043698C">
        <w:t xml:space="preserve"> this indicator be replaced with more specific indicators</w:t>
      </w:r>
      <w:r w:rsidR="00437A3C">
        <w:t xml:space="preserve"> measuring the degree of alignment with UNGPs and OECD Guidelines currently included in </w:t>
      </w:r>
      <w:r w:rsidR="00A714AA">
        <w:t>Table 3</w:t>
      </w:r>
      <w:r w:rsidR="00437A3C">
        <w:t xml:space="preserve"> such as:</w:t>
      </w:r>
    </w:p>
    <w:p w14:paraId="25AB7069" w14:textId="57347DA1" w:rsidR="00437A3C" w:rsidRDefault="00437A3C">
      <w:pPr>
        <w:pStyle w:val="ListParagraph"/>
        <w:numPr>
          <w:ilvl w:val="0"/>
          <w:numId w:val="4"/>
        </w:numPr>
      </w:pPr>
      <w:r>
        <w:t>Indica</w:t>
      </w:r>
      <w:r w:rsidR="00EC71E3">
        <w:t>tor 13 – lack of human rights policies</w:t>
      </w:r>
    </w:p>
    <w:p w14:paraId="5B02C1A7" w14:textId="10E9CFEF" w:rsidR="00EC71E3" w:rsidRDefault="00EC71E3">
      <w:pPr>
        <w:pStyle w:val="ListParagraph"/>
        <w:numPr>
          <w:ilvl w:val="0"/>
          <w:numId w:val="4"/>
        </w:numPr>
      </w:pPr>
      <w:r>
        <w:t xml:space="preserve">Indicator 14 – lack of human </w:t>
      </w:r>
      <w:r w:rsidR="00F036F5">
        <w:t>rights due diligence process</w:t>
      </w:r>
    </w:p>
    <w:p w14:paraId="0834F9F0" w14:textId="312A2BE9" w:rsidR="00F036F5" w:rsidRDefault="00F036F5">
      <w:pPr>
        <w:pStyle w:val="ListParagraph"/>
        <w:numPr>
          <w:ilvl w:val="0"/>
          <w:numId w:val="4"/>
        </w:numPr>
      </w:pPr>
      <w:r>
        <w:t xml:space="preserve">Indicators </w:t>
      </w:r>
      <w:r w:rsidR="00B0023F">
        <w:t>5/</w:t>
      </w:r>
      <w:r>
        <w:t>19/20 – lack of</w:t>
      </w:r>
      <w:r w:rsidR="00354EBB">
        <w:t xml:space="preserve"> grievance </w:t>
      </w:r>
      <w:r w:rsidR="00F008F5">
        <w:t>mechanisms for employees and lack of</w:t>
      </w:r>
      <w:r>
        <w:t xml:space="preserve"> </w:t>
      </w:r>
      <w:r w:rsidR="00C20E46">
        <w:t>remediation mechanisms for</w:t>
      </w:r>
      <w:r w:rsidR="00B0023F">
        <w:t xml:space="preserve"> </w:t>
      </w:r>
      <w:r w:rsidR="00C20E46">
        <w:t>affected communities</w:t>
      </w:r>
      <w:r w:rsidR="00F008F5">
        <w:t xml:space="preserve"> and</w:t>
      </w:r>
      <w:r w:rsidR="00C20E46">
        <w:t xml:space="preserve"> consumers </w:t>
      </w:r>
    </w:p>
    <w:p w14:paraId="43E8C495" w14:textId="577ED60E" w:rsidR="00B0023F" w:rsidRDefault="00B0023F">
      <w:pPr>
        <w:pStyle w:val="ListParagraph"/>
        <w:numPr>
          <w:ilvl w:val="0"/>
          <w:numId w:val="4"/>
        </w:numPr>
      </w:pPr>
      <w:r>
        <w:t xml:space="preserve">Indicator 18 </w:t>
      </w:r>
      <w:r w:rsidR="00823599">
        <w:t>–</w:t>
      </w:r>
      <w:r w:rsidR="00A714AA">
        <w:t xml:space="preserve"> </w:t>
      </w:r>
      <w:r w:rsidR="00823599">
        <w:t>number of identified cases of severe human rights issues and incidents</w:t>
      </w:r>
    </w:p>
    <w:p w14:paraId="04F416B6" w14:textId="55456FA1" w:rsidR="007E2EB1" w:rsidRDefault="007E2EB1" w:rsidP="002267E1">
      <w:r>
        <w:t xml:space="preserve"> </w:t>
      </w:r>
      <w:r w:rsidR="00FB3BA8">
        <w:t>These indicators should be made mandatory.</w:t>
      </w:r>
    </w:p>
    <w:p w14:paraId="52A2F56B" w14:textId="247300E1" w:rsidR="00F23F3F" w:rsidRDefault="007E2EB1" w:rsidP="008A1C7A">
      <w:r w:rsidRPr="00F23F3F">
        <w:rPr>
          <w:b/>
          <w:bCs/>
          <w:u w:val="single"/>
        </w:rPr>
        <w:lastRenderedPageBreak/>
        <w:t>Indicator 11.</w:t>
      </w:r>
      <w:r>
        <w:t xml:space="preserve"> </w:t>
      </w:r>
      <w:r w:rsidR="00982742">
        <w:t>The formulation of</w:t>
      </w:r>
      <w:r w:rsidR="00683D8B">
        <w:t xml:space="preserve"> </w:t>
      </w:r>
      <w:r w:rsidR="00955F8D">
        <w:t xml:space="preserve">this indicator is </w:t>
      </w:r>
      <w:r w:rsidR="00982742">
        <w:t>unclear</w:t>
      </w:r>
      <w:r w:rsidR="006F42FA">
        <w:t xml:space="preserve"> and can be </w:t>
      </w:r>
      <w:r w:rsidR="00DD2FF5">
        <w:t>(mis)</w:t>
      </w:r>
      <w:r w:rsidR="006F42FA">
        <w:t>read to mean slightly different things</w:t>
      </w:r>
      <w:r w:rsidR="007C7BA2">
        <w:t xml:space="preserve"> – </w:t>
      </w:r>
      <w:proofErr w:type="gramStart"/>
      <w:r w:rsidR="007C7BA2">
        <w:t>e.g.</w:t>
      </w:r>
      <w:proofErr w:type="gramEnd"/>
      <w:r w:rsidR="007C7BA2">
        <w:t xml:space="preserve"> lack of policies to monitor compliance with the OECD Guidelines and UNGPs</w:t>
      </w:r>
      <w:r w:rsidR="00C33606">
        <w:t>; lack of grievance mechanisms</w:t>
      </w:r>
      <w:r w:rsidR="00864951">
        <w:t>;</w:t>
      </w:r>
      <w:r w:rsidR="00A2286A">
        <w:t xml:space="preserve"> and</w:t>
      </w:r>
      <w:r w:rsidR="00864951">
        <w:t xml:space="preserve"> both</w:t>
      </w:r>
      <w:r w:rsidR="006F42FA">
        <w:t>.</w:t>
      </w:r>
      <w:r w:rsidR="00864951">
        <w:t xml:space="preserve"> </w:t>
      </w:r>
      <w:r w:rsidR="00F03EC9">
        <w:t xml:space="preserve">It should be noted that the opt-in indicators already include </w:t>
      </w:r>
      <w:r w:rsidR="006A7229">
        <w:t xml:space="preserve">language on grievance mechanisms </w:t>
      </w:r>
      <w:r w:rsidR="00746D37">
        <w:t xml:space="preserve">(see </w:t>
      </w:r>
      <w:r w:rsidR="00D506F4">
        <w:t>indicators 5, 19, 20</w:t>
      </w:r>
      <w:r w:rsidR="00516190">
        <w:t xml:space="preserve"> in Table 3</w:t>
      </w:r>
      <w:r w:rsidR="00D506F4">
        <w:t xml:space="preserve">) </w:t>
      </w:r>
      <w:r w:rsidR="004C1AFF">
        <w:t xml:space="preserve">which raises </w:t>
      </w:r>
      <w:r w:rsidR="001D3736">
        <w:t xml:space="preserve">the </w:t>
      </w:r>
      <w:r w:rsidR="004C1AFF">
        <w:t xml:space="preserve">question as to why those more specific indicators are not included in the mandatory list. </w:t>
      </w:r>
      <w:r w:rsidR="00A529E6">
        <w:t>T</w:t>
      </w:r>
      <w:r w:rsidR="00516190">
        <w:t>he language of “remediation mechanism” in the new opt-</w:t>
      </w:r>
      <w:r w:rsidR="000339F1">
        <w:t xml:space="preserve">in indicators 19 and 20 in Table 3 can be used interchangeably with </w:t>
      </w:r>
      <w:r w:rsidR="003E7E1F">
        <w:t>that of</w:t>
      </w:r>
      <w:r w:rsidR="000339F1">
        <w:t xml:space="preserve"> “grievance mechanism</w:t>
      </w:r>
      <w:r w:rsidR="003E7E1F">
        <w:t xml:space="preserve">” – according to international standards, grievance </w:t>
      </w:r>
      <w:proofErr w:type="spellStart"/>
      <w:r w:rsidR="003E7E1F">
        <w:t>mechansims</w:t>
      </w:r>
      <w:proofErr w:type="spellEnd"/>
      <w:r w:rsidR="003E7E1F">
        <w:t xml:space="preserve"> are formalised processes to enable the remediation of harm suffered by affected parties. </w:t>
      </w:r>
      <w:r w:rsidR="00F14CA0">
        <w:t xml:space="preserve">If this indicator should be interpreted to </w:t>
      </w:r>
      <w:r w:rsidR="00E92F0C">
        <w:t>mean</w:t>
      </w:r>
      <w:r w:rsidR="00F14CA0">
        <w:t xml:space="preserve"> “lack of policies to monitor compliance with the OECD Guidelines and UNG</w:t>
      </w:r>
      <w:r w:rsidR="002438D0">
        <w:t xml:space="preserve">Ps”, </w:t>
      </w:r>
      <w:r w:rsidR="00385AA4">
        <w:t xml:space="preserve">there is a clear overlap with the indicators </w:t>
      </w:r>
      <w:r w:rsidR="0086437D">
        <w:t>measuring the existence of human rights policy and due diligence system as those are meant</w:t>
      </w:r>
      <w:r w:rsidR="00F445B1">
        <w:t xml:space="preserve"> </w:t>
      </w:r>
      <w:r w:rsidR="00720DBE">
        <w:t xml:space="preserve">to </w:t>
      </w:r>
      <w:r w:rsidR="00F445B1">
        <w:t xml:space="preserve">operationalise the responsibility of companies </w:t>
      </w:r>
      <w:r w:rsidR="00E92F0C">
        <w:t xml:space="preserve">to respect human rights </w:t>
      </w:r>
      <w:r w:rsidR="00F445B1">
        <w:t>under th</w:t>
      </w:r>
      <w:r w:rsidR="00E92F0C">
        <w:t xml:space="preserve">e </w:t>
      </w:r>
      <w:r w:rsidR="00F73795">
        <w:t xml:space="preserve">OECD Guidelines and UNGPs. </w:t>
      </w:r>
      <w:r>
        <w:t>The DIHR recommends</w:t>
      </w:r>
      <w:r w:rsidR="00F23F3F">
        <w:t xml:space="preserve"> clarifying what this indicator is meant to measure and replacing it with the more specific indicators in Table 3. If the indicator seeks to measure the existence </w:t>
      </w:r>
      <w:r w:rsidR="001A0D52">
        <w:t xml:space="preserve">of </w:t>
      </w:r>
      <w:r w:rsidR="00F23F3F">
        <w:t xml:space="preserve">grievance mechanisms, it </w:t>
      </w:r>
      <w:r w:rsidR="001A0D52">
        <w:t xml:space="preserve">should </w:t>
      </w:r>
      <w:r w:rsidR="00F23F3F">
        <w:t xml:space="preserve">be replaced with indicators 5, 19, 20 in </w:t>
      </w:r>
      <w:r w:rsidR="001A0D52">
        <w:t>T</w:t>
      </w:r>
      <w:r w:rsidR="00F23F3F">
        <w:t xml:space="preserve">able 3 </w:t>
      </w:r>
      <w:r w:rsidR="008A1C7A">
        <w:t>which should be made mandatory.</w:t>
      </w:r>
    </w:p>
    <w:p w14:paraId="7100C321" w14:textId="61BEC661" w:rsidR="009C41BB" w:rsidRDefault="00A25D17" w:rsidP="009C41BB">
      <w:r w:rsidRPr="002267E1">
        <w:rPr>
          <w:b/>
          <w:bCs/>
          <w:u w:val="single"/>
        </w:rPr>
        <w:t>Indicator 20</w:t>
      </w:r>
      <w:r w:rsidR="007E7FAB" w:rsidRPr="002267E1">
        <w:rPr>
          <w:b/>
          <w:bCs/>
          <w:u w:val="single"/>
        </w:rPr>
        <w:t>.</w:t>
      </w:r>
      <w:r>
        <w:t xml:space="preserve"> </w:t>
      </w:r>
      <w:r w:rsidR="00927EDD">
        <w:t xml:space="preserve">The formulation of this indicator is </w:t>
      </w:r>
      <w:r w:rsidR="00733F19">
        <w:t>unclear - c</w:t>
      </w:r>
      <w:r w:rsidR="00B46FB0">
        <w:t>ountrie</w:t>
      </w:r>
      <w:r w:rsidR="008472A6">
        <w:t>s cannot be subject to social violations</w:t>
      </w:r>
      <w:r w:rsidR="00733F19">
        <w:t xml:space="preserve">, </w:t>
      </w:r>
      <w:r w:rsidR="008472A6">
        <w:t>it is individuals and communities who usually are</w:t>
      </w:r>
      <w:r w:rsidR="008A0003">
        <w:t xml:space="preserve">. </w:t>
      </w:r>
      <w:r w:rsidR="00733F19">
        <w:t xml:space="preserve">It is assumed </w:t>
      </w:r>
      <w:r w:rsidR="008A0003">
        <w:t xml:space="preserve">that this indicator </w:t>
      </w:r>
      <w:r w:rsidR="00BC4385">
        <w:t>seeks</w:t>
      </w:r>
      <w:r w:rsidR="008A0003">
        <w:t xml:space="preserve"> to capture if </w:t>
      </w:r>
      <w:r w:rsidR="007C69D6">
        <w:t>FMPs are invested in</w:t>
      </w:r>
      <w:r w:rsidR="0003556C">
        <w:t xml:space="preserve"> governments that</w:t>
      </w:r>
      <w:r w:rsidR="007C69D6">
        <w:t xml:space="preserve"> </w:t>
      </w:r>
      <w:r w:rsidR="007F2561">
        <w:t>breach</w:t>
      </w:r>
      <w:r w:rsidR="001049C2">
        <w:t>ed</w:t>
      </w:r>
      <w:r w:rsidR="007F2561">
        <w:t xml:space="preserve"> human rights obligations under international human rights law</w:t>
      </w:r>
      <w:r w:rsidR="000267BA">
        <w:t xml:space="preserve"> and national law. </w:t>
      </w:r>
      <w:r w:rsidR="00664A69">
        <w:t>If that is the case</w:t>
      </w:r>
      <w:r w:rsidR="0003556C">
        <w:t>,</w:t>
      </w:r>
      <w:r w:rsidR="00664A69">
        <w:t xml:space="preserve"> </w:t>
      </w:r>
      <w:r w:rsidR="0010334A">
        <w:t>there are</w:t>
      </w:r>
      <w:r w:rsidR="007C69D6">
        <w:t xml:space="preserve"> inherent challenges</w:t>
      </w:r>
      <w:r w:rsidR="0003556C">
        <w:t xml:space="preserve"> </w:t>
      </w:r>
      <w:r w:rsidR="00654147">
        <w:t>when</w:t>
      </w:r>
      <w:r w:rsidR="0003556C">
        <w:t xml:space="preserve"> measuring this indicator</w:t>
      </w:r>
      <w:r w:rsidR="006A4BC5">
        <w:t xml:space="preserve">. First, there are </w:t>
      </w:r>
      <w:r w:rsidR="00192851">
        <w:t>numerous international instruments</w:t>
      </w:r>
      <w:r w:rsidR="00CC2D04">
        <w:t xml:space="preserve"> covering ´social issues´</w:t>
      </w:r>
      <w:r w:rsidR="003745B9">
        <w:t xml:space="preserve">. For example, there are 9 core human rights treaties, </w:t>
      </w:r>
      <w:r w:rsidR="004D2C51">
        <w:t xml:space="preserve">190 </w:t>
      </w:r>
      <w:r w:rsidR="0086646F">
        <w:t>ILO c</w:t>
      </w:r>
      <w:r w:rsidR="004D2C51">
        <w:t>onventions</w:t>
      </w:r>
      <w:r w:rsidR="0086646F">
        <w:t xml:space="preserve"> on labour rights and </w:t>
      </w:r>
      <w:r w:rsidR="00987A5D">
        <w:t xml:space="preserve">approximately 100 treaties </w:t>
      </w:r>
      <w:proofErr w:type="gramStart"/>
      <w:r w:rsidR="00987A5D">
        <w:t>in the area of</w:t>
      </w:r>
      <w:proofErr w:type="gramEnd"/>
      <w:r w:rsidR="00987A5D">
        <w:t xml:space="preserve"> humanitarian law. In</w:t>
      </w:r>
      <w:r w:rsidR="007E215D">
        <w:t xml:space="preserve"> the absence of specification of which</w:t>
      </w:r>
      <w:r w:rsidR="00420FB3">
        <w:t xml:space="preserve"> international treaties and conventions</w:t>
      </w:r>
      <w:r w:rsidR="007E215D">
        <w:t xml:space="preserve"> should be considered</w:t>
      </w:r>
      <w:r w:rsidR="00987A5D">
        <w:t>,</w:t>
      </w:r>
      <w:r w:rsidR="007E215D">
        <w:t xml:space="preserve"> </w:t>
      </w:r>
      <w:r w:rsidR="002F1920">
        <w:t>FMPs</w:t>
      </w:r>
      <w:r w:rsidR="007F2AC1">
        <w:t xml:space="preserve"> </w:t>
      </w:r>
      <w:r w:rsidR="00654147">
        <w:t>and data provide</w:t>
      </w:r>
      <w:r w:rsidR="00D84DF0">
        <w:t>r</w:t>
      </w:r>
      <w:r w:rsidR="00654147">
        <w:t>s</w:t>
      </w:r>
      <w:r w:rsidR="00987A5D">
        <w:t xml:space="preserve"> have ample room for discretion in interpreting this </w:t>
      </w:r>
      <w:r w:rsidR="00411F92">
        <w:t>indicator</w:t>
      </w:r>
      <w:r w:rsidR="00D3142C">
        <w:t>,</w:t>
      </w:r>
      <w:r w:rsidR="00654147">
        <w:t xml:space="preserve"> which risks undermining the comparability of data</w:t>
      </w:r>
      <w:r w:rsidR="007E215D">
        <w:t>.</w:t>
      </w:r>
      <w:r w:rsidR="006221BA">
        <w:t xml:space="preserve"> </w:t>
      </w:r>
      <w:r w:rsidR="00D84DF0">
        <w:t>Moreover, the sheer diversity of</w:t>
      </w:r>
      <w:r w:rsidR="00EC3CE5">
        <w:t xml:space="preserve"> human rights</w:t>
      </w:r>
      <w:r w:rsidR="00D84DF0">
        <w:t xml:space="preserve"> </w:t>
      </w:r>
      <w:r w:rsidR="00474BDD">
        <w:t xml:space="preserve">issues that this indicator can potentially </w:t>
      </w:r>
      <w:r w:rsidR="00EC3CE5">
        <w:t>measure</w:t>
      </w:r>
      <w:r w:rsidR="00AE7377">
        <w:t xml:space="preserve"> </w:t>
      </w:r>
      <w:r w:rsidR="00A54D76">
        <w:t xml:space="preserve">eventually </w:t>
      </w:r>
      <w:r w:rsidR="00AE7377">
        <w:t xml:space="preserve">renders it </w:t>
      </w:r>
      <w:r w:rsidR="00C246FA">
        <w:t>an unreliable</w:t>
      </w:r>
      <w:r w:rsidR="0072304E">
        <w:t xml:space="preserve"> </w:t>
      </w:r>
      <w:r w:rsidR="00A54D76">
        <w:t xml:space="preserve">proxy </w:t>
      </w:r>
      <w:r w:rsidR="0072304E">
        <w:t>for</w:t>
      </w:r>
      <w:r w:rsidR="00A54D76">
        <w:t xml:space="preserve"> </w:t>
      </w:r>
      <w:r w:rsidR="0072304E">
        <w:t>the</w:t>
      </w:r>
      <w:r w:rsidR="00273D3F">
        <w:t xml:space="preserve"> seriousness of adverse sustainability impacts of</w:t>
      </w:r>
      <w:r w:rsidR="00C246FA">
        <w:t xml:space="preserve"> different</w:t>
      </w:r>
      <w:r w:rsidR="00273D3F">
        <w:t xml:space="preserve"> FMPs</w:t>
      </w:r>
      <w:r w:rsidR="00280EF7">
        <w:t xml:space="preserve">. </w:t>
      </w:r>
      <w:r w:rsidR="00981D4A">
        <w:t xml:space="preserve">Second, </w:t>
      </w:r>
      <w:r w:rsidR="005074A3">
        <w:t xml:space="preserve">it is unclear </w:t>
      </w:r>
      <w:r w:rsidR="00362D42">
        <w:t xml:space="preserve">what sources </w:t>
      </w:r>
      <w:r w:rsidR="00C246FA">
        <w:t xml:space="preserve">should be used </w:t>
      </w:r>
      <w:r w:rsidR="00D16F4E">
        <w:t>to</w:t>
      </w:r>
      <w:r w:rsidR="00C246FA">
        <w:t xml:space="preserve"> ascertain the existence of a violation – </w:t>
      </w:r>
      <w:proofErr w:type="gramStart"/>
      <w:r w:rsidR="00C246FA">
        <w:t>e.g.</w:t>
      </w:r>
      <w:proofErr w:type="gramEnd"/>
      <w:r w:rsidR="00C246FA">
        <w:t xml:space="preserve"> a court case with a </w:t>
      </w:r>
      <w:r w:rsidR="009F7657">
        <w:t>final ruling, a</w:t>
      </w:r>
      <w:r w:rsidR="00D16F4E">
        <w:t xml:space="preserve"> finding of non-compliance by a non-judicial body such </w:t>
      </w:r>
      <w:r w:rsidR="00C86F65">
        <w:t xml:space="preserve">as </w:t>
      </w:r>
      <w:r w:rsidR="00411F92">
        <w:t xml:space="preserve">a </w:t>
      </w:r>
      <w:r w:rsidR="00C86F65">
        <w:t>UN</w:t>
      </w:r>
      <w:r w:rsidR="00D16F4E">
        <w:t xml:space="preserve"> treaty bod</w:t>
      </w:r>
      <w:r w:rsidR="00411F92">
        <w:t>y</w:t>
      </w:r>
      <w:r w:rsidR="00C86F65">
        <w:t xml:space="preserve">, </w:t>
      </w:r>
      <w:r w:rsidR="0082609D">
        <w:t>a report documenting violations by a reputa</w:t>
      </w:r>
      <w:r w:rsidR="001868B0">
        <w:t xml:space="preserve">ble </w:t>
      </w:r>
      <w:r w:rsidR="0082609D">
        <w:t xml:space="preserve">civil society organisation. </w:t>
      </w:r>
      <w:r w:rsidR="000248DD">
        <w:t xml:space="preserve">In the absence of clarification of how violations should be identified, </w:t>
      </w:r>
      <w:r w:rsidR="00C30D81">
        <w:t xml:space="preserve">the approaches taken by </w:t>
      </w:r>
      <w:r w:rsidR="00DD6057">
        <w:t xml:space="preserve">FMPs and data providers </w:t>
      </w:r>
      <w:r w:rsidR="00C30D81">
        <w:t>will probably be inconsistent and vary from year to year and country to country</w:t>
      </w:r>
      <w:r w:rsidR="00913440">
        <w:t>.</w:t>
      </w:r>
      <w:r w:rsidR="00C30D81">
        <w:t xml:space="preserve"> </w:t>
      </w:r>
      <w:r w:rsidR="007379DC">
        <w:t xml:space="preserve">Given the formulation and measurement </w:t>
      </w:r>
      <w:r w:rsidR="00C7789C">
        <w:t>challenges outlined, we recommend that</w:t>
      </w:r>
      <w:r w:rsidR="003220BB">
        <w:t xml:space="preserve"> this indicator </w:t>
      </w:r>
      <w:r w:rsidR="00C7789C">
        <w:t xml:space="preserve">be replaced </w:t>
      </w:r>
      <w:r w:rsidR="007D47C1">
        <w:t xml:space="preserve">with several indicators measuring specific aspects of a country´s human rights </w:t>
      </w:r>
      <w:r w:rsidR="006A2D40">
        <w:t xml:space="preserve">performance based on publicly </w:t>
      </w:r>
      <w:r w:rsidR="002D1B99">
        <w:t>available</w:t>
      </w:r>
      <w:r w:rsidR="006A2D40">
        <w:t xml:space="preserve"> methodologies. </w:t>
      </w:r>
      <w:r w:rsidR="00DD348F">
        <w:t xml:space="preserve">The Principle for Responsible Investment has published a report on </w:t>
      </w:r>
      <w:hyperlink r:id="rId16">
        <w:r w:rsidR="00DD348F" w:rsidRPr="07652243">
          <w:rPr>
            <w:rStyle w:val="Hyperlink"/>
          </w:rPr>
          <w:t>Human Rights in Sovereign Debt</w:t>
        </w:r>
      </w:hyperlink>
      <w:r w:rsidR="00DD348F">
        <w:t xml:space="preserve"> which includes </w:t>
      </w:r>
      <w:r w:rsidR="00846432">
        <w:t xml:space="preserve">a list of indicators and data sources </w:t>
      </w:r>
      <w:r w:rsidR="006E7DF1">
        <w:t>that can be used to inform the revision of this indicator</w:t>
      </w:r>
      <w:r w:rsidR="00B7758D">
        <w:t xml:space="preserve"> (see p. 10 in that report)</w:t>
      </w:r>
      <w:r w:rsidR="006E7DF1">
        <w:t xml:space="preserve">. </w:t>
      </w:r>
      <w:r w:rsidR="002A6862">
        <w:t xml:space="preserve"> </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Pr="00FB35FF" w:rsidRDefault="009C41BB">
      <w:pPr>
        <w:pStyle w:val="Questionstyle"/>
        <w:numPr>
          <w:ilvl w:val="0"/>
          <w:numId w:val="2"/>
        </w:numPr>
      </w:pPr>
      <w:bookmarkStart w:id="5" w:name="_Hlk131609834"/>
      <w:r w:rsidRPr="00FB35FF">
        <w:lastRenderedPageBreak/>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3988E69B" w:rsidR="009C41BB" w:rsidRDefault="00AC2EF8" w:rsidP="009C41BB">
      <w:permStart w:id="887372501" w:edGrp="everyone"/>
      <w:r>
        <w:t>Y</w:t>
      </w:r>
      <w:r w:rsidR="002B02B0">
        <w:t xml:space="preserve">es, the DIHR encourages the regulator to </w:t>
      </w:r>
      <w:r w:rsidR="00AE5DC0">
        <w:t xml:space="preserve">develop </w:t>
      </w:r>
      <w:r w:rsidR="005C7943">
        <w:t>PAI indicators</w:t>
      </w:r>
      <w:r w:rsidR="00F84C30">
        <w:t xml:space="preserve"> for the companies managing real estate assets. </w:t>
      </w:r>
      <w:r w:rsidR="002E07BD">
        <w:t xml:space="preserve">Human rights organisations have raised concerns about the impacts </w:t>
      </w:r>
      <w:r w:rsidR="00402973">
        <w:t xml:space="preserve">that the increasing </w:t>
      </w:r>
      <w:proofErr w:type="spellStart"/>
      <w:r w:rsidR="00402973">
        <w:t>financialisation</w:t>
      </w:r>
      <w:proofErr w:type="spellEnd"/>
      <w:r w:rsidR="00402973">
        <w:t xml:space="preserve"> of housing (</w:t>
      </w:r>
      <w:proofErr w:type="spellStart"/>
      <w:proofErr w:type="gramStart"/>
      <w:r w:rsidR="00C92FEE">
        <w:t>i.</w:t>
      </w:r>
      <w:r w:rsidR="00402973">
        <w:t>e</w:t>
      </w:r>
      <w:proofErr w:type="spellEnd"/>
      <w:r w:rsidR="00402973">
        <w:t>,</w:t>
      </w:r>
      <w:r w:rsidR="00C92FEE">
        <w:t>.</w:t>
      </w:r>
      <w:proofErr w:type="gramEnd"/>
      <w:r w:rsidR="00C92FEE">
        <w:t xml:space="preserve"> the purchase of real estate assets by financial institutions)</w:t>
      </w:r>
      <w:r w:rsidR="00AE5DC0">
        <w:t xml:space="preserve"> </w:t>
      </w:r>
      <w:r w:rsidR="006D7CCA">
        <w:t xml:space="preserve">has on the affordability and </w:t>
      </w:r>
      <w:r w:rsidR="00D71F5B">
        <w:t>av</w:t>
      </w:r>
      <w:r w:rsidR="009942DA">
        <w:t>ailability of housing, especially for low-income and vulnerable groups</w:t>
      </w:r>
      <w:r w:rsidR="000356F2">
        <w:t xml:space="preserve"> (for an overview see the </w:t>
      </w:r>
      <w:hyperlink r:id="rId17" w:history="1">
        <w:r w:rsidR="00146720" w:rsidRPr="001B673F">
          <w:rPr>
            <w:rStyle w:val="Hyperlink"/>
          </w:rPr>
          <w:t>Shift Directives</w:t>
        </w:r>
        <w:r w:rsidR="006637BC" w:rsidRPr="001B673F">
          <w:rPr>
            <w:rStyle w:val="Hyperlink"/>
          </w:rPr>
          <w:t xml:space="preserve">. From financialised to human </w:t>
        </w:r>
        <w:proofErr w:type="gramStart"/>
        <w:r w:rsidR="006637BC" w:rsidRPr="001B673F">
          <w:rPr>
            <w:rStyle w:val="Hyperlink"/>
          </w:rPr>
          <w:t>rights based</w:t>
        </w:r>
        <w:proofErr w:type="gramEnd"/>
        <w:r w:rsidR="006637BC" w:rsidRPr="001B673F">
          <w:rPr>
            <w:rStyle w:val="Hyperlink"/>
          </w:rPr>
          <w:t xml:space="preserve"> h</w:t>
        </w:r>
        <w:r w:rsidR="00933977" w:rsidRPr="001B673F">
          <w:rPr>
            <w:rStyle w:val="Hyperlink"/>
          </w:rPr>
          <w:t>o</w:t>
        </w:r>
        <w:r w:rsidR="006637BC" w:rsidRPr="001B673F">
          <w:rPr>
            <w:rStyle w:val="Hyperlink"/>
          </w:rPr>
          <w:t>using</w:t>
        </w:r>
      </w:hyperlink>
      <w:r w:rsidR="00933977">
        <w:t>).</w:t>
      </w:r>
      <w:r w:rsidR="00FB61AC">
        <w:t xml:space="preserve"> </w:t>
      </w:r>
      <w:r w:rsidR="00DE62FF">
        <w:t>The DIHR recommends that</w:t>
      </w:r>
      <w:r w:rsidR="0083282E">
        <w:t xml:space="preserve">, at the very least, real estate companies should report on </w:t>
      </w:r>
      <w:r w:rsidR="00192107">
        <w:t xml:space="preserve">whether </w:t>
      </w:r>
      <w:r w:rsidR="00D565AC">
        <w:t>their human rights policies include a commitment to the right to adeq</w:t>
      </w:r>
      <w:r w:rsidR="00357552">
        <w:t>uate housing</w:t>
      </w:r>
      <w:r w:rsidR="00D06BD5">
        <w:t xml:space="preserve"> (as </w:t>
      </w:r>
      <w:r w:rsidR="00A42AD2">
        <w:t>understood in art 11.1</w:t>
      </w:r>
      <w:r w:rsidR="001F62BD">
        <w:t xml:space="preserve"> </w:t>
      </w:r>
      <w:r w:rsidR="00A42AD2">
        <w:t>of the International Covenant on Economic, Social and Cultural Rights)</w:t>
      </w:r>
      <w:r w:rsidR="0087251E">
        <w:t xml:space="preserve">, whether they have </w:t>
      </w:r>
      <w:r w:rsidR="00A64D9B">
        <w:t xml:space="preserve">a </w:t>
      </w:r>
      <w:r w:rsidR="005B327F">
        <w:t xml:space="preserve">human rights </w:t>
      </w:r>
      <w:r w:rsidR="0087251E">
        <w:t xml:space="preserve">due diligence </w:t>
      </w:r>
      <w:r w:rsidR="00A64D9B">
        <w:t xml:space="preserve">process in place </w:t>
      </w:r>
      <w:r w:rsidR="001F7C75">
        <w:t>and whether</w:t>
      </w:r>
      <w:r w:rsidR="0083282E">
        <w:t xml:space="preserve"> </w:t>
      </w:r>
      <w:r w:rsidR="001F7C75">
        <w:t xml:space="preserve">they have grievance mechanisms </w:t>
      </w:r>
      <w:r w:rsidR="00A64D9B">
        <w:t xml:space="preserve">where </w:t>
      </w:r>
      <w:r w:rsidR="00A81607">
        <w:t>affected tenants can lodge complaints</w:t>
      </w:r>
      <w:r w:rsidR="005B327F">
        <w:t xml:space="preserve"> about the </w:t>
      </w:r>
      <w:r w:rsidR="00A66CEE">
        <w:t>a</w:t>
      </w:r>
      <w:r w:rsidR="00C35EB3">
        <w:t xml:space="preserve">ffordability, security of tenure, </w:t>
      </w:r>
      <w:r w:rsidR="00C17DDF">
        <w:t>habitability</w:t>
      </w:r>
      <w:r w:rsidR="00372FC1">
        <w:t xml:space="preserve"> and</w:t>
      </w:r>
      <w:r w:rsidR="0000450C">
        <w:t xml:space="preserve"> </w:t>
      </w:r>
      <w:r w:rsidR="00C17DDF">
        <w:t xml:space="preserve">accessibility </w:t>
      </w:r>
      <w:r w:rsidR="00372FC1">
        <w:t>of housing.</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pPr>
        <w:pStyle w:val="Questionstyle"/>
        <w:numPr>
          <w:ilvl w:val="0"/>
          <w:numId w:val="2"/>
        </w:numPr>
      </w:pPr>
      <w:bookmarkStart w:id="6"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pPr>
        <w:pStyle w:val="Questionstyle"/>
        <w:numPr>
          <w:ilvl w:val="0"/>
          <w:numId w:val="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pPr>
        <w:pStyle w:val="Questionstyle"/>
        <w:numPr>
          <w:ilvl w:val="0"/>
          <w:numId w:val="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lastRenderedPageBreak/>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pPr>
        <w:pStyle w:val="Questionstyle"/>
        <w:numPr>
          <w:ilvl w:val="0"/>
          <w:numId w:val="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77777777" w:rsidR="009C41BB" w:rsidRDefault="009C41BB" w:rsidP="009C41BB">
      <w:permStart w:id="1591695117" w:edGrp="everyone"/>
      <w:r>
        <w:t>TYPE YOUR TEXT HERE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pPr>
        <w:pStyle w:val="Questionstyle"/>
        <w:numPr>
          <w:ilvl w:val="0"/>
          <w:numId w:val="2"/>
        </w:numPr>
      </w:pPr>
      <w:bookmarkStart w:id="10" w:name="_Hlk131609841"/>
      <w:r>
        <w:t xml:space="preserve">: </w:t>
      </w:r>
      <w:r w:rsidRPr="00FB35FF">
        <w:t>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55A94A1" w14:textId="619236E0" w:rsidR="009C41BB" w:rsidRDefault="000327E2" w:rsidP="009C41BB">
      <w:permStart w:id="1653823566" w:edGrp="everyone"/>
      <w:r>
        <w:t xml:space="preserve">Yes, </w:t>
      </w:r>
      <w:r w:rsidR="00E71C86">
        <w:t xml:space="preserve">the DIHR agrees with this approach as it would </w:t>
      </w:r>
      <w:r w:rsidR="0084718D">
        <w:t>increase transparency on data collection.</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pPr>
        <w:pStyle w:val="Questionstyle"/>
        <w:numPr>
          <w:ilvl w:val="0"/>
          <w:numId w:val="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Pr="00FB35FF" w:rsidRDefault="009C41BB">
      <w:pPr>
        <w:pStyle w:val="Questionstyle"/>
        <w:numPr>
          <w:ilvl w:val="0"/>
          <w:numId w:val="2"/>
        </w:numPr>
      </w:pPr>
      <w:r w:rsidRPr="00FB35FF">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438BD836" w:rsidR="009C41BB" w:rsidRDefault="009C41BB" w:rsidP="009C41BB">
      <w:permStart w:id="1426525783" w:edGrp="everyone"/>
      <w:r>
        <w:lastRenderedPageBreak/>
        <w:t>TYPE YOUR TEXT HERE</w:t>
      </w:r>
    </w:p>
    <w:p w14:paraId="602C3180" w14:textId="2A8E1B06" w:rsidR="000F45B5" w:rsidRDefault="00671687" w:rsidP="009C41BB">
      <w:r>
        <w:t>T</w:t>
      </w:r>
      <w:r w:rsidR="00E073A3">
        <w:t>he DIHR</w:t>
      </w:r>
      <w:r w:rsidR="002463AD">
        <w:t xml:space="preserve"> endorses </w:t>
      </w:r>
      <w:r w:rsidR="00712358">
        <w:t>th</w:t>
      </w:r>
      <w:r w:rsidR="004F5009">
        <w:t xml:space="preserve">e regulator´s objective to seek policy coherence with other regulations such as the CSRD. </w:t>
      </w:r>
      <w:r w:rsidR="002B72B3">
        <w:t>According to the draft ESRS published by EFRAG</w:t>
      </w:r>
      <w:r w:rsidR="00A5495C">
        <w:t xml:space="preserve">, the disclosure of value chain data </w:t>
      </w:r>
      <w:r w:rsidR="00C7286E">
        <w:t xml:space="preserve">for workers, communities and </w:t>
      </w:r>
      <w:r w:rsidR="008E44EE">
        <w:t>consum</w:t>
      </w:r>
      <w:r w:rsidR="00B974A7">
        <w:t>ers/</w:t>
      </w:r>
      <w:r w:rsidR="00C7286E">
        <w:t xml:space="preserve">end user is </w:t>
      </w:r>
      <w:r w:rsidR="007E0BED">
        <w:t xml:space="preserve">dependent upon a </w:t>
      </w:r>
      <w:r w:rsidR="0062415C">
        <w:t>double materiality assessment.</w:t>
      </w:r>
      <w:r w:rsidR="00D570FA">
        <w:t xml:space="preserve"> </w:t>
      </w:r>
      <w:r w:rsidR="00F86C48">
        <w:t xml:space="preserve">However, the DIHR </w:t>
      </w:r>
      <w:r w:rsidR="00AB2588">
        <w:t xml:space="preserve">notes </w:t>
      </w:r>
      <w:r w:rsidR="008C1DFC">
        <w:t>that companies in scope of CSRD have discretion in conducting and justifying their double materiality assessments and</w:t>
      </w:r>
      <w:r w:rsidR="007F4B45">
        <w:t xml:space="preserve"> that there will be situations when </w:t>
      </w:r>
      <w:r w:rsidR="006515A8">
        <w:t xml:space="preserve">material value chain human rights risks might not be identified and reported on. </w:t>
      </w:r>
      <w:r w:rsidR="008C1DFC">
        <w:t xml:space="preserve"> </w:t>
      </w:r>
      <w:r w:rsidR="00BF7327">
        <w:t xml:space="preserve">Moreover, </w:t>
      </w:r>
      <w:r w:rsidR="00911E65">
        <w:t xml:space="preserve">recital 3 in the draft RTS in the consultation paper </w:t>
      </w:r>
      <w:r w:rsidR="00AB2588">
        <w:t>implies</w:t>
      </w:r>
      <w:r w:rsidR="00911E65">
        <w:t xml:space="preserve"> that </w:t>
      </w:r>
      <w:r w:rsidR="00D43F9F">
        <w:t xml:space="preserve">investors can use </w:t>
      </w:r>
      <w:r w:rsidR="006D585F">
        <w:t>other sour</w:t>
      </w:r>
      <w:r w:rsidR="001A4991">
        <w:t>ces of data</w:t>
      </w:r>
      <w:r w:rsidR="00532197">
        <w:t xml:space="preserve"> </w:t>
      </w:r>
      <w:r w:rsidR="008B5210">
        <w:t xml:space="preserve">such as </w:t>
      </w:r>
      <w:proofErr w:type="gramStart"/>
      <w:r w:rsidR="008B5210">
        <w:t>third party</w:t>
      </w:r>
      <w:proofErr w:type="gramEnd"/>
      <w:r w:rsidR="008B5210">
        <w:t xml:space="preserve"> data providers</w:t>
      </w:r>
      <w:r w:rsidR="001A4991">
        <w:t>- rather than strictly company report</w:t>
      </w:r>
      <w:r w:rsidR="00532197">
        <w:t>ed data</w:t>
      </w:r>
      <w:r w:rsidR="001A4991">
        <w:t xml:space="preserve"> </w:t>
      </w:r>
      <w:r w:rsidR="00DB6ABC">
        <w:t>–</w:t>
      </w:r>
      <w:r w:rsidR="001A4991">
        <w:t xml:space="preserve"> </w:t>
      </w:r>
      <w:r w:rsidR="00130E28">
        <w:t>in the case of</w:t>
      </w:r>
      <w:r w:rsidR="00DB6ABC">
        <w:t xml:space="preserve"> companies not subject to CSRD.</w:t>
      </w:r>
      <w:r w:rsidR="00E7079E">
        <w:t xml:space="preserve"> </w:t>
      </w:r>
      <w:r w:rsidR="00287589">
        <w:t xml:space="preserve">The DIHR welcomes the suggestion that investors should </w:t>
      </w:r>
      <w:r w:rsidR="00722D01">
        <w:t xml:space="preserve">seek other data </w:t>
      </w:r>
      <w:proofErr w:type="gramStart"/>
      <w:r w:rsidR="00722D01">
        <w:t>sou</w:t>
      </w:r>
      <w:r w:rsidR="00105528">
        <w:t>r</w:t>
      </w:r>
      <w:r w:rsidR="00722D01">
        <w:t>ces, but</w:t>
      </w:r>
      <w:proofErr w:type="gramEnd"/>
      <w:r w:rsidR="00722D01">
        <w:t xml:space="preserve"> </w:t>
      </w:r>
      <w:r w:rsidR="00105528">
        <w:t>cautions against</w:t>
      </w:r>
      <w:r w:rsidR="009A08A4">
        <w:t xml:space="preserve"> restricting</w:t>
      </w:r>
      <w:r w:rsidR="00105528">
        <w:t xml:space="preserve"> this approach to companies not in scope of CS</w:t>
      </w:r>
      <w:r w:rsidR="00587DD1">
        <w:t>RD</w:t>
      </w:r>
      <w:r w:rsidR="00105528">
        <w:t xml:space="preserve">.  </w:t>
      </w:r>
      <w:r w:rsidR="006263E5">
        <w:t xml:space="preserve">In </w:t>
      </w:r>
      <w:r w:rsidR="00693770">
        <w:t>accordance with international standards</w:t>
      </w:r>
      <w:r w:rsidR="006263E5">
        <w:t xml:space="preserve">, investors should be encouraged to </w:t>
      </w:r>
      <w:r w:rsidR="004E5233">
        <w:t xml:space="preserve">seek data from </w:t>
      </w:r>
      <w:r w:rsidR="00A828EA">
        <w:t xml:space="preserve">different </w:t>
      </w:r>
      <w:r w:rsidR="00513715">
        <w:t xml:space="preserve">and multiple </w:t>
      </w:r>
      <w:r w:rsidR="00A828EA">
        <w:t>source</w:t>
      </w:r>
      <w:r w:rsidR="00173ED9">
        <w:t>s</w:t>
      </w:r>
      <w:r w:rsidR="008155E6">
        <w:t xml:space="preserve"> (</w:t>
      </w:r>
      <w:proofErr w:type="gramStart"/>
      <w:r w:rsidR="008155E6">
        <w:t>e.g.</w:t>
      </w:r>
      <w:proofErr w:type="gramEnd"/>
      <w:r w:rsidR="008155E6">
        <w:t xml:space="preserve"> corporate reporting, third party data providers, civil society organisations)</w:t>
      </w:r>
      <w:r w:rsidR="00DA07A8">
        <w:t xml:space="preserve"> </w:t>
      </w:r>
      <w:r w:rsidR="00513715">
        <w:t>to improve their ability to identif</w:t>
      </w:r>
      <w:r w:rsidR="00BC390A">
        <w:t>y,</w:t>
      </w:r>
      <w:r w:rsidR="00513715">
        <w:t xml:space="preserve"> prioritise </w:t>
      </w:r>
      <w:r w:rsidR="00BC390A">
        <w:t xml:space="preserve">and address </w:t>
      </w:r>
      <w:r w:rsidR="00582DBD">
        <w:t xml:space="preserve">their principal </w:t>
      </w:r>
      <w:r w:rsidR="00575C3F">
        <w:t>adverse impacts</w:t>
      </w:r>
      <w:r w:rsidR="00BC390A">
        <w:t>.</w:t>
      </w:r>
      <w:r w:rsidR="00F603A4">
        <w:t xml:space="preserve"> </w:t>
      </w:r>
      <w:r w:rsidR="000F4DCF">
        <w:t xml:space="preserve">We recommend that </w:t>
      </w:r>
      <w:r w:rsidR="00F220EF">
        <w:t>the RTS</w:t>
      </w:r>
      <w:r w:rsidR="00267890">
        <w:t xml:space="preserve"> should be ame</w:t>
      </w:r>
      <w:r w:rsidR="004E338C">
        <w:t xml:space="preserve">nded to clarify that </w:t>
      </w:r>
      <w:r w:rsidR="006E0F91">
        <w:t xml:space="preserve">value chain data </w:t>
      </w:r>
      <w:r w:rsidR="00F62709">
        <w:t xml:space="preserve">for all investee companies </w:t>
      </w:r>
      <w:r w:rsidR="006E0F91">
        <w:t xml:space="preserve">should be included </w:t>
      </w:r>
      <w:r w:rsidR="007D253D">
        <w:t xml:space="preserve">if </w:t>
      </w:r>
      <w:r w:rsidR="008C4C4A">
        <w:t>data is available</w:t>
      </w:r>
      <w:r w:rsidR="00FC4796">
        <w:t xml:space="preserve"> without </w:t>
      </w:r>
      <w:r w:rsidR="00693770">
        <w:t>being pre</w:t>
      </w:r>
      <w:r w:rsidR="0096391C">
        <w:t>scriptive as to</w:t>
      </w:r>
      <w:r w:rsidR="008A4E17">
        <w:t xml:space="preserve"> </w:t>
      </w:r>
      <w:r w:rsidR="0071264B">
        <w:t>which sources inve</w:t>
      </w:r>
      <w:r w:rsidR="008155E6">
        <w:t>s</w:t>
      </w:r>
      <w:r w:rsidR="0071264B">
        <w:t>tors should use</w:t>
      </w:r>
      <w:r w:rsidR="003142FF">
        <w:t>.</w:t>
      </w:r>
    </w:p>
    <w:p w14:paraId="3540E236" w14:textId="0B11D5F9" w:rsidR="008227D4" w:rsidRDefault="00D70778" w:rsidP="009C41BB">
      <w:r>
        <w:t xml:space="preserve">Finally, the DIHR </w:t>
      </w:r>
      <w:r w:rsidR="0087414F">
        <w:t xml:space="preserve">encourages the regulator to </w:t>
      </w:r>
      <w:r w:rsidR="00FC4EA6">
        <w:t xml:space="preserve">assess whether </w:t>
      </w:r>
      <w:r w:rsidR="00C21A9B">
        <w:t xml:space="preserve">FMPs should be required </w:t>
      </w:r>
      <w:r w:rsidR="005E1CB7">
        <w:t xml:space="preserve">to report </w:t>
      </w:r>
      <w:r w:rsidR="003A57D3">
        <w:t xml:space="preserve">separately on indicators for </w:t>
      </w:r>
      <w:r w:rsidR="0062045C">
        <w:t>value chain performance</w:t>
      </w:r>
      <w:r w:rsidR="006A2A08">
        <w:t xml:space="preserve">. </w:t>
      </w:r>
      <w:r w:rsidR="00394684">
        <w:t>This</w:t>
      </w:r>
      <w:r w:rsidR="006A2A08">
        <w:t xml:space="preserve"> would add a layer of granu</w:t>
      </w:r>
      <w:r w:rsidR="716A0FD4">
        <w:t>l</w:t>
      </w:r>
      <w:r w:rsidR="006A2A08">
        <w:t>a</w:t>
      </w:r>
      <w:r w:rsidR="03A7A9EE">
        <w:t>r</w:t>
      </w:r>
      <w:r w:rsidR="006A2A08">
        <w:t xml:space="preserve">ity to the date reported </w:t>
      </w:r>
      <w:r w:rsidR="00E27A59">
        <w:t>which</w:t>
      </w:r>
      <w:r w:rsidR="006A2A08">
        <w:t xml:space="preserve"> </w:t>
      </w:r>
      <w:r w:rsidR="0026111F">
        <w:t>has the advantage of enabling</w:t>
      </w:r>
      <w:r w:rsidR="00676727">
        <w:t xml:space="preserve"> end </w:t>
      </w:r>
      <w:r w:rsidR="0026111F">
        <w:t>investors</w:t>
      </w:r>
      <w:r w:rsidR="00676727">
        <w:t xml:space="preserve"> to assess </w:t>
      </w:r>
      <w:r w:rsidR="00D212D6">
        <w:t xml:space="preserve">the </w:t>
      </w:r>
      <w:r w:rsidR="000D24DE">
        <w:t>nature of</w:t>
      </w:r>
      <w:r w:rsidR="00095917">
        <w:t xml:space="preserve"> human rights </w:t>
      </w:r>
      <w:r w:rsidR="00CE2A23">
        <w:t>impacts</w:t>
      </w:r>
      <w:r w:rsidR="00095917">
        <w:t xml:space="preserve"> in FMPs´</w:t>
      </w:r>
      <w:r w:rsidR="34C756D2">
        <w:t xml:space="preserve"> </w:t>
      </w:r>
      <w:r w:rsidR="00095917">
        <w:t>portfolio</w:t>
      </w:r>
      <w:r w:rsidR="000D24DE">
        <w:t>s</w:t>
      </w:r>
      <w:r w:rsidR="000A1202">
        <w:t xml:space="preserve">, including </w:t>
      </w:r>
      <w:r w:rsidR="00016409">
        <w:t xml:space="preserve">whether </w:t>
      </w:r>
      <w:r w:rsidR="00CE2A23">
        <w:t xml:space="preserve">policies to identify and prioritise impacts and </w:t>
      </w:r>
      <w:r w:rsidR="00EC2EA7">
        <w:t>engagement policies</w:t>
      </w:r>
      <w:r w:rsidR="00D04734">
        <w:t xml:space="preserve"> (as pert art</w:t>
      </w:r>
      <w:r w:rsidR="004A60D2">
        <w:t xml:space="preserve"> 7 and 8 of RTS)</w:t>
      </w:r>
      <w:r w:rsidR="00EC2EA7">
        <w:t xml:space="preserve"> are </w:t>
      </w:r>
      <w:r w:rsidR="00066F47">
        <w:t xml:space="preserve">well </w:t>
      </w:r>
      <w:r w:rsidR="00095917">
        <w:t xml:space="preserve">geared towards addressing those </w:t>
      </w:r>
      <w:r w:rsidR="000A1202">
        <w:t>impacts</w:t>
      </w:r>
      <w:r w:rsidR="002A0FB0">
        <w:t>.</w:t>
      </w:r>
    </w:p>
    <w:p w14:paraId="2BC3D6A7" w14:textId="69F11129" w:rsidR="00F416DF" w:rsidRDefault="0062415C" w:rsidP="009C41BB">
      <w:r>
        <w:t xml:space="preserve"> </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pPr>
        <w:pStyle w:val="Questionstyle"/>
        <w:numPr>
          <w:ilvl w:val="0"/>
          <w:numId w:val="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pPr>
        <w:pStyle w:val="Questionstyle"/>
        <w:numPr>
          <w:ilvl w:val="0"/>
          <w:numId w:val="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lastRenderedPageBreak/>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pPr>
        <w:pStyle w:val="Questionstyle"/>
        <w:numPr>
          <w:ilvl w:val="0"/>
          <w:numId w:val="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pPr>
        <w:pStyle w:val="Questionstyle"/>
        <w:numPr>
          <w:ilvl w:val="0"/>
          <w:numId w:val="2"/>
        </w:numPr>
      </w:pPr>
      <w:r>
        <w:t>: Do you agree with the ESAs’ assessment of the DNSH framework under SFDR?</w:t>
      </w:r>
    </w:p>
    <w:p w14:paraId="4F8008B2" w14:textId="77777777" w:rsidR="009C41BB" w:rsidRDefault="009C41BB" w:rsidP="009C41BB">
      <w:r>
        <w:t>&lt;ESMA_QUESTION_SFDR_17&gt;</w:t>
      </w:r>
    </w:p>
    <w:p w14:paraId="7DDA6D60" w14:textId="77777777" w:rsidR="009C41BB" w:rsidRDefault="009C41BB" w:rsidP="009C41BB">
      <w:permStart w:id="791154279" w:edGrp="everyone"/>
      <w:r>
        <w:t>TYPE YOUR TEXT HERE</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pPr>
        <w:pStyle w:val="Questionstyle"/>
        <w:numPr>
          <w:ilvl w:val="0"/>
          <w:numId w:val="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77777777" w:rsidR="009C41BB" w:rsidRDefault="009C41BB" w:rsidP="009C41BB">
      <w:permStart w:id="984368250" w:edGrp="everyone"/>
      <w:r>
        <w:t>TYPE YOUR TEXT HERE</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pPr>
        <w:pStyle w:val="Questionstyle"/>
        <w:numPr>
          <w:ilvl w:val="0"/>
          <w:numId w:val="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77777777" w:rsidR="009C41BB" w:rsidRDefault="009C41BB" w:rsidP="009C41BB">
      <w:permStart w:id="403253184" w:edGrp="everyone"/>
      <w:r>
        <w:t>TYPE YOUR TEXT HERE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pPr>
        <w:pStyle w:val="Questionstyle"/>
        <w:numPr>
          <w:ilvl w:val="0"/>
          <w:numId w:val="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7777777" w:rsidR="009C41BB" w:rsidRDefault="009C41BB" w:rsidP="009C41BB">
      <w:permStart w:id="10765956" w:edGrp="everyone"/>
      <w:r>
        <w:t>TYPE YOUR TEXT HERE</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pPr>
        <w:pStyle w:val="Questionstyle"/>
        <w:numPr>
          <w:ilvl w:val="0"/>
          <w:numId w:val="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pPr>
        <w:pStyle w:val="Questionstyle"/>
        <w:numPr>
          <w:ilvl w:val="0"/>
          <w:numId w:val="2"/>
        </w:numPr>
      </w:pPr>
      <w:r>
        <w:t xml:space="preserve">: </w:t>
      </w:r>
      <w:r w:rsidRPr="00C63D6B">
        <w:t>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77777777" w:rsidR="009C41BB" w:rsidRDefault="009C41BB" w:rsidP="009C41BB">
      <w:permStart w:id="2084635173" w:edGrp="everyone"/>
      <w:r>
        <w:t>TYPE YOUR TEXT HERE</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pPr>
        <w:pStyle w:val="Questionstyle"/>
        <w:numPr>
          <w:ilvl w:val="0"/>
          <w:numId w:val="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pPr>
        <w:pStyle w:val="Questionstyle"/>
        <w:numPr>
          <w:ilvl w:val="0"/>
          <w:numId w:val="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pPr>
        <w:pStyle w:val="Questionstyle"/>
        <w:numPr>
          <w:ilvl w:val="0"/>
          <w:numId w:val="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pPr>
        <w:pStyle w:val="Questionstyle"/>
        <w:numPr>
          <w:ilvl w:val="0"/>
          <w:numId w:val="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pPr>
        <w:pStyle w:val="Questionstyle"/>
        <w:numPr>
          <w:ilvl w:val="0"/>
          <w:numId w:val="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w:t>
      </w:r>
      <w:r>
        <w:lastRenderedPageBreak/>
        <w:t xml:space="preserve">justify your answer and provide the name of alternative standards you would suggest, if any. </w:t>
      </w:r>
    </w:p>
    <w:p w14:paraId="30DBA1F9" w14:textId="77777777" w:rsidR="009C41BB" w:rsidRDefault="009C41BB" w:rsidP="009C41BB">
      <w:r>
        <w:t>&lt;ESMA_QUESTION_SFDR_27&gt;</w:t>
      </w:r>
    </w:p>
    <w:p w14:paraId="74E19DA1" w14:textId="77777777" w:rsidR="009C41BB" w:rsidRDefault="009C41BB" w:rsidP="009C41BB">
      <w:permStart w:id="324808106" w:edGrp="everyone"/>
      <w:r>
        <w:t>TYPE YOUR TEXT HERE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pPr>
        <w:pStyle w:val="Questionstyle"/>
        <w:numPr>
          <w:ilvl w:val="0"/>
          <w:numId w:val="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pPr>
        <w:pStyle w:val="Questionstyle"/>
        <w:numPr>
          <w:ilvl w:val="0"/>
          <w:numId w:val="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pPr>
        <w:pStyle w:val="Questionstyle"/>
        <w:numPr>
          <w:ilvl w:val="0"/>
          <w:numId w:val="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pPr>
        <w:pStyle w:val="Questionstyle"/>
        <w:numPr>
          <w:ilvl w:val="0"/>
          <w:numId w:val="2"/>
        </w:numPr>
      </w:pPr>
      <w:r>
        <w:lastRenderedPageBreak/>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pPr>
        <w:pStyle w:val="Questionstyle"/>
        <w:numPr>
          <w:ilvl w:val="0"/>
          <w:numId w:val="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pPr>
        <w:pStyle w:val="Questionstyle"/>
        <w:numPr>
          <w:ilvl w:val="0"/>
          <w:numId w:val="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pPr>
        <w:pStyle w:val="Questionstyle"/>
        <w:numPr>
          <w:ilvl w:val="0"/>
          <w:numId w:val="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pPr>
        <w:pStyle w:val="Questionstyle"/>
        <w:numPr>
          <w:ilvl w:val="0"/>
          <w:numId w:val="2"/>
        </w:numPr>
      </w:pPr>
      <w:r>
        <w:t>: Do you agree with the approach to allow to display the pre-contractual and periodic disclosures in an extendable manner electronically?</w:t>
      </w:r>
    </w:p>
    <w:p w14:paraId="5B4143D4" w14:textId="77777777" w:rsidR="009C41BB" w:rsidRDefault="009C41BB" w:rsidP="009C41BB">
      <w:r>
        <w:lastRenderedPageBreak/>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Pr="00FB35FF" w:rsidRDefault="009C41BB">
      <w:pPr>
        <w:pStyle w:val="Questionstyle"/>
        <w:numPr>
          <w:ilvl w:val="0"/>
          <w:numId w:val="2"/>
        </w:numPr>
      </w:pPr>
      <w:r w:rsidRPr="00FB35FF">
        <w:t xml:space="preserve">: Do you have any feedback </w:t>
      </w:r>
      <w:proofErr w:type="gramStart"/>
      <w:r w:rsidRPr="00FB35FF">
        <w:t>with regard to</w:t>
      </w:r>
      <w:proofErr w:type="gramEnd"/>
      <w:r w:rsidRPr="00FB35FF">
        <w:t xml:space="preserve"> the potential criteria for estimates?</w:t>
      </w:r>
    </w:p>
    <w:p w14:paraId="5BB9BA92" w14:textId="77777777" w:rsidR="009C41BB" w:rsidRDefault="009C41BB" w:rsidP="009C41BB">
      <w:r>
        <w:t>&lt;ESMA_QUESTION_SFDR_36&gt;</w:t>
      </w:r>
    </w:p>
    <w:p w14:paraId="7F375438" w14:textId="1DEAB488" w:rsidR="009C41BB" w:rsidRDefault="00AC2DA8" w:rsidP="009C41BB">
      <w:permStart w:id="1338527016" w:edGrp="everyone"/>
      <w:r>
        <w:t xml:space="preserve">In respect to the </w:t>
      </w:r>
      <w:r w:rsidR="0024363E">
        <w:t xml:space="preserve">social </w:t>
      </w:r>
      <w:r w:rsidR="00316001">
        <w:t xml:space="preserve">safeguards criterion in Art 3(c) of the </w:t>
      </w:r>
      <w:r w:rsidR="001D43B3">
        <w:t>Taxonomy Regulation</w:t>
      </w:r>
      <w:r w:rsidR="00316001">
        <w:t xml:space="preserve">, the DIHR notes the FAQ published by the Commission on the interpretation </w:t>
      </w:r>
      <w:r w:rsidR="00DD7374">
        <w:t xml:space="preserve">and implementation </w:t>
      </w:r>
      <w:r w:rsidR="00316001">
        <w:t xml:space="preserve">of </w:t>
      </w:r>
      <w:r w:rsidR="00DD7374">
        <w:t>certain provisions of the Taxonomy Regulation in June 2023</w:t>
      </w:r>
      <w:r w:rsidR="00E211FE">
        <w:t xml:space="preserve">. </w:t>
      </w:r>
      <w:r w:rsidR="006624D8">
        <w:t xml:space="preserve"> Th</w:t>
      </w:r>
      <w:r w:rsidR="00E5415A">
        <w:t xml:space="preserve">at FAQ makes reference to the EU Sustainable Finance Platform </w:t>
      </w:r>
      <w:hyperlink r:id="rId18" w:history="1">
        <w:r w:rsidR="00E5415A" w:rsidRPr="00B35F9D">
          <w:rPr>
            <w:rStyle w:val="Hyperlink"/>
          </w:rPr>
          <w:t>report</w:t>
        </w:r>
      </w:hyperlink>
      <w:r w:rsidR="00E5415A">
        <w:t xml:space="preserve"> on the </w:t>
      </w:r>
      <w:r w:rsidR="00956935">
        <w:t>implementation of minimum safeguards</w:t>
      </w:r>
      <w:r w:rsidR="00A4777B">
        <w:t xml:space="preserve">. The DIHR recommends that </w:t>
      </w:r>
      <w:r w:rsidR="00262721">
        <w:t xml:space="preserve">ESA´s advice </w:t>
      </w:r>
      <w:r w:rsidR="00DB73D4">
        <w:t>reference those documents as they</w:t>
      </w:r>
      <w:r w:rsidR="00701C16">
        <w:t xml:space="preserve"> provide</w:t>
      </w:r>
      <w:r w:rsidR="00FD5314">
        <w:t xml:space="preserve"> authoritative guidance on </w:t>
      </w:r>
      <w:r w:rsidR="00D9076E">
        <w:t xml:space="preserve">how compliance with minimum safeguards can be </w:t>
      </w:r>
      <w:r w:rsidR="00C00EAB">
        <w:t>assessed.</w:t>
      </w:r>
      <w:r w:rsidR="006624D8">
        <w:t xml:space="preserve"> </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pPr>
        <w:pStyle w:val="Questionstyle"/>
        <w:numPr>
          <w:ilvl w:val="0"/>
          <w:numId w:val="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pPr>
        <w:pStyle w:val="Questionstyle"/>
        <w:numPr>
          <w:ilvl w:val="0"/>
          <w:numId w:val="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7777777" w:rsidR="009C41BB" w:rsidRDefault="009C41BB" w:rsidP="009C41BB">
      <w:permStart w:id="1880105875" w:edGrp="everyone"/>
      <w:r>
        <w:t>TYPE YOUR TEXT HERE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pPr>
        <w:pStyle w:val="Questionstyle"/>
        <w:numPr>
          <w:ilvl w:val="0"/>
          <w:numId w:val="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lastRenderedPageBreak/>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pPr>
        <w:pStyle w:val="Questionstyle"/>
        <w:numPr>
          <w:ilvl w:val="0"/>
          <w:numId w:val="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pPr>
        <w:pStyle w:val="Questionstyle"/>
        <w:numPr>
          <w:ilvl w:val="0"/>
          <w:numId w:val="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pPr>
        <w:pStyle w:val="Questionstyle"/>
        <w:numPr>
          <w:ilvl w:val="0"/>
          <w:numId w:val="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pPr>
        <w:pStyle w:val="Questionstyle"/>
        <w:numPr>
          <w:ilvl w:val="0"/>
          <w:numId w:val="2"/>
        </w:numPr>
      </w:pPr>
      <w:r>
        <w:lastRenderedPageBreak/>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9"/>
      <w:headerReference w:type="default" r:id="rId20"/>
      <w:footerReference w:type="even" r:id="rId21"/>
      <w:footerReference w:type="default" r:id="rId22"/>
      <w:headerReference w:type="first" r:id="rId23"/>
      <w:footerReference w:type="first" r:id="rId24"/>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3A16" w14:textId="77777777" w:rsidR="00616277" w:rsidRDefault="00616277" w:rsidP="00707738">
      <w:pPr>
        <w:spacing w:after="0" w:line="240" w:lineRule="auto"/>
      </w:pPr>
      <w:r>
        <w:separator/>
      </w:r>
    </w:p>
  </w:endnote>
  <w:endnote w:type="continuationSeparator" w:id="0">
    <w:p w14:paraId="10ACD0FF" w14:textId="77777777" w:rsidR="00616277" w:rsidRDefault="00616277" w:rsidP="00707738">
      <w:pPr>
        <w:spacing w:after="0" w:line="240" w:lineRule="auto"/>
      </w:pPr>
      <w:r>
        <w:continuationSeparator/>
      </w:r>
    </w:p>
  </w:endnote>
  <w:endnote w:type="continuationNotice" w:id="1">
    <w:p w14:paraId="6BB057FE" w14:textId="77777777" w:rsidR="00616277" w:rsidRDefault="00616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4F8B" w14:textId="77777777" w:rsidR="00616277" w:rsidRDefault="00616277" w:rsidP="00707738">
      <w:pPr>
        <w:spacing w:after="0" w:line="240" w:lineRule="auto"/>
      </w:pPr>
      <w:r>
        <w:separator/>
      </w:r>
    </w:p>
  </w:footnote>
  <w:footnote w:type="continuationSeparator" w:id="0">
    <w:p w14:paraId="23EB08AD" w14:textId="77777777" w:rsidR="00616277" w:rsidRDefault="00616277" w:rsidP="00707738">
      <w:pPr>
        <w:spacing w:after="0" w:line="240" w:lineRule="auto"/>
      </w:pPr>
      <w:r>
        <w:continuationSeparator/>
      </w:r>
    </w:p>
  </w:footnote>
  <w:footnote w:type="continuationNotice" w:id="1">
    <w:p w14:paraId="69772E97" w14:textId="77777777" w:rsidR="00616277" w:rsidRDefault="00616277">
      <w:pPr>
        <w:spacing w:after="0" w:line="240" w:lineRule="auto"/>
      </w:pPr>
    </w:p>
  </w:footnote>
  <w:footnote w:id="2">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8240"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F71FA"/>
    <w:multiLevelType w:val="hybridMultilevel"/>
    <w:tmpl w:val="878A395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A52232B"/>
    <w:multiLevelType w:val="hybridMultilevel"/>
    <w:tmpl w:val="EAEAAB46"/>
    <w:lvl w:ilvl="0" w:tplc="0E72AEE8">
      <w:start w:val="1"/>
      <w:numFmt w:val="decimal"/>
      <w:lvlText w:val="Q%1"/>
      <w:lvlJc w:val="left"/>
      <w:pPr>
        <w:ind w:left="360" w:hanging="360"/>
      </w:pPr>
      <w:rPr>
        <w:rFonts w:hint="default"/>
        <w:b/>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51770EF3"/>
    <w:multiLevelType w:val="hybridMultilevel"/>
    <w:tmpl w:val="4712FD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60432523">
    <w:abstractNumId w:val="2"/>
  </w:num>
  <w:num w:numId="2" w16cid:durableId="184565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011335">
    <w:abstractNumId w:val="0"/>
  </w:num>
  <w:num w:numId="4" w16cid:durableId="156880529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1DAE"/>
    <w:rsid w:val="0000450C"/>
    <w:rsid w:val="00004D0A"/>
    <w:rsid w:val="00005041"/>
    <w:rsid w:val="0000519F"/>
    <w:rsid w:val="000052F4"/>
    <w:rsid w:val="0000610E"/>
    <w:rsid w:val="000066D3"/>
    <w:rsid w:val="00010071"/>
    <w:rsid w:val="00010643"/>
    <w:rsid w:val="00011399"/>
    <w:rsid w:val="00012092"/>
    <w:rsid w:val="00012695"/>
    <w:rsid w:val="00012894"/>
    <w:rsid w:val="00014682"/>
    <w:rsid w:val="00014D80"/>
    <w:rsid w:val="00014FC1"/>
    <w:rsid w:val="00016409"/>
    <w:rsid w:val="00017094"/>
    <w:rsid w:val="00017975"/>
    <w:rsid w:val="00017CCB"/>
    <w:rsid w:val="00017E26"/>
    <w:rsid w:val="00020224"/>
    <w:rsid w:val="00020B70"/>
    <w:rsid w:val="000210DA"/>
    <w:rsid w:val="00021998"/>
    <w:rsid w:val="0002382B"/>
    <w:rsid w:val="00023A4E"/>
    <w:rsid w:val="00023CC3"/>
    <w:rsid w:val="000248DD"/>
    <w:rsid w:val="00024F37"/>
    <w:rsid w:val="00025F12"/>
    <w:rsid w:val="000267BA"/>
    <w:rsid w:val="00027188"/>
    <w:rsid w:val="0003054A"/>
    <w:rsid w:val="000327E2"/>
    <w:rsid w:val="0003364B"/>
    <w:rsid w:val="000339F1"/>
    <w:rsid w:val="00034BCA"/>
    <w:rsid w:val="00034CD6"/>
    <w:rsid w:val="00034DBA"/>
    <w:rsid w:val="000354E6"/>
    <w:rsid w:val="0003556C"/>
    <w:rsid w:val="000356F2"/>
    <w:rsid w:val="0003591B"/>
    <w:rsid w:val="00036FB3"/>
    <w:rsid w:val="00040247"/>
    <w:rsid w:val="00041510"/>
    <w:rsid w:val="0004186B"/>
    <w:rsid w:val="000419D7"/>
    <w:rsid w:val="000434BB"/>
    <w:rsid w:val="00045DC1"/>
    <w:rsid w:val="000462CC"/>
    <w:rsid w:val="00050BFB"/>
    <w:rsid w:val="00050C64"/>
    <w:rsid w:val="00051C3B"/>
    <w:rsid w:val="00051C43"/>
    <w:rsid w:val="00051F4B"/>
    <w:rsid w:val="00052966"/>
    <w:rsid w:val="000535B6"/>
    <w:rsid w:val="00053B26"/>
    <w:rsid w:val="00054EFC"/>
    <w:rsid w:val="000559B1"/>
    <w:rsid w:val="00055B56"/>
    <w:rsid w:val="00055FB8"/>
    <w:rsid w:val="0005630E"/>
    <w:rsid w:val="00056C03"/>
    <w:rsid w:val="00056C1F"/>
    <w:rsid w:val="00056EEB"/>
    <w:rsid w:val="000577BD"/>
    <w:rsid w:val="000578ED"/>
    <w:rsid w:val="0006019B"/>
    <w:rsid w:val="000608BB"/>
    <w:rsid w:val="00061CC5"/>
    <w:rsid w:val="000622E1"/>
    <w:rsid w:val="00062613"/>
    <w:rsid w:val="000660A0"/>
    <w:rsid w:val="00066F47"/>
    <w:rsid w:val="0007028D"/>
    <w:rsid w:val="00072418"/>
    <w:rsid w:val="00072A71"/>
    <w:rsid w:val="00072ACE"/>
    <w:rsid w:val="00073F2F"/>
    <w:rsid w:val="00076609"/>
    <w:rsid w:val="00076B4F"/>
    <w:rsid w:val="00077351"/>
    <w:rsid w:val="00077536"/>
    <w:rsid w:val="00084648"/>
    <w:rsid w:val="00084BD4"/>
    <w:rsid w:val="0008625B"/>
    <w:rsid w:val="0008651F"/>
    <w:rsid w:val="00091187"/>
    <w:rsid w:val="0009209F"/>
    <w:rsid w:val="00093282"/>
    <w:rsid w:val="00093C30"/>
    <w:rsid w:val="00095917"/>
    <w:rsid w:val="00095A66"/>
    <w:rsid w:val="00095CC5"/>
    <w:rsid w:val="00095CCD"/>
    <w:rsid w:val="00095E45"/>
    <w:rsid w:val="00097757"/>
    <w:rsid w:val="00097B0A"/>
    <w:rsid w:val="000A0D6F"/>
    <w:rsid w:val="000A1202"/>
    <w:rsid w:val="000A14D4"/>
    <w:rsid w:val="000A27F1"/>
    <w:rsid w:val="000A389E"/>
    <w:rsid w:val="000A5CDF"/>
    <w:rsid w:val="000A7DAE"/>
    <w:rsid w:val="000B0673"/>
    <w:rsid w:val="000B1B90"/>
    <w:rsid w:val="000B2D70"/>
    <w:rsid w:val="000B30F0"/>
    <w:rsid w:val="000B4672"/>
    <w:rsid w:val="000B5823"/>
    <w:rsid w:val="000B64DA"/>
    <w:rsid w:val="000B6506"/>
    <w:rsid w:val="000B6DA3"/>
    <w:rsid w:val="000C2820"/>
    <w:rsid w:val="000C389E"/>
    <w:rsid w:val="000C3F02"/>
    <w:rsid w:val="000C76A0"/>
    <w:rsid w:val="000D081D"/>
    <w:rsid w:val="000D24DE"/>
    <w:rsid w:val="000D274A"/>
    <w:rsid w:val="000D5DA1"/>
    <w:rsid w:val="000D7AD4"/>
    <w:rsid w:val="000E09A3"/>
    <w:rsid w:val="000E0F53"/>
    <w:rsid w:val="000E148B"/>
    <w:rsid w:val="000E22A6"/>
    <w:rsid w:val="000E502B"/>
    <w:rsid w:val="000E721F"/>
    <w:rsid w:val="000E767D"/>
    <w:rsid w:val="000F0320"/>
    <w:rsid w:val="000F116E"/>
    <w:rsid w:val="000F1374"/>
    <w:rsid w:val="000F2312"/>
    <w:rsid w:val="000F2E76"/>
    <w:rsid w:val="000F3513"/>
    <w:rsid w:val="000F45B5"/>
    <w:rsid w:val="000F48C0"/>
    <w:rsid w:val="000F4DCF"/>
    <w:rsid w:val="000F5DF6"/>
    <w:rsid w:val="000F6ED5"/>
    <w:rsid w:val="001004B6"/>
    <w:rsid w:val="001009E1"/>
    <w:rsid w:val="0010295A"/>
    <w:rsid w:val="0010334A"/>
    <w:rsid w:val="00103CDF"/>
    <w:rsid w:val="001043B5"/>
    <w:rsid w:val="001049C2"/>
    <w:rsid w:val="00104DE1"/>
    <w:rsid w:val="00105528"/>
    <w:rsid w:val="00105DC3"/>
    <w:rsid w:val="00111EE2"/>
    <w:rsid w:val="00113539"/>
    <w:rsid w:val="00114AE5"/>
    <w:rsid w:val="00115964"/>
    <w:rsid w:val="0011748C"/>
    <w:rsid w:val="00117F89"/>
    <w:rsid w:val="00121F7F"/>
    <w:rsid w:val="00122C81"/>
    <w:rsid w:val="001252D9"/>
    <w:rsid w:val="0012752B"/>
    <w:rsid w:val="001275B5"/>
    <w:rsid w:val="001276AF"/>
    <w:rsid w:val="00130308"/>
    <w:rsid w:val="00130E28"/>
    <w:rsid w:val="00131C2F"/>
    <w:rsid w:val="00131FEE"/>
    <w:rsid w:val="0013292C"/>
    <w:rsid w:val="00133B35"/>
    <w:rsid w:val="0013460E"/>
    <w:rsid w:val="00134EFB"/>
    <w:rsid w:val="00134F1A"/>
    <w:rsid w:val="0013601B"/>
    <w:rsid w:val="00137502"/>
    <w:rsid w:val="001414C8"/>
    <w:rsid w:val="00142894"/>
    <w:rsid w:val="00142FF6"/>
    <w:rsid w:val="0014426D"/>
    <w:rsid w:val="00145AC7"/>
    <w:rsid w:val="00146720"/>
    <w:rsid w:val="00151DA2"/>
    <w:rsid w:val="0015291D"/>
    <w:rsid w:val="00152987"/>
    <w:rsid w:val="00152EAD"/>
    <w:rsid w:val="00153371"/>
    <w:rsid w:val="001536E1"/>
    <w:rsid w:val="00154193"/>
    <w:rsid w:val="0015541A"/>
    <w:rsid w:val="001554A7"/>
    <w:rsid w:val="00155959"/>
    <w:rsid w:val="00157759"/>
    <w:rsid w:val="00157CD3"/>
    <w:rsid w:val="00160284"/>
    <w:rsid w:val="00161F7C"/>
    <w:rsid w:val="00163CAA"/>
    <w:rsid w:val="001651AE"/>
    <w:rsid w:val="00171CC5"/>
    <w:rsid w:val="00171F53"/>
    <w:rsid w:val="001732F3"/>
    <w:rsid w:val="0017367A"/>
    <w:rsid w:val="00173ED9"/>
    <w:rsid w:val="00174E7C"/>
    <w:rsid w:val="00174EB5"/>
    <w:rsid w:val="00175852"/>
    <w:rsid w:val="00177742"/>
    <w:rsid w:val="00177986"/>
    <w:rsid w:val="00180988"/>
    <w:rsid w:val="00180B29"/>
    <w:rsid w:val="0018170B"/>
    <w:rsid w:val="0018358A"/>
    <w:rsid w:val="00184470"/>
    <w:rsid w:val="00184522"/>
    <w:rsid w:val="001845DA"/>
    <w:rsid w:val="001846C3"/>
    <w:rsid w:val="0018499A"/>
    <w:rsid w:val="00184EE6"/>
    <w:rsid w:val="00185016"/>
    <w:rsid w:val="00185CBB"/>
    <w:rsid w:val="00185D41"/>
    <w:rsid w:val="00185FAB"/>
    <w:rsid w:val="001866F5"/>
    <w:rsid w:val="001868B0"/>
    <w:rsid w:val="00190267"/>
    <w:rsid w:val="00191B29"/>
    <w:rsid w:val="00192107"/>
    <w:rsid w:val="00192851"/>
    <w:rsid w:val="0019445C"/>
    <w:rsid w:val="001979CD"/>
    <w:rsid w:val="00197A5C"/>
    <w:rsid w:val="001A0B9D"/>
    <w:rsid w:val="001A0D52"/>
    <w:rsid w:val="001A4991"/>
    <w:rsid w:val="001A5CA8"/>
    <w:rsid w:val="001A5D46"/>
    <w:rsid w:val="001A6440"/>
    <w:rsid w:val="001A6646"/>
    <w:rsid w:val="001A675B"/>
    <w:rsid w:val="001A7191"/>
    <w:rsid w:val="001A7C2A"/>
    <w:rsid w:val="001B28B2"/>
    <w:rsid w:val="001B4613"/>
    <w:rsid w:val="001B673F"/>
    <w:rsid w:val="001B6F96"/>
    <w:rsid w:val="001B78F3"/>
    <w:rsid w:val="001B7B9B"/>
    <w:rsid w:val="001C0B9E"/>
    <w:rsid w:val="001C114D"/>
    <w:rsid w:val="001C1719"/>
    <w:rsid w:val="001C2449"/>
    <w:rsid w:val="001C27DA"/>
    <w:rsid w:val="001C39FE"/>
    <w:rsid w:val="001C601B"/>
    <w:rsid w:val="001C71D5"/>
    <w:rsid w:val="001C78E7"/>
    <w:rsid w:val="001C7C73"/>
    <w:rsid w:val="001D1007"/>
    <w:rsid w:val="001D11BA"/>
    <w:rsid w:val="001D2853"/>
    <w:rsid w:val="001D28D2"/>
    <w:rsid w:val="001D3736"/>
    <w:rsid w:val="001D3D71"/>
    <w:rsid w:val="001D43B3"/>
    <w:rsid w:val="001D4A2E"/>
    <w:rsid w:val="001D5DBD"/>
    <w:rsid w:val="001D6744"/>
    <w:rsid w:val="001D6960"/>
    <w:rsid w:val="001D70A8"/>
    <w:rsid w:val="001D741B"/>
    <w:rsid w:val="001D7A7B"/>
    <w:rsid w:val="001D7E6B"/>
    <w:rsid w:val="001E0D33"/>
    <w:rsid w:val="001E6A10"/>
    <w:rsid w:val="001E7466"/>
    <w:rsid w:val="001F049E"/>
    <w:rsid w:val="001F0D95"/>
    <w:rsid w:val="001F0EE1"/>
    <w:rsid w:val="001F1694"/>
    <w:rsid w:val="001F18CE"/>
    <w:rsid w:val="001F1F4E"/>
    <w:rsid w:val="001F204C"/>
    <w:rsid w:val="001F3900"/>
    <w:rsid w:val="001F3FCA"/>
    <w:rsid w:val="001F62BD"/>
    <w:rsid w:val="001F7A65"/>
    <w:rsid w:val="001F7C75"/>
    <w:rsid w:val="001F7DD3"/>
    <w:rsid w:val="00200D6A"/>
    <w:rsid w:val="00203472"/>
    <w:rsid w:val="002039B3"/>
    <w:rsid w:val="00204003"/>
    <w:rsid w:val="00205962"/>
    <w:rsid w:val="002067E8"/>
    <w:rsid w:val="00206F76"/>
    <w:rsid w:val="00207623"/>
    <w:rsid w:val="00207F6C"/>
    <w:rsid w:val="0021147B"/>
    <w:rsid w:val="0021224B"/>
    <w:rsid w:val="00214016"/>
    <w:rsid w:val="00215864"/>
    <w:rsid w:val="00216C64"/>
    <w:rsid w:val="00217C71"/>
    <w:rsid w:val="0022333D"/>
    <w:rsid w:val="0022392F"/>
    <w:rsid w:val="00223C1A"/>
    <w:rsid w:val="00225E9D"/>
    <w:rsid w:val="002267E1"/>
    <w:rsid w:val="00227182"/>
    <w:rsid w:val="002275C7"/>
    <w:rsid w:val="00227A48"/>
    <w:rsid w:val="00227C03"/>
    <w:rsid w:val="00230846"/>
    <w:rsid w:val="00230D55"/>
    <w:rsid w:val="002372FB"/>
    <w:rsid w:val="00237826"/>
    <w:rsid w:val="00237F7D"/>
    <w:rsid w:val="002406BE"/>
    <w:rsid w:val="002435C8"/>
    <w:rsid w:val="0024363E"/>
    <w:rsid w:val="002438D0"/>
    <w:rsid w:val="00243BB5"/>
    <w:rsid w:val="00244DC1"/>
    <w:rsid w:val="00245B02"/>
    <w:rsid w:val="002460CE"/>
    <w:rsid w:val="002463AD"/>
    <w:rsid w:val="00250338"/>
    <w:rsid w:val="0025034E"/>
    <w:rsid w:val="002503FD"/>
    <w:rsid w:val="00250A7F"/>
    <w:rsid w:val="0025193C"/>
    <w:rsid w:val="00251F67"/>
    <w:rsid w:val="00253135"/>
    <w:rsid w:val="00253F50"/>
    <w:rsid w:val="00254757"/>
    <w:rsid w:val="002554C6"/>
    <w:rsid w:val="002555F0"/>
    <w:rsid w:val="002565EE"/>
    <w:rsid w:val="00256770"/>
    <w:rsid w:val="0026103A"/>
    <w:rsid w:val="0026111F"/>
    <w:rsid w:val="002626DE"/>
    <w:rsid w:val="00262721"/>
    <w:rsid w:val="00262BC4"/>
    <w:rsid w:val="00263177"/>
    <w:rsid w:val="00265932"/>
    <w:rsid w:val="00267890"/>
    <w:rsid w:val="002703D6"/>
    <w:rsid w:val="00270481"/>
    <w:rsid w:val="002724C2"/>
    <w:rsid w:val="00273D3F"/>
    <w:rsid w:val="002742CC"/>
    <w:rsid w:val="00274581"/>
    <w:rsid w:val="00276971"/>
    <w:rsid w:val="00276D48"/>
    <w:rsid w:val="00280EF7"/>
    <w:rsid w:val="00281EC6"/>
    <w:rsid w:val="00285AAD"/>
    <w:rsid w:val="00286684"/>
    <w:rsid w:val="00287589"/>
    <w:rsid w:val="00292B64"/>
    <w:rsid w:val="00293816"/>
    <w:rsid w:val="00294F4A"/>
    <w:rsid w:val="00296287"/>
    <w:rsid w:val="002976AA"/>
    <w:rsid w:val="00297997"/>
    <w:rsid w:val="002A0783"/>
    <w:rsid w:val="002A0FB0"/>
    <w:rsid w:val="002A3A96"/>
    <w:rsid w:val="002A3B0A"/>
    <w:rsid w:val="002A52F1"/>
    <w:rsid w:val="002A534E"/>
    <w:rsid w:val="002A6862"/>
    <w:rsid w:val="002B02B0"/>
    <w:rsid w:val="002B1906"/>
    <w:rsid w:val="002B2AC4"/>
    <w:rsid w:val="002B30AF"/>
    <w:rsid w:val="002B55C0"/>
    <w:rsid w:val="002B72B3"/>
    <w:rsid w:val="002B7CAB"/>
    <w:rsid w:val="002C1731"/>
    <w:rsid w:val="002C1897"/>
    <w:rsid w:val="002C4211"/>
    <w:rsid w:val="002C5816"/>
    <w:rsid w:val="002C5840"/>
    <w:rsid w:val="002C6DB7"/>
    <w:rsid w:val="002D1B99"/>
    <w:rsid w:val="002D2AF8"/>
    <w:rsid w:val="002D41D2"/>
    <w:rsid w:val="002D4E1F"/>
    <w:rsid w:val="002D6035"/>
    <w:rsid w:val="002D609E"/>
    <w:rsid w:val="002D7006"/>
    <w:rsid w:val="002D7454"/>
    <w:rsid w:val="002E0696"/>
    <w:rsid w:val="002E07BD"/>
    <w:rsid w:val="002E18B7"/>
    <w:rsid w:val="002E3961"/>
    <w:rsid w:val="002E3A1C"/>
    <w:rsid w:val="002E552F"/>
    <w:rsid w:val="002E5ADD"/>
    <w:rsid w:val="002E7884"/>
    <w:rsid w:val="002F16EA"/>
    <w:rsid w:val="002F1920"/>
    <w:rsid w:val="002F49D1"/>
    <w:rsid w:val="002F545F"/>
    <w:rsid w:val="002F6A5D"/>
    <w:rsid w:val="002F6DAD"/>
    <w:rsid w:val="00300B76"/>
    <w:rsid w:val="0030106B"/>
    <w:rsid w:val="003012DB"/>
    <w:rsid w:val="00302124"/>
    <w:rsid w:val="0030468D"/>
    <w:rsid w:val="00304BA4"/>
    <w:rsid w:val="00306553"/>
    <w:rsid w:val="003065F3"/>
    <w:rsid w:val="00306795"/>
    <w:rsid w:val="00310EEC"/>
    <w:rsid w:val="00311609"/>
    <w:rsid w:val="003117EF"/>
    <w:rsid w:val="003118A8"/>
    <w:rsid w:val="00312326"/>
    <w:rsid w:val="00312973"/>
    <w:rsid w:val="003142FF"/>
    <w:rsid w:val="00314878"/>
    <w:rsid w:val="003149D4"/>
    <w:rsid w:val="00314A34"/>
    <w:rsid w:val="00316001"/>
    <w:rsid w:val="003164E7"/>
    <w:rsid w:val="003169AC"/>
    <w:rsid w:val="003203E7"/>
    <w:rsid w:val="00320EEE"/>
    <w:rsid w:val="003220BB"/>
    <w:rsid w:val="003231B7"/>
    <w:rsid w:val="00325D4C"/>
    <w:rsid w:val="00330278"/>
    <w:rsid w:val="00330519"/>
    <w:rsid w:val="00330601"/>
    <w:rsid w:val="00330B1B"/>
    <w:rsid w:val="00330F6D"/>
    <w:rsid w:val="00332EEE"/>
    <w:rsid w:val="00341A52"/>
    <w:rsid w:val="00342D6B"/>
    <w:rsid w:val="003450BC"/>
    <w:rsid w:val="003458EC"/>
    <w:rsid w:val="0034665F"/>
    <w:rsid w:val="003478C9"/>
    <w:rsid w:val="003501F1"/>
    <w:rsid w:val="00350B2F"/>
    <w:rsid w:val="00351678"/>
    <w:rsid w:val="00351724"/>
    <w:rsid w:val="00352F26"/>
    <w:rsid w:val="00354021"/>
    <w:rsid w:val="00354999"/>
    <w:rsid w:val="00354EBB"/>
    <w:rsid w:val="00356509"/>
    <w:rsid w:val="0035675F"/>
    <w:rsid w:val="00356CA0"/>
    <w:rsid w:val="00357552"/>
    <w:rsid w:val="0036242B"/>
    <w:rsid w:val="00362582"/>
    <w:rsid w:val="0036294D"/>
    <w:rsid w:val="00362D42"/>
    <w:rsid w:val="003635DC"/>
    <w:rsid w:val="003643E0"/>
    <w:rsid w:val="003653C8"/>
    <w:rsid w:val="003661A6"/>
    <w:rsid w:val="00367B0A"/>
    <w:rsid w:val="00367CD1"/>
    <w:rsid w:val="00367F99"/>
    <w:rsid w:val="00370E05"/>
    <w:rsid w:val="003713E2"/>
    <w:rsid w:val="00371853"/>
    <w:rsid w:val="00371FCD"/>
    <w:rsid w:val="00372FC1"/>
    <w:rsid w:val="0037316F"/>
    <w:rsid w:val="00373B82"/>
    <w:rsid w:val="0037449B"/>
    <w:rsid w:val="003745B9"/>
    <w:rsid w:val="0037590C"/>
    <w:rsid w:val="00377F18"/>
    <w:rsid w:val="0038056C"/>
    <w:rsid w:val="00380BED"/>
    <w:rsid w:val="00383CD0"/>
    <w:rsid w:val="00384600"/>
    <w:rsid w:val="00384678"/>
    <w:rsid w:val="00384EE5"/>
    <w:rsid w:val="00385AA4"/>
    <w:rsid w:val="00386F52"/>
    <w:rsid w:val="00386FA1"/>
    <w:rsid w:val="0038792E"/>
    <w:rsid w:val="00387A55"/>
    <w:rsid w:val="003906CA"/>
    <w:rsid w:val="00391785"/>
    <w:rsid w:val="00391C7B"/>
    <w:rsid w:val="0039215D"/>
    <w:rsid w:val="00392308"/>
    <w:rsid w:val="0039349D"/>
    <w:rsid w:val="00394398"/>
    <w:rsid w:val="00394684"/>
    <w:rsid w:val="00394E5C"/>
    <w:rsid w:val="0039564A"/>
    <w:rsid w:val="003976EB"/>
    <w:rsid w:val="00397767"/>
    <w:rsid w:val="00397800"/>
    <w:rsid w:val="00397AF5"/>
    <w:rsid w:val="003A06D0"/>
    <w:rsid w:val="003A1906"/>
    <w:rsid w:val="003A57D3"/>
    <w:rsid w:val="003A61D4"/>
    <w:rsid w:val="003A6AE1"/>
    <w:rsid w:val="003A74BD"/>
    <w:rsid w:val="003A758F"/>
    <w:rsid w:val="003B7881"/>
    <w:rsid w:val="003C08A8"/>
    <w:rsid w:val="003C0B83"/>
    <w:rsid w:val="003C287B"/>
    <w:rsid w:val="003C3243"/>
    <w:rsid w:val="003C34DE"/>
    <w:rsid w:val="003C3ABC"/>
    <w:rsid w:val="003C42D8"/>
    <w:rsid w:val="003C58CA"/>
    <w:rsid w:val="003C616E"/>
    <w:rsid w:val="003D075C"/>
    <w:rsid w:val="003D2327"/>
    <w:rsid w:val="003D2755"/>
    <w:rsid w:val="003D6D7C"/>
    <w:rsid w:val="003E1AF1"/>
    <w:rsid w:val="003E3CD5"/>
    <w:rsid w:val="003E63C5"/>
    <w:rsid w:val="003E6A9E"/>
    <w:rsid w:val="003E6C62"/>
    <w:rsid w:val="003E6F16"/>
    <w:rsid w:val="003E7E1F"/>
    <w:rsid w:val="003E7FD7"/>
    <w:rsid w:val="003F00E2"/>
    <w:rsid w:val="003F1A65"/>
    <w:rsid w:val="003F2F54"/>
    <w:rsid w:val="003F3691"/>
    <w:rsid w:val="003F4B5A"/>
    <w:rsid w:val="003F6D3C"/>
    <w:rsid w:val="003F6D90"/>
    <w:rsid w:val="003F6F43"/>
    <w:rsid w:val="003F7B94"/>
    <w:rsid w:val="003F7DF6"/>
    <w:rsid w:val="004001F2"/>
    <w:rsid w:val="00400D2F"/>
    <w:rsid w:val="00401B7C"/>
    <w:rsid w:val="004020AA"/>
    <w:rsid w:val="00402973"/>
    <w:rsid w:val="00404FF9"/>
    <w:rsid w:val="004065B3"/>
    <w:rsid w:val="004118AF"/>
    <w:rsid w:val="00411F92"/>
    <w:rsid w:val="00412B6C"/>
    <w:rsid w:val="00412F27"/>
    <w:rsid w:val="00414C00"/>
    <w:rsid w:val="004151B3"/>
    <w:rsid w:val="00417908"/>
    <w:rsid w:val="00420313"/>
    <w:rsid w:val="00420FB3"/>
    <w:rsid w:val="00422768"/>
    <w:rsid w:val="00422AB6"/>
    <w:rsid w:val="00422C89"/>
    <w:rsid w:val="00423288"/>
    <w:rsid w:val="00423C2C"/>
    <w:rsid w:val="00423DE4"/>
    <w:rsid w:val="00424955"/>
    <w:rsid w:val="00424D91"/>
    <w:rsid w:val="00424FD7"/>
    <w:rsid w:val="004253C7"/>
    <w:rsid w:val="00425C62"/>
    <w:rsid w:val="0042683A"/>
    <w:rsid w:val="00426F1B"/>
    <w:rsid w:val="0042718E"/>
    <w:rsid w:val="004274DC"/>
    <w:rsid w:val="0043036A"/>
    <w:rsid w:val="0043054B"/>
    <w:rsid w:val="004317B3"/>
    <w:rsid w:val="0043238E"/>
    <w:rsid w:val="004339C7"/>
    <w:rsid w:val="004354C6"/>
    <w:rsid w:val="00435862"/>
    <w:rsid w:val="00435B8B"/>
    <w:rsid w:val="004367EA"/>
    <w:rsid w:val="0043698C"/>
    <w:rsid w:val="00436CF3"/>
    <w:rsid w:val="004379A0"/>
    <w:rsid w:val="00437A3C"/>
    <w:rsid w:val="00440572"/>
    <w:rsid w:val="004408FA"/>
    <w:rsid w:val="004415A2"/>
    <w:rsid w:val="004432A9"/>
    <w:rsid w:val="00446733"/>
    <w:rsid w:val="00452FA3"/>
    <w:rsid w:val="004533AC"/>
    <w:rsid w:val="00454488"/>
    <w:rsid w:val="0045475E"/>
    <w:rsid w:val="00454BF0"/>
    <w:rsid w:val="004567D1"/>
    <w:rsid w:val="00462451"/>
    <w:rsid w:val="00462C40"/>
    <w:rsid w:val="00462CA6"/>
    <w:rsid w:val="00463478"/>
    <w:rsid w:val="00463B31"/>
    <w:rsid w:val="00465E2F"/>
    <w:rsid w:val="00465EDE"/>
    <w:rsid w:val="00466115"/>
    <w:rsid w:val="004663F5"/>
    <w:rsid w:val="00467217"/>
    <w:rsid w:val="004678B2"/>
    <w:rsid w:val="004711B4"/>
    <w:rsid w:val="00471C33"/>
    <w:rsid w:val="00473535"/>
    <w:rsid w:val="00473594"/>
    <w:rsid w:val="00473C6D"/>
    <w:rsid w:val="0047433B"/>
    <w:rsid w:val="00474BDD"/>
    <w:rsid w:val="00476C6C"/>
    <w:rsid w:val="00476EF6"/>
    <w:rsid w:val="00482021"/>
    <w:rsid w:val="00482583"/>
    <w:rsid w:val="00482BA3"/>
    <w:rsid w:val="0048489F"/>
    <w:rsid w:val="004879B9"/>
    <w:rsid w:val="00487D48"/>
    <w:rsid w:val="004904E4"/>
    <w:rsid w:val="004909E7"/>
    <w:rsid w:val="00491468"/>
    <w:rsid w:val="004916CB"/>
    <w:rsid w:val="00491C84"/>
    <w:rsid w:val="00492DD5"/>
    <w:rsid w:val="004933D4"/>
    <w:rsid w:val="0049373C"/>
    <w:rsid w:val="004957D4"/>
    <w:rsid w:val="00495A99"/>
    <w:rsid w:val="00495D8D"/>
    <w:rsid w:val="00496D11"/>
    <w:rsid w:val="004970A6"/>
    <w:rsid w:val="00497415"/>
    <w:rsid w:val="004A05E0"/>
    <w:rsid w:val="004A0736"/>
    <w:rsid w:val="004A3E05"/>
    <w:rsid w:val="004A415A"/>
    <w:rsid w:val="004A4EB1"/>
    <w:rsid w:val="004A5EF9"/>
    <w:rsid w:val="004A60D2"/>
    <w:rsid w:val="004A664F"/>
    <w:rsid w:val="004A74E2"/>
    <w:rsid w:val="004A76D1"/>
    <w:rsid w:val="004A7D73"/>
    <w:rsid w:val="004B03A3"/>
    <w:rsid w:val="004B1B8D"/>
    <w:rsid w:val="004B23ED"/>
    <w:rsid w:val="004B2E4F"/>
    <w:rsid w:val="004B3D94"/>
    <w:rsid w:val="004B60F4"/>
    <w:rsid w:val="004B76FA"/>
    <w:rsid w:val="004C05D4"/>
    <w:rsid w:val="004C06CC"/>
    <w:rsid w:val="004C0BA3"/>
    <w:rsid w:val="004C1311"/>
    <w:rsid w:val="004C1806"/>
    <w:rsid w:val="004C1AFF"/>
    <w:rsid w:val="004C1D42"/>
    <w:rsid w:val="004C1DAE"/>
    <w:rsid w:val="004C2333"/>
    <w:rsid w:val="004C35E8"/>
    <w:rsid w:val="004C3A61"/>
    <w:rsid w:val="004C4214"/>
    <w:rsid w:val="004C49B7"/>
    <w:rsid w:val="004C4E78"/>
    <w:rsid w:val="004C5139"/>
    <w:rsid w:val="004C7236"/>
    <w:rsid w:val="004D088D"/>
    <w:rsid w:val="004D0D19"/>
    <w:rsid w:val="004D1EA5"/>
    <w:rsid w:val="004D22F3"/>
    <w:rsid w:val="004D2C51"/>
    <w:rsid w:val="004D2C65"/>
    <w:rsid w:val="004D3163"/>
    <w:rsid w:val="004D328C"/>
    <w:rsid w:val="004D41F6"/>
    <w:rsid w:val="004D48C8"/>
    <w:rsid w:val="004D4970"/>
    <w:rsid w:val="004D4AF2"/>
    <w:rsid w:val="004D4D15"/>
    <w:rsid w:val="004D588A"/>
    <w:rsid w:val="004D5890"/>
    <w:rsid w:val="004D624A"/>
    <w:rsid w:val="004E338C"/>
    <w:rsid w:val="004E3B5A"/>
    <w:rsid w:val="004E3FA1"/>
    <w:rsid w:val="004E494E"/>
    <w:rsid w:val="004E5233"/>
    <w:rsid w:val="004E5A10"/>
    <w:rsid w:val="004E5CE6"/>
    <w:rsid w:val="004F0049"/>
    <w:rsid w:val="004F42FC"/>
    <w:rsid w:val="004F4BEB"/>
    <w:rsid w:val="004F5009"/>
    <w:rsid w:val="004F586D"/>
    <w:rsid w:val="004F6528"/>
    <w:rsid w:val="004F6D56"/>
    <w:rsid w:val="004F6FBB"/>
    <w:rsid w:val="00500120"/>
    <w:rsid w:val="00500413"/>
    <w:rsid w:val="005007E7"/>
    <w:rsid w:val="00500A65"/>
    <w:rsid w:val="0050371B"/>
    <w:rsid w:val="00503D60"/>
    <w:rsid w:val="00503D9B"/>
    <w:rsid w:val="0050417C"/>
    <w:rsid w:val="00504812"/>
    <w:rsid w:val="005068B9"/>
    <w:rsid w:val="005072BC"/>
    <w:rsid w:val="005074A3"/>
    <w:rsid w:val="005077DE"/>
    <w:rsid w:val="00507F10"/>
    <w:rsid w:val="00510588"/>
    <w:rsid w:val="00513715"/>
    <w:rsid w:val="00514197"/>
    <w:rsid w:val="00514995"/>
    <w:rsid w:val="00514C90"/>
    <w:rsid w:val="00515F4D"/>
    <w:rsid w:val="00516190"/>
    <w:rsid w:val="00517304"/>
    <w:rsid w:val="0051785F"/>
    <w:rsid w:val="005204E8"/>
    <w:rsid w:val="00521771"/>
    <w:rsid w:val="005239A4"/>
    <w:rsid w:val="005241E5"/>
    <w:rsid w:val="0052468C"/>
    <w:rsid w:val="00526261"/>
    <w:rsid w:val="00526B2E"/>
    <w:rsid w:val="00526EA6"/>
    <w:rsid w:val="00526FAE"/>
    <w:rsid w:val="005272B8"/>
    <w:rsid w:val="005276BD"/>
    <w:rsid w:val="00532197"/>
    <w:rsid w:val="00534E5F"/>
    <w:rsid w:val="00536AD6"/>
    <w:rsid w:val="005375B9"/>
    <w:rsid w:val="00537DC3"/>
    <w:rsid w:val="0054143E"/>
    <w:rsid w:val="005418F4"/>
    <w:rsid w:val="00541CE5"/>
    <w:rsid w:val="00542EC9"/>
    <w:rsid w:val="005435C6"/>
    <w:rsid w:val="0054375F"/>
    <w:rsid w:val="00544090"/>
    <w:rsid w:val="0054452A"/>
    <w:rsid w:val="00544A57"/>
    <w:rsid w:val="00545434"/>
    <w:rsid w:val="00550083"/>
    <w:rsid w:val="00551648"/>
    <w:rsid w:val="00551D03"/>
    <w:rsid w:val="00552A08"/>
    <w:rsid w:val="00552F72"/>
    <w:rsid w:val="005539D6"/>
    <w:rsid w:val="005542F6"/>
    <w:rsid w:val="005559D8"/>
    <w:rsid w:val="00555CDA"/>
    <w:rsid w:val="00557057"/>
    <w:rsid w:val="00560224"/>
    <w:rsid w:val="0056039D"/>
    <w:rsid w:val="0056088A"/>
    <w:rsid w:val="00562C26"/>
    <w:rsid w:val="00563B47"/>
    <w:rsid w:val="0056423C"/>
    <w:rsid w:val="005659BD"/>
    <w:rsid w:val="00566850"/>
    <w:rsid w:val="00571000"/>
    <w:rsid w:val="00571C29"/>
    <w:rsid w:val="00572358"/>
    <w:rsid w:val="00575074"/>
    <w:rsid w:val="00575C3F"/>
    <w:rsid w:val="00577A12"/>
    <w:rsid w:val="00582128"/>
    <w:rsid w:val="005823FC"/>
    <w:rsid w:val="00582DBD"/>
    <w:rsid w:val="00583878"/>
    <w:rsid w:val="00584255"/>
    <w:rsid w:val="00584F5F"/>
    <w:rsid w:val="00586D00"/>
    <w:rsid w:val="00587DD1"/>
    <w:rsid w:val="00590B57"/>
    <w:rsid w:val="00592011"/>
    <w:rsid w:val="005924D0"/>
    <w:rsid w:val="005925C8"/>
    <w:rsid w:val="005927C1"/>
    <w:rsid w:val="00592F50"/>
    <w:rsid w:val="005943E6"/>
    <w:rsid w:val="00594DEE"/>
    <w:rsid w:val="0059555C"/>
    <w:rsid w:val="005A00EE"/>
    <w:rsid w:val="005A09F6"/>
    <w:rsid w:val="005A14CA"/>
    <w:rsid w:val="005A15E6"/>
    <w:rsid w:val="005A2C81"/>
    <w:rsid w:val="005A2F72"/>
    <w:rsid w:val="005A4590"/>
    <w:rsid w:val="005A469A"/>
    <w:rsid w:val="005A494B"/>
    <w:rsid w:val="005A61AC"/>
    <w:rsid w:val="005A6A1B"/>
    <w:rsid w:val="005A6B6E"/>
    <w:rsid w:val="005B09A5"/>
    <w:rsid w:val="005B170A"/>
    <w:rsid w:val="005B257B"/>
    <w:rsid w:val="005B2933"/>
    <w:rsid w:val="005B2DC1"/>
    <w:rsid w:val="005B327F"/>
    <w:rsid w:val="005B39FB"/>
    <w:rsid w:val="005B5CFE"/>
    <w:rsid w:val="005B6CD1"/>
    <w:rsid w:val="005B7150"/>
    <w:rsid w:val="005B74D2"/>
    <w:rsid w:val="005B7E91"/>
    <w:rsid w:val="005C068C"/>
    <w:rsid w:val="005C0F1D"/>
    <w:rsid w:val="005C1B6F"/>
    <w:rsid w:val="005C1CB4"/>
    <w:rsid w:val="005C1D4E"/>
    <w:rsid w:val="005C2DDB"/>
    <w:rsid w:val="005C2F8C"/>
    <w:rsid w:val="005C3521"/>
    <w:rsid w:val="005C5EC5"/>
    <w:rsid w:val="005C6FE9"/>
    <w:rsid w:val="005C7943"/>
    <w:rsid w:val="005C7AC9"/>
    <w:rsid w:val="005D0BE0"/>
    <w:rsid w:val="005D1190"/>
    <w:rsid w:val="005D136B"/>
    <w:rsid w:val="005D13F5"/>
    <w:rsid w:val="005D15BD"/>
    <w:rsid w:val="005D19A0"/>
    <w:rsid w:val="005D610D"/>
    <w:rsid w:val="005E01AE"/>
    <w:rsid w:val="005E1188"/>
    <w:rsid w:val="005E1CB7"/>
    <w:rsid w:val="005E26AC"/>
    <w:rsid w:val="005E67FA"/>
    <w:rsid w:val="005E7CFE"/>
    <w:rsid w:val="005F010E"/>
    <w:rsid w:val="005F2030"/>
    <w:rsid w:val="005F2301"/>
    <w:rsid w:val="005F3295"/>
    <w:rsid w:val="005F5557"/>
    <w:rsid w:val="005F6986"/>
    <w:rsid w:val="005F75B1"/>
    <w:rsid w:val="005F780B"/>
    <w:rsid w:val="0060301F"/>
    <w:rsid w:val="00603D51"/>
    <w:rsid w:val="00606D3D"/>
    <w:rsid w:val="00607B02"/>
    <w:rsid w:val="0061617E"/>
    <w:rsid w:val="00616277"/>
    <w:rsid w:val="006171D8"/>
    <w:rsid w:val="00620231"/>
    <w:rsid w:val="006203E8"/>
    <w:rsid w:val="0062045C"/>
    <w:rsid w:val="006210D1"/>
    <w:rsid w:val="006221BA"/>
    <w:rsid w:val="006225D4"/>
    <w:rsid w:val="00622EFB"/>
    <w:rsid w:val="006240B6"/>
    <w:rsid w:val="0062415C"/>
    <w:rsid w:val="0062470F"/>
    <w:rsid w:val="006248E6"/>
    <w:rsid w:val="0062544A"/>
    <w:rsid w:val="00625736"/>
    <w:rsid w:val="0062587F"/>
    <w:rsid w:val="00625B61"/>
    <w:rsid w:val="006263E5"/>
    <w:rsid w:val="00626633"/>
    <w:rsid w:val="00633F49"/>
    <w:rsid w:val="00637063"/>
    <w:rsid w:val="0063709B"/>
    <w:rsid w:val="00637DDA"/>
    <w:rsid w:val="00641B08"/>
    <w:rsid w:val="00645C13"/>
    <w:rsid w:val="00647887"/>
    <w:rsid w:val="00647BF8"/>
    <w:rsid w:val="006515A8"/>
    <w:rsid w:val="0065230E"/>
    <w:rsid w:val="00652F70"/>
    <w:rsid w:val="00654147"/>
    <w:rsid w:val="00656701"/>
    <w:rsid w:val="00656753"/>
    <w:rsid w:val="0065767D"/>
    <w:rsid w:val="00657D98"/>
    <w:rsid w:val="00657F93"/>
    <w:rsid w:val="00661297"/>
    <w:rsid w:val="00661514"/>
    <w:rsid w:val="00661975"/>
    <w:rsid w:val="006619D1"/>
    <w:rsid w:val="00661E1F"/>
    <w:rsid w:val="006624D8"/>
    <w:rsid w:val="00662BD9"/>
    <w:rsid w:val="006637BC"/>
    <w:rsid w:val="00663F03"/>
    <w:rsid w:val="00664A69"/>
    <w:rsid w:val="00664E6A"/>
    <w:rsid w:val="00665173"/>
    <w:rsid w:val="00666285"/>
    <w:rsid w:val="006663BA"/>
    <w:rsid w:val="00671687"/>
    <w:rsid w:val="00671DC9"/>
    <w:rsid w:val="00671F6E"/>
    <w:rsid w:val="006727C3"/>
    <w:rsid w:val="00672918"/>
    <w:rsid w:val="00672A40"/>
    <w:rsid w:val="00673304"/>
    <w:rsid w:val="00675E03"/>
    <w:rsid w:val="006766EF"/>
    <w:rsid w:val="00676727"/>
    <w:rsid w:val="006769D9"/>
    <w:rsid w:val="00676EF2"/>
    <w:rsid w:val="00677CA7"/>
    <w:rsid w:val="00677FC6"/>
    <w:rsid w:val="0068179E"/>
    <w:rsid w:val="006822CF"/>
    <w:rsid w:val="0068234B"/>
    <w:rsid w:val="00682F93"/>
    <w:rsid w:val="006830F3"/>
    <w:rsid w:val="00683352"/>
    <w:rsid w:val="00683D8B"/>
    <w:rsid w:val="00683DD4"/>
    <w:rsid w:val="00684098"/>
    <w:rsid w:val="0068525D"/>
    <w:rsid w:val="00687727"/>
    <w:rsid w:val="00687BAA"/>
    <w:rsid w:val="00687E1D"/>
    <w:rsid w:val="00687F22"/>
    <w:rsid w:val="006905AA"/>
    <w:rsid w:val="00691198"/>
    <w:rsid w:val="00691956"/>
    <w:rsid w:val="00691CC3"/>
    <w:rsid w:val="00692152"/>
    <w:rsid w:val="00693770"/>
    <w:rsid w:val="00693B5E"/>
    <w:rsid w:val="00694939"/>
    <w:rsid w:val="00694B6C"/>
    <w:rsid w:val="0069515A"/>
    <w:rsid w:val="00697256"/>
    <w:rsid w:val="0069788F"/>
    <w:rsid w:val="006A0662"/>
    <w:rsid w:val="006A0940"/>
    <w:rsid w:val="006A23E6"/>
    <w:rsid w:val="006A2A08"/>
    <w:rsid w:val="006A2D40"/>
    <w:rsid w:val="006A3210"/>
    <w:rsid w:val="006A4BC5"/>
    <w:rsid w:val="006A56A1"/>
    <w:rsid w:val="006A6429"/>
    <w:rsid w:val="006A6D49"/>
    <w:rsid w:val="006A7229"/>
    <w:rsid w:val="006B0277"/>
    <w:rsid w:val="006B095A"/>
    <w:rsid w:val="006B2005"/>
    <w:rsid w:val="006B3515"/>
    <w:rsid w:val="006B3F58"/>
    <w:rsid w:val="006B656A"/>
    <w:rsid w:val="006B68FE"/>
    <w:rsid w:val="006B7705"/>
    <w:rsid w:val="006C06DE"/>
    <w:rsid w:val="006C14C0"/>
    <w:rsid w:val="006C1BCB"/>
    <w:rsid w:val="006C4483"/>
    <w:rsid w:val="006C4FB1"/>
    <w:rsid w:val="006C523F"/>
    <w:rsid w:val="006C642C"/>
    <w:rsid w:val="006C6667"/>
    <w:rsid w:val="006D3572"/>
    <w:rsid w:val="006D4637"/>
    <w:rsid w:val="006D4690"/>
    <w:rsid w:val="006D5390"/>
    <w:rsid w:val="006D585F"/>
    <w:rsid w:val="006D5B1F"/>
    <w:rsid w:val="006D609F"/>
    <w:rsid w:val="006D7A3A"/>
    <w:rsid w:val="006D7CCA"/>
    <w:rsid w:val="006E05CD"/>
    <w:rsid w:val="006E08ED"/>
    <w:rsid w:val="006E0F91"/>
    <w:rsid w:val="006E2139"/>
    <w:rsid w:val="006E31A4"/>
    <w:rsid w:val="006E632E"/>
    <w:rsid w:val="006E6CA3"/>
    <w:rsid w:val="006E7802"/>
    <w:rsid w:val="006E7DF1"/>
    <w:rsid w:val="006F1C44"/>
    <w:rsid w:val="006F1EEE"/>
    <w:rsid w:val="006F1F9C"/>
    <w:rsid w:val="006F3F02"/>
    <w:rsid w:val="006F406A"/>
    <w:rsid w:val="006F42FA"/>
    <w:rsid w:val="006F5051"/>
    <w:rsid w:val="006F6001"/>
    <w:rsid w:val="006F6FE7"/>
    <w:rsid w:val="00700DF8"/>
    <w:rsid w:val="00700FF9"/>
    <w:rsid w:val="00701C16"/>
    <w:rsid w:val="00702433"/>
    <w:rsid w:val="00703A24"/>
    <w:rsid w:val="007042C5"/>
    <w:rsid w:val="00704643"/>
    <w:rsid w:val="00704813"/>
    <w:rsid w:val="00704FE8"/>
    <w:rsid w:val="0070560B"/>
    <w:rsid w:val="00706AA9"/>
    <w:rsid w:val="00707738"/>
    <w:rsid w:val="00707ADC"/>
    <w:rsid w:val="00710360"/>
    <w:rsid w:val="00710682"/>
    <w:rsid w:val="00711915"/>
    <w:rsid w:val="00711D87"/>
    <w:rsid w:val="00711FE3"/>
    <w:rsid w:val="00712358"/>
    <w:rsid w:val="0071264B"/>
    <w:rsid w:val="0071268A"/>
    <w:rsid w:val="007130B0"/>
    <w:rsid w:val="00714097"/>
    <w:rsid w:val="00714637"/>
    <w:rsid w:val="00714D3E"/>
    <w:rsid w:val="0071508A"/>
    <w:rsid w:val="00715356"/>
    <w:rsid w:val="00720DBE"/>
    <w:rsid w:val="00722336"/>
    <w:rsid w:val="00722D01"/>
    <w:rsid w:val="0072304E"/>
    <w:rsid w:val="00723855"/>
    <w:rsid w:val="00724DAA"/>
    <w:rsid w:val="00726DD9"/>
    <w:rsid w:val="00730F16"/>
    <w:rsid w:val="007317EE"/>
    <w:rsid w:val="007321FF"/>
    <w:rsid w:val="00733747"/>
    <w:rsid w:val="00733B83"/>
    <w:rsid w:val="00733F19"/>
    <w:rsid w:val="00734ED9"/>
    <w:rsid w:val="00737325"/>
    <w:rsid w:val="007379DC"/>
    <w:rsid w:val="0074179A"/>
    <w:rsid w:val="00743323"/>
    <w:rsid w:val="0074503C"/>
    <w:rsid w:val="00745400"/>
    <w:rsid w:val="00745A34"/>
    <w:rsid w:val="00746039"/>
    <w:rsid w:val="0074621B"/>
    <w:rsid w:val="00746B22"/>
    <w:rsid w:val="00746D37"/>
    <w:rsid w:val="007477AD"/>
    <w:rsid w:val="007509CE"/>
    <w:rsid w:val="00752220"/>
    <w:rsid w:val="007526CF"/>
    <w:rsid w:val="00752D2D"/>
    <w:rsid w:val="0075328B"/>
    <w:rsid w:val="00753B77"/>
    <w:rsid w:val="0075465F"/>
    <w:rsid w:val="0075487C"/>
    <w:rsid w:val="00754C2E"/>
    <w:rsid w:val="00754F1C"/>
    <w:rsid w:val="00755641"/>
    <w:rsid w:val="007567A3"/>
    <w:rsid w:val="00756F09"/>
    <w:rsid w:val="00757681"/>
    <w:rsid w:val="00757E92"/>
    <w:rsid w:val="0076021C"/>
    <w:rsid w:val="0076163D"/>
    <w:rsid w:val="00762989"/>
    <w:rsid w:val="00762B89"/>
    <w:rsid w:val="00764085"/>
    <w:rsid w:val="00766A4F"/>
    <w:rsid w:val="00767063"/>
    <w:rsid w:val="00767836"/>
    <w:rsid w:val="00767F03"/>
    <w:rsid w:val="00767FAE"/>
    <w:rsid w:val="007708C7"/>
    <w:rsid w:val="0077430A"/>
    <w:rsid w:val="00774B00"/>
    <w:rsid w:val="0077619B"/>
    <w:rsid w:val="00776B13"/>
    <w:rsid w:val="00777F6A"/>
    <w:rsid w:val="00782303"/>
    <w:rsid w:val="00782B5B"/>
    <w:rsid w:val="007852FF"/>
    <w:rsid w:val="0078616F"/>
    <w:rsid w:val="00786B26"/>
    <w:rsid w:val="0079065E"/>
    <w:rsid w:val="00792C36"/>
    <w:rsid w:val="007932DD"/>
    <w:rsid w:val="007938EB"/>
    <w:rsid w:val="007976F0"/>
    <w:rsid w:val="007A053E"/>
    <w:rsid w:val="007A09F7"/>
    <w:rsid w:val="007A1D4E"/>
    <w:rsid w:val="007A5215"/>
    <w:rsid w:val="007A59B9"/>
    <w:rsid w:val="007A5DB4"/>
    <w:rsid w:val="007A7703"/>
    <w:rsid w:val="007B1713"/>
    <w:rsid w:val="007B1EE9"/>
    <w:rsid w:val="007B2568"/>
    <w:rsid w:val="007B4C9B"/>
    <w:rsid w:val="007B53D4"/>
    <w:rsid w:val="007B58FA"/>
    <w:rsid w:val="007B5C37"/>
    <w:rsid w:val="007B6D83"/>
    <w:rsid w:val="007B6FE8"/>
    <w:rsid w:val="007B70CC"/>
    <w:rsid w:val="007B76D5"/>
    <w:rsid w:val="007B7F90"/>
    <w:rsid w:val="007C0FBC"/>
    <w:rsid w:val="007C1237"/>
    <w:rsid w:val="007C3375"/>
    <w:rsid w:val="007C3553"/>
    <w:rsid w:val="007C4BA8"/>
    <w:rsid w:val="007C69D6"/>
    <w:rsid w:val="007C7750"/>
    <w:rsid w:val="007C7BA2"/>
    <w:rsid w:val="007D156E"/>
    <w:rsid w:val="007D1F5E"/>
    <w:rsid w:val="007D253D"/>
    <w:rsid w:val="007D47C1"/>
    <w:rsid w:val="007D4841"/>
    <w:rsid w:val="007D655B"/>
    <w:rsid w:val="007D656F"/>
    <w:rsid w:val="007D765D"/>
    <w:rsid w:val="007D776C"/>
    <w:rsid w:val="007D7D6A"/>
    <w:rsid w:val="007E00FF"/>
    <w:rsid w:val="007E09ED"/>
    <w:rsid w:val="007E0BED"/>
    <w:rsid w:val="007E215D"/>
    <w:rsid w:val="007E28F2"/>
    <w:rsid w:val="007E2C60"/>
    <w:rsid w:val="007E2EB1"/>
    <w:rsid w:val="007E2F9E"/>
    <w:rsid w:val="007E666B"/>
    <w:rsid w:val="007E6B10"/>
    <w:rsid w:val="007E7FAB"/>
    <w:rsid w:val="007F0525"/>
    <w:rsid w:val="007F0870"/>
    <w:rsid w:val="007F2561"/>
    <w:rsid w:val="007F2AC1"/>
    <w:rsid w:val="007F2D38"/>
    <w:rsid w:val="007F4B45"/>
    <w:rsid w:val="007F5298"/>
    <w:rsid w:val="007F6FF4"/>
    <w:rsid w:val="007F7EEB"/>
    <w:rsid w:val="008002E0"/>
    <w:rsid w:val="00803112"/>
    <w:rsid w:val="0080408D"/>
    <w:rsid w:val="00804AA9"/>
    <w:rsid w:val="008057FF"/>
    <w:rsid w:val="00806693"/>
    <w:rsid w:val="00807C0E"/>
    <w:rsid w:val="0081088F"/>
    <w:rsid w:val="008109A0"/>
    <w:rsid w:val="00811675"/>
    <w:rsid w:val="00812D47"/>
    <w:rsid w:val="00813033"/>
    <w:rsid w:val="008155E6"/>
    <w:rsid w:val="0081586F"/>
    <w:rsid w:val="008171AA"/>
    <w:rsid w:val="0082073B"/>
    <w:rsid w:val="00820D67"/>
    <w:rsid w:val="00820FB0"/>
    <w:rsid w:val="008227D4"/>
    <w:rsid w:val="00823158"/>
    <w:rsid w:val="00823178"/>
    <w:rsid w:val="00823599"/>
    <w:rsid w:val="008242F3"/>
    <w:rsid w:val="0082609D"/>
    <w:rsid w:val="00826F80"/>
    <w:rsid w:val="00830DCD"/>
    <w:rsid w:val="00831C56"/>
    <w:rsid w:val="00831CD3"/>
    <w:rsid w:val="0083282E"/>
    <w:rsid w:val="00833CF1"/>
    <w:rsid w:val="008369B6"/>
    <w:rsid w:val="008409D8"/>
    <w:rsid w:val="00841231"/>
    <w:rsid w:val="00841C9C"/>
    <w:rsid w:val="008426E8"/>
    <w:rsid w:val="00842B8A"/>
    <w:rsid w:val="008436EA"/>
    <w:rsid w:val="00844083"/>
    <w:rsid w:val="00845214"/>
    <w:rsid w:val="00845376"/>
    <w:rsid w:val="00846432"/>
    <w:rsid w:val="00846A14"/>
    <w:rsid w:val="00846E6E"/>
    <w:rsid w:val="0084718D"/>
    <w:rsid w:val="008472A6"/>
    <w:rsid w:val="00847D21"/>
    <w:rsid w:val="00850751"/>
    <w:rsid w:val="00851448"/>
    <w:rsid w:val="00852336"/>
    <w:rsid w:val="00852C6B"/>
    <w:rsid w:val="00853E06"/>
    <w:rsid w:val="00855896"/>
    <w:rsid w:val="00855F28"/>
    <w:rsid w:val="00856495"/>
    <w:rsid w:val="008569CD"/>
    <w:rsid w:val="00856D1B"/>
    <w:rsid w:val="00857D73"/>
    <w:rsid w:val="008636B6"/>
    <w:rsid w:val="0086406D"/>
    <w:rsid w:val="0086437D"/>
    <w:rsid w:val="00864951"/>
    <w:rsid w:val="00864F4D"/>
    <w:rsid w:val="00865338"/>
    <w:rsid w:val="0086646F"/>
    <w:rsid w:val="008664F7"/>
    <w:rsid w:val="008708B5"/>
    <w:rsid w:val="00871215"/>
    <w:rsid w:val="008719FE"/>
    <w:rsid w:val="0087251E"/>
    <w:rsid w:val="00873369"/>
    <w:rsid w:val="008735F3"/>
    <w:rsid w:val="0087414F"/>
    <w:rsid w:val="0087425B"/>
    <w:rsid w:val="00875FB6"/>
    <w:rsid w:val="00877344"/>
    <w:rsid w:val="00882C7B"/>
    <w:rsid w:val="008836D6"/>
    <w:rsid w:val="00883EB8"/>
    <w:rsid w:val="0088596C"/>
    <w:rsid w:val="0088693B"/>
    <w:rsid w:val="00886CB9"/>
    <w:rsid w:val="00890988"/>
    <w:rsid w:val="00892113"/>
    <w:rsid w:val="00896F3E"/>
    <w:rsid w:val="0089746B"/>
    <w:rsid w:val="008A0003"/>
    <w:rsid w:val="008A0AB3"/>
    <w:rsid w:val="008A1C7A"/>
    <w:rsid w:val="008A23A6"/>
    <w:rsid w:val="008A24FD"/>
    <w:rsid w:val="008A4900"/>
    <w:rsid w:val="008A4E17"/>
    <w:rsid w:val="008A62FE"/>
    <w:rsid w:val="008A6C4F"/>
    <w:rsid w:val="008A6EF3"/>
    <w:rsid w:val="008A70F0"/>
    <w:rsid w:val="008A7A53"/>
    <w:rsid w:val="008B0680"/>
    <w:rsid w:val="008B0825"/>
    <w:rsid w:val="008B1521"/>
    <w:rsid w:val="008B1592"/>
    <w:rsid w:val="008B1B07"/>
    <w:rsid w:val="008B2D4C"/>
    <w:rsid w:val="008B322B"/>
    <w:rsid w:val="008B3621"/>
    <w:rsid w:val="008B3F2E"/>
    <w:rsid w:val="008B5210"/>
    <w:rsid w:val="008B5E48"/>
    <w:rsid w:val="008B6C9A"/>
    <w:rsid w:val="008C0B81"/>
    <w:rsid w:val="008C1DFC"/>
    <w:rsid w:val="008C26B0"/>
    <w:rsid w:val="008C3D94"/>
    <w:rsid w:val="008C3EE4"/>
    <w:rsid w:val="008C4206"/>
    <w:rsid w:val="008C4568"/>
    <w:rsid w:val="008C461C"/>
    <w:rsid w:val="008C4C4A"/>
    <w:rsid w:val="008C5D44"/>
    <w:rsid w:val="008C6902"/>
    <w:rsid w:val="008C6CED"/>
    <w:rsid w:val="008C7273"/>
    <w:rsid w:val="008C754D"/>
    <w:rsid w:val="008D0372"/>
    <w:rsid w:val="008D1A7D"/>
    <w:rsid w:val="008D4170"/>
    <w:rsid w:val="008D4C67"/>
    <w:rsid w:val="008D4F7C"/>
    <w:rsid w:val="008D5779"/>
    <w:rsid w:val="008D5CFA"/>
    <w:rsid w:val="008D64C2"/>
    <w:rsid w:val="008D64E0"/>
    <w:rsid w:val="008D6593"/>
    <w:rsid w:val="008E008C"/>
    <w:rsid w:val="008E23E1"/>
    <w:rsid w:val="008E38F0"/>
    <w:rsid w:val="008E3D4B"/>
    <w:rsid w:val="008E44EE"/>
    <w:rsid w:val="008E4DA9"/>
    <w:rsid w:val="008E5187"/>
    <w:rsid w:val="008E6AC7"/>
    <w:rsid w:val="008E70C8"/>
    <w:rsid w:val="008F031E"/>
    <w:rsid w:val="008F034A"/>
    <w:rsid w:val="008F1040"/>
    <w:rsid w:val="008F18BA"/>
    <w:rsid w:val="008F1D85"/>
    <w:rsid w:val="008F1FB0"/>
    <w:rsid w:val="008F2D45"/>
    <w:rsid w:val="008F3B5A"/>
    <w:rsid w:val="008F4472"/>
    <w:rsid w:val="008F52F2"/>
    <w:rsid w:val="008F58BD"/>
    <w:rsid w:val="008F6E6F"/>
    <w:rsid w:val="008F7E23"/>
    <w:rsid w:val="00900567"/>
    <w:rsid w:val="0090083E"/>
    <w:rsid w:val="009011C8"/>
    <w:rsid w:val="009020BD"/>
    <w:rsid w:val="0090216D"/>
    <w:rsid w:val="00904222"/>
    <w:rsid w:val="00904E29"/>
    <w:rsid w:val="009059A0"/>
    <w:rsid w:val="00905E44"/>
    <w:rsid w:val="00906DFE"/>
    <w:rsid w:val="00907D59"/>
    <w:rsid w:val="00911E65"/>
    <w:rsid w:val="00912242"/>
    <w:rsid w:val="0091244E"/>
    <w:rsid w:val="00913440"/>
    <w:rsid w:val="009139A3"/>
    <w:rsid w:val="0091430E"/>
    <w:rsid w:val="00914500"/>
    <w:rsid w:val="00915AB2"/>
    <w:rsid w:val="00915B9C"/>
    <w:rsid w:val="00916DCA"/>
    <w:rsid w:val="00920846"/>
    <w:rsid w:val="00921534"/>
    <w:rsid w:val="00922644"/>
    <w:rsid w:val="00922AE3"/>
    <w:rsid w:val="0092347F"/>
    <w:rsid w:val="00923DDC"/>
    <w:rsid w:val="00924ADE"/>
    <w:rsid w:val="009256F5"/>
    <w:rsid w:val="00925DDA"/>
    <w:rsid w:val="00926BB5"/>
    <w:rsid w:val="00926C95"/>
    <w:rsid w:val="00926FED"/>
    <w:rsid w:val="00927EDD"/>
    <w:rsid w:val="0093007F"/>
    <w:rsid w:val="00932165"/>
    <w:rsid w:val="00932372"/>
    <w:rsid w:val="00933977"/>
    <w:rsid w:val="00935460"/>
    <w:rsid w:val="00936132"/>
    <w:rsid w:val="00936A66"/>
    <w:rsid w:val="00937307"/>
    <w:rsid w:val="0093779B"/>
    <w:rsid w:val="00940252"/>
    <w:rsid w:val="00940B63"/>
    <w:rsid w:val="0094111F"/>
    <w:rsid w:val="009424AD"/>
    <w:rsid w:val="00942BB8"/>
    <w:rsid w:val="0094615A"/>
    <w:rsid w:val="00951160"/>
    <w:rsid w:val="0095140E"/>
    <w:rsid w:val="0095152F"/>
    <w:rsid w:val="009525E3"/>
    <w:rsid w:val="0095451A"/>
    <w:rsid w:val="00954FFB"/>
    <w:rsid w:val="00955632"/>
    <w:rsid w:val="00955AEC"/>
    <w:rsid w:val="00955F8D"/>
    <w:rsid w:val="00956935"/>
    <w:rsid w:val="00957F57"/>
    <w:rsid w:val="009604A0"/>
    <w:rsid w:val="009622E7"/>
    <w:rsid w:val="00962745"/>
    <w:rsid w:val="00962CF5"/>
    <w:rsid w:val="00963207"/>
    <w:rsid w:val="0096391C"/>
    <w:rsid w:val="009639BD"/>
    <w:rsid w:val="009646F7"/>
    <w:rsid w:val="00965447"/>
    <w:rsid w:val="00965995"/>
    <w:rsid w:val="00965EFF"/>
    <w:rsid w:val="0096626E"/>
    <w:rsid w:val="009706BB"/>
    <w:rsid w:val="00970C96"/>
    <w:rsid w:val="009712AE"/>
    <w:rsid w:val="00971D94"/>
    <w:rsid w:val="00973F5F"/>
    <w:rsid w:val="00974830"/>
    <w:rsid w:val="00974A1B"/>
    <w:rsid w:val="00975140"/>
    <w:rsid w:val="00975CCF"/>
    <w:rsid w:val="009773FC"/>
    <w:rsid w:val="00977728"/>
    <w:rsid w:val="009779FD"/>
    <w:rsid w:val="00981D4A"/>
    <w:rsid w:val="00982742"/>
    <w:rsid w:val="00982B6A"/>
    <w:rsid w:val="00983E12"/>
    <w:rsid w:val="00984283"/>
    <w:rsid w:val="00984BE6"/>
    <w:rsid w:val="00984DEA"/>
    <w:rsid w:val="00984ECE"/>
    <w:rsid w:val="00986200"/>
    <w:rsid w:val="0098679C"/>
    <w:rsid w:val="0098711E"/>
    <w:rsid w:val="00987A5D"/>
    <w:rsid w:val="009905EF"/>
    <w:rsid w:val="00992820"/>
    <w:rsid w:val="009942DA"/>
    <w:rsid w:val="00994DA0"/>
    <w:rsid w:val="00996278"/>
    <w:rsid w:val="00996A2D"/>
    <w:rsid w:val="009A08A4"/>
    <w:rsid w:val="009A1850"/>
    <w:rsid w:val="009A2509"/>
    <w:rsid w:val="009A279B"/>
    <w:rsid w:val="009A3551"/>
    <w:rsid w:val="009A4B25"/>
    <w:rsid w:val="009A4F0A"/>
    <w:rsid w:val="009A536C"/>
    <w:rsid w:val="009A5498"/>
    <w:rsid w:val="009A56EC"/>
    <w:rsid w:val="009A5BF3"/>
    <w:rsid w:val="009A6579"/>
    <w:rsid w:val="009A65FD"/>
    <w:rsid w:val="009A7D59"/>
    <w:rsid w:val="009B0613"/>
    <w:rsid w:val="009B0E34"/>
    <w:rsid w:val="009B271D"/>
    <w:rsid w:val="009B31FD"/>
    <w:rsid w:val="009B37E5"/>
    <w:rsid w:val="009B4A88"/>
    <w:rsid w:val="009B4F2A"/>
    <w:rsid w:val="009B5D19"/>
    <w:rsid w:val="009B6E02"/>
    <w:rsid w:val="009B745D"/>
    <w:rsid w:val="009B7A43"/>
    <w:rsid w:val="009C08AC"/>
    <w:rsid w:val="009C0C3E"/>
    <w:rsid w:val="009C41BB"/>
    <w:rsid w:val="009C50B0"/>
    <w:rsid w:val="009C6C51"/>
    <w:rsid w:val="009C7790"/>
    <w:rsid w:val="009D1056"/>
    <w:rsid w:val="009D321B"/>
    <w:rsid w:val="009D47B6"/>
    <w:rsid w:val="009D48A7"/>
    <w:rsid w:val="009D5692"/>
    <w:rsid w:val="009D6023"/>
    <w:rsid w:val="009D6A15"/>
    <w:rsid w:val="009E545A"/>
    <w:rsid w:val="009E7BDA"/>
    <w:rsid w:val="009E7CF6"/>
    <w:rsid w:val="009F0CD6"/>
    <w:rsid w:val="009F1598"/>
    <w:rsid w:val="009F1DFD"/>
    <w:rsid w:val="009F3D64"/>
    <w:rsid w:val="009F4FA5"/>
    <w:rsid w:val="009F5660"/>
    <w:rsid w:val="009F7657"/>
    <w:rsid w:val="00A0005A"/>
    <w:rsid w:val="00A00626"/>
    <w:rsid w:val="00A0121A"/>
    <w:rsid w:val="00A017EB"/>
    <w:rsid w:val="00A02A9C"/>
    <w:rsid w:val="00A03646"/>
    <w:rsid w:val="00A046FB"/>
    <w:rsid w:val="00A05373"/>
    <w:rsid w:val="00A0770D"/>
    <w:rsid w:val="00A11D13"/>
    <w:rsid w:val="00A12734"/>
    <w:rsid w:val="00A12DDF"/>
    <w:rsid w:val="00A15416"/>
    <w:rsid w:val="00A15F68"/>
    <w:rsid w:val="00A17913"/>
    <w:rsid w:val="00A20B8C"/>
    <w:rsid w:val="00A2286A"/>
    <w:rsid w:val="00A244D2"/>
    <w:rsid w:val="00A2572D"/>
    <w:rsid w:val="00A25D17"/>
    <w:rsid w:val="00A26050"/>
    <w:rsid w:val="00A26BC8"/>
    <w:rsid w:val="00A27407"/>
    <w:rsid w:val="00A27FA1"/>
    <w:rsid w:val="00A304A4"/>
    <w:rsid w:val="00A30BDC"/>
    <w:rsid w:val="00A30C51"/>
    <w:rsid w:val="00A314FF"/>
    <w:rsid w:val="00A35174"/>
    <w:rsid w:val="00A37BEC"/>
    <w:rsid w:val="00A4002A"/>
    <w:rsid w:val="00A403D9"/>
    <w:rsid w:val="00A409B8"/>
    <w:rsid w:val="00A40E7F"/>
    <w:rsid w:val="00A415E4"/>
    <w:rsid w:val="00A41B8D"/>
    <w:rsid w:val="00A423ED"/>
    <w:rsid w:val="00A42AD2"/>
    <w:rsid w:val="00A43398"/>
    <w:rsid w:val="00A443ED"/>
    <w:rsid w:val="00A45CD0"/>
    <w:rsid w:val="00A466B1"/>
    <w:rsid w:val="00A4777B"/>
    <w:rsid w:val="00A4798D"/>
    <w:rsid w:val="00A507F4"/>
    <w:rsid w:val="00A509B8"/>
    <w:rsid w:val="00A520DD"/>
    <w:rsid w:val="00A529E6"/>
    <w:rsid w:val="00A52BD1"/>
    <w:rsid w:val="00A52EF8"/>
    <w:rsid w:val="00A53F45"/>
    <w:rsid w:val="00A5440B"/>
    <w:rsid w:val="00A54701"/>
    <w:rsid w:val="00A5495C"/>
    <w:rsid w:val="00A54D76"/>
    <w:rsid w:val="00A54E20"/>
    <w:rsid w:val="00A60091"/>
    <w:rsid w:val="00A604D2"/>
    <w:rsid w:val="00A61ABA"/>
    <w:rsid w:val="00A62138"/>
    <w:rsid w:val="00A62304"/>
    <w:rsid w:val="00A6445D"/>
    <w:rsid w:val="00A64D9B"/>
    <w:rsid w:val="00A6598C"/>
    <w:rsid w:val="00A66011"/>
    <w:rsid w:val="00A66CEE"/>
    <w:rsid w:val="00A7075C"/>
    <w:rsid w:val="00A714AA"/>
    <w:rsid w:val="00A73378"/>
    <w:rsid w:val="00A73399"/>
    <w:rsid w:val="00A73E4E"/>
    <w:rsid w:val="00A752C6"/>
    <w:rsid w:val="00A762EE"/>
    <w:rsid w:val="00A76AC7"/>
    <w:rsid w:val="00A773FB"/>
    <w:rsid w:val="00A8089C"/>
    <w:rsid w:val="00A80C70"/>
    <w:rsid w:val="00A80FCD"/>
    <w:rsid w:val="00A81607"/>
    <w:rsid w:val="00A81CCD"/>
    <w:rsid w:val="00A822CD"/>
    <w:rsid w:val="00A8256C"/>
    <w:rsid w:val="00A828EA"/>
    <w:rsid w:val="00A82EF9"/>
    <w:rsid w:val="00A8344E"/>
    <w:rsid w:val="00A8348C"/>
    <w:rsid w:val="00A8356A"/>
    <w:rsid w:val="00A83ED5"/>
    <w:rsid w:val="00A84A3A"/>
    <w:rsid w:val="00A84AE2"/>
    <w:rsid w:val="00A856CC"/>
    <w:rsid w:val="00A9023A"/>
    <w:rsid w:val="00A904A5"/>
    <w:rsid w:val="00A91A61"/>
    <w:rsid w:val="00A921CC"/>
    <w:rsid w:val="00A924A2"/>
    <w:rsid w:val="00A92500"/>
    <w:rsid w:val="00A92AFA"/>
    <w:rsid w:val="00A94A67"/>
    <w:rsid w:val="00A94E8C"/>
    <w:rsid w:val="00A958FC"/>
    <w:rsid w:val="00A97274"/>
    <w:rsid w:val="00AA03B4"/>
    <w:rsid w:val="00AA127A"/>
    <w:rsid w:val="00AA26AF"/>
    <w:rsid w:val="00AA40EB"/>
    <w:rsid w:val="00AA4DF4"/>
    <w:rsid w:val="00AA5041"/>
    <w:rsid w:val="00AA7786"/>
    <w:rsid w:val="00AA7CC6"/>
    <w:rsid w:val="00AB0622"/>
    <w:rsid w:val="00AB1537"/>
    <w:rsid w:val="00AB2588"/>
    <w:rsid w:val="00AB4E10"/>
    <w:rsid w:val="00AB5D79"/>
    <w:rsid w:val="00AB61EC"/>
    <w:rsid w:val="00AB676D"/>
    <w:rsid w:val="00AB695B"/>
    <w:rsid w:val="00AB6D06"/>
    <w:rsid w:val="00AC08DA"/>
    <w:rsid w:val="00AC228B"/>
    <w:rsid w:val="00AC2DA8"/>
    <w:rsid w:val="00AC2EE0"/>
    <w:rsid w:val="00AC2EF8"/>
    <w:rsid w:val="00AC3B99"/>
    <w:rsid w:val="00AC4997"/>
    <w:rsid w:val="00AC593C"/>
    <w:rsid w:val="00AC61DA"/>
    <w:rsid w:val="00AD06DB"/>
    <w:rsid w:val="00AD0CF2"/>
    <w:rsid w:val="00AD1D92"/>
    <w:rsid w:val="00AD1EBA"/>
    <w:rsid w:val="00AD2088"/>
    <w:rsid w:val="00AD2439"/>
    <w:rsid w:val="00AD32BC"/>
    <w:rsid w:val="00AD3633"/>
    <w:rsid w:val="00AD3EEC"/>
    <w:rsid w:val="00AD515E"/>
    <w:rsid w:val="00AD5DC0"/>
    <w:rsid w:val="00AD6371"/>
    <w:rsid w:val="00AD69A3"/>
    <w:rsid w:val="00AD6C14"/>
    <w:rsid w:val="00AE1A5C"/>
    <w:rsid w:val="00AE2A8B"/>
    <w:rsid w:val="00AE2BEA"/>
    <w:rsid w:val="00AE3958"/>
    <w:rsid w:val="00AE48EE"/>
    <w:rsid w:val="00AE5DC0"/>
    <w:rsid w:val="00AE6044"/>
    <w:rsid w:val="00AE653F"/>
    <w:rsid w:val="00AE65A6"/>
    <w:rsid w:val="00AE6A16"/>
    <w:rsid w:val="00AE7377"/>
    <w:rsid w:val="00AE779B"/>
    <w:rsid w:val="00AF0623"/>
    <w:rsid w:val="00AF162C"/>
    <w:rsid w:val="00AF247C"/>
    <w:rsid w:val="00AF2DF7"/>
    <w:rsid w:val="00AF3835"/>
    <w:rsid w:val="00AF7348"/>
    <w:rsid w:val="00B00142"/>
    <w:rsid w:val="00B0023F"/>
    <w:rsid w:val="00B013DD"/>
    <w:rsid w:val="00B01D6F"/>
    <w:rsid w:val="00B023CC"/>
    <w:rsid w:val="00B04229"/>
    <w:rsid w:val="00B0621B"/>
    <w:rsid w:val="00B067E8"/>
    <w:rsid w:val="00B068B6"/>
    <w:rsid w:val="00B073CC"/>
    <w:rsid w:val="00B103A3"/>
    <w:rsid w:val="00B10830"/>
    <w:rsid w:val="00B111E7"/>
    <w:rsid w:val="00B120C1"/>
    <w:rsid w:val="00B12707"/>
    <w:rsid w:val="00B13D8F"/>
    <w:rsid w:val="00B13D92"/>
    <w:rsid w:val="00B14489"/>
    <w:rsid w:val="00B14E19"/>
    <w:rsid w:val="00B150DB"/>
    <w:rsid w:val="00B15CE6"/>
    <w:rsid w:val="00B1626E"/>
    <w:rsid w:val="00B16C86"/>
    <w:rsid w:val="00B21997"/>
    <w:rsid w:val="00B2293E"/>
    <w:rsid w:val="00B22D6F"/>
    <w:rsid w:val="00B2323A"/>
    <w:rsid w:val="00B2344E"/>
    <w:rsid w:val="00B23F90"/>
    <w:rsid w:val="00B25120"/>
    <w:rsid w:val="00B26885"/>
    <w:rsid w:val="00B27F30"/>
    <w:rsid w:val="00B31D78"/>
    <w:rsid w:val="00B31E1B"/>
    <w:rsid w:val="00B323CF"/>
    <w:rsid w:val="00B329F8"/>
    <w:rsid w:val="00B32CCB"/>
    <w:rsid w:val="00B32FA4"/>
    <w:rsid w:val="00B33FFD"/>
    <w:rsid w:val="00B35F9D"/>
    <w:rsid w:val="00B40BB1"/>
    <w:rsid w:val="00B41ABA"/>
    <w:rsid w:val="00B43868"/>
    <w:rsid w:val="00B466A1"/>
    <w:rsid w:val="00B46FB0"/>
    <w:rsid w:val="00B4705A"/>
    <w:rsid w:val="00B47B04"/>
    <w:rsid w:val="00B50B19"/>
    <w:rsid w:val="00B52FC9"/>
    <w:rsid w:val="00B53150"/>
    <w:rsid w:val="00B54016"/>
    <w:rsid w:val="00B55EEB"/>
    <w:rsid w:val="00B56134"/>
    <w:rsid w:val="00B57736"/>
    <w:rsid w:val="00B608D7"/>
    <w:rsid w:val="00B60A46"/>
    <w:rsid w:val="00B61F32"/>
    <w:rsid w:val="00B63E25"/>
    <w:rsid w:val="00B66A6F"/>
    <w:rsid w:val="00B75D8C"/>
    <w:rsid w:val="00B760A9"/>
    <w:rsid w:val="00B767FA"/>
    <w:rsid w:val="00B7758D"/>
    <w:rsid w:val="00B77F1B"/>
    <w:rsid w:val="00B80B73"/>
    <w:rsid w:val="00B8128B"/>
    <w:rsid w:val="00B8155F"/>
    <w:rsid w:val="00B82C0F"/>
    <w:rsid w:val="00B847FA"/>
    <w:rsid w:val="00B9019E"/>
    <w:rsid w:val="00B91640"/>
    <w:rsid w:val="00B9182A"/>
    <w:rsid w:val="00B9199A"/>
    <w:rsid w:val="00B93E4A"/>
    <w:rsid w:val="00B950E3"/>
    <w:rsid w:val="00B95F6B"/>
    <w:rsid w:val="00B963BC"/>
    <w:rsid w:val="00B96A7E"/>
    <w:rsid w:val="00B96AD4"/>
    <w:rsid w:val="00B9720A"/>
    <w:rsid w:val="00B974A7"/>
    <w:rsid w:val="00B97D82"/>
    <w:rsid w:val="00BA02A0"/>
    <w:rsid w:val="00BA0488"/>
    <w:rsid w:val="00BA1D3A"/>
    <w:rsid w:val="00BA3513"/>
    <w:rsid w:val="00BA3D80"/>
    <w:rsid w:val="00BA41D6"/>
    <w:rsid w:val="00BA45CD"/>
    <w:rsid w:val="00BA60BB"/>
    <w:rsid w:val="00BA6430"/>
    <w:rsid w:val="00BA6AB4"/>
    <w:rsid w:val="00BB19BC"/>
    <w:rsid w:val="00BB1BBB"/>
    <w:rsid w:val="00BB250D"/>
    <w:rsid w:val="00BB25E2"/>
    <w:rsid w:val="00BB2C9E"/>
    <w:rsid w:val="00BB2CF8"/>
    <w:rsid w:val="00BB3317"/>
    <w:rsid w:val="00BB3433"/>
    <w:rsid w:val="00BB34AA"/>
    <w:rsid w:val="00BB43CA"/>
    <w:rsid w:val="00BB6547"/>
    <w:rsid w:val="00BB751F"/>
    <w:rsid w:val="00BC15F1"/>
    <w:rsid w:val="00BC2E16"/>
    <w:rsid w:val="00BC3352"/>
    <w:rsid w:val="00BC390A"/>
    <w:rsid w:val="00BC4385"/>
    <w:rsid w:val="00BC511D"/>
    <w:rsid w:val="00BC678A"/>
    <w:rsid w:val="00BC7AE8"/>
    <w:rsid w:val="00BC7BCD"/>
    <w:rsid w:val="00BC7FEF"/>
    <w:rsid w:val="00BD1C7B"/>
    <w:rsid w:val="00BD5641"/>
    <w:rsid w:val="00BD57D2"/>
    <w:rsid w:val="00BD6737"/>
    <w:rsid w:val="00BD68A0"/>
    <w:rsid w:val="00BD6A8B"/>
    <w:rsid w:val="00BD7ECE"/>
    <w:rsid w:val="00BE15F4"/>
    <w:rsid w:val="00BE3997"/>
    <w:rsid w:val="00BE3C8A"/>
    <w:rsid w:val="00BE3D00"/>
    <w:rsid w:val="00BE4416"/>
    <w:rsid w:val="00BE5499"/>
    <w:rsid w:val="00BE5623"/>
    <w:rsid w:val="00BE6794"/>
    <w:rsid w:val="00BE79CD"/>
    <w:rsid w:val="00BF1308"/>
    <w:rsid w:val="00BF3F4C"/>
    <w:rsid w:val="00BF4812"/>
    <w:rsid w:val="00BF4A3D"/>
    <w:rsid w:val="00BF51AA"/>
    <w:rsid w:val="00BF5A5A"/>
    <w:rsid w:val="00BF5BCA"/>
    <w:rsid w:val="00BF6E0C"/>
    <w:rsid w:val="00BF7327"/>
    <w:rsid w:val="00BF76C6"/>
    <w:rsid w:val="00C00EAB"/>
    <w:rsid w:val="00C02266"/>
    <w:rsid w:val="00C03327"/>
    <w:rsid w:val="00C034A8"/>
    <w:rsid w:val="00C036D3"/>
    <w:rsid w:val="00C03E79"/>
    <w:rsid w:val="00C04958"/>
    <w:rsid w:val="00C06A74"/>
    <w:rsid w:val="00C11311"/>
    <w:rsid w:val="00C144B4"/>
    <w:rsid w:val="00C16FE3"/>
    <w:rsid w:val="00C17DDF"/>
    <w:rsid w:val="00C2027E"/>
    <w:rsid w:val="00C206BA"/>
    <w:rsid w:val="00C20E46"/>
    <w:rsid w:val="00C217AB"/>
    <w:rsid w:val="00C21A1E"/>
    <w:rsid w:val="00C21A9B"/>
    <w:rsid w:val="00C244DE"/>
    <w:rsid w:val="00C246FA"/>
    <w:rsid w:val="00C24FB8"/>
    <w:rsid w:val="00C253DA"/>
    <w:rsid w:val="00C25FC7"/>
    <w:rsid w:val="00C27973"/>
    <w:rsid w:val="00C30D7D"/>
    <w:rsid w:val="00C30D81"/>
    <w:rsid w:val="00C31686"/>
    <w:rsid w:val="00C3248B"/>
    <w:rsid w:val="00C328BC"/>
    <w:rsid w:val="00C335B7"/>
    <w:rsid w:val="00C33606"/>
    <w:rsid w:val="00C3516A"/>
    <w:rsid w:val="00C35EB3"/>
    <w:rsid w:val="00C36F65"/>
    <w:rsid w:val="00C36FE1"/>
    <w:rsid w:val="00C37190"/>
    <w:rsid w:val="00C37AE1"/>
    <w:rsid w:val="00C40B5B"/>
    <w:rsid w:val="00C4155A"/>
    <w:rsid w:val="00C421FE"/>
    <w:rsid w:val="00C42545"/>
    <w:rsid w:val="00C429C1"/>
    <w:rsid w:val="00C45059"/>
    <w:rsid w:val="00C45713"/>
    <w:rsid w:val="00C46A57"/>
    <w:rsid w:val="00C47814"/>
    <w:rsid w:val="00C502B6"/>
    <w:rsid w:val="00C52105"/>
    <w:rsid w:val="00C52159"/>
    <w:rsid w:val="00C536C6"/>
    <w:rsid w:val="00C53B39"/>
    <w:rsid w:val="00C5434C"/>
    <w:rsid w:val="00C56CB7"/>
    <w:rsid w:val="00C56EC8"/>
    <w:rsid w:val="00C578D1"/>
    <w:rsid w:val="00C57ADF"/>
    <w:rsid w:val="00C6132C"/>
    <w:rsid w:val="00C616D0"/>
    <w:rsid w:val="00C62050"/>
    <w:rsid w:val="00C63D6B"/>
    <w:rsid w:val="00C67260"/>
    <w:rsid w:val="00C702A7"/>
    <w:rsid w:val="00C70884"/>
    <w:rsid w:val="00C7286E"/>
    <w:rsid w:val="00C728F3"/>
    <w:rsid w:val="00C733E6"/>
    <w:rsid w:val="00C73592"/>
    <w:rsid w:val="00C73CD6"/>
    <w:rsid w:val="00C74990"/>
    <w:rsid w:val="00C75489"/>
    <w:rsid w:val="00C76559"/>
    <w:rsid w:val="00C767F9"/>
    <w:rsid w:val="00C768D9"/>
    <w:rsid w:val="00C7789C"/>
    <w:rsid w:val="00C779FE"/>
    <w:rsid w:val="00C80A49"/>
    <w:rsid w:val="00C8199E"/>
    <w:rsid w:val="00C826AD"/>
    <w:rsid w:val="00C830DE"/>
    <w:rsid w:val="00C849D2"/>
    <w:rsid w:val="00C84A02"/>
    <w:rsid w:val="00C84DE1"/>
    <w:rsid w:val="00C85542"/>
    <w:rsid w:val="00C85CFD"/>
    <w:rsid w:val="00C86892"/>
    <w:rsid w:val="00C86CF3"/>
    <w:rsid w:val="00C86F65"/>
    <w:rsid w:val="00C905FA"/>
    <w:rsid w:val="00C91E56"/>
    <w:rsid w:val="00C9271E"/>
    <w:rsid w:val="00C92F22"/>
    <w:rsid w:val="00C92FEE"/>
    <w:rsid w:val="00C936AF"/>
    <w:rsid w:val="00C9442C"/>
    <w:rsid w:val="00C94533"/>
    <w:rsid w:val="00C94EC1"/>
    <w:rsid w:val="00C95666"/>
    <w:rsid w:val="00C95BE9"/>
    <w:rsid w:val="00C9621B"/>
    <w:rsid w:val="00C963BA"/>
    <w:rsid w:val="00CA091F"/>
    <w:rsid w:val="00CA1322"/>
    <w:rsid w:val="00CA2EC0"/>
    <w:rsid w:val="00CA384E"/>
    <w:rsid w:val="00CA4703"/>
    <w:rsid w:val="00CA5826"/>
    <w:rsid w:val="00CA65D9"/>
    <w:rsid w:val="00CB0E29"/>
    <w:rsid w:val="00CB1755"/>
    <w:rsid w:val="00CB1B46"/>
    <w:rsid w:val="00CB299B"/>
    <w:rsid w:val="00CB3500"/>
    <w:rsid w:val="00CB3D6B"/>
    <w:rsid w:val="00CB3E48"/>
    <w:rsid w:val="00CB5319"/>
    <w:rsid w:val="00CB53B6"/>
    <w:rsid w:val="00CB5F4E"/>
    <w:rsid w:val="00CB61FA"/>
    <w:rsid w:val="00CB65B3"/>
    <w:rsid w:val="00CB66DC"/>
    <w:rsid w:val="00CC0DE9"/>
    <w:rsid w:val="00CC270C"/>
    <w:rsid w:val="00CC2D04"/>
    <w:rsid w:val="00CC5015"/>
    <w:rsid w:val="00CC740F"/>
    <w:rsid w:val="00CD57C0"/>
    <w:rsid w:val="00CD580D"/>
    <w:rsid w:val="00CD5E9F"/>
    <w:rsid w:val="00CD6A73"/>
    <w:rsid w:val="00CD7391"/>
    <w:rsid w:val="00CD7866"/>
    <w:rsid w:val="00CE2492"/>
    <w:rsid w:val="00CE2A23"/>
    <w:rsid w:val="00CE2C11"/>
    <w:rsid w:val="00CE39E2"/>
    <w:rsid w:val="00CE618F"/>
    <w:rsid w:val="00CE67A2"/>
    <w:rsid w:val="00CE6F71"/>
    <w:rsid w:val="00CF066B"/>
    <w:rsid w:val="00CF0CE5"/>
    <w:rsid w:val="00CF0E6F"/>
    <w:rsid w:val="00CF1A2F"/>
    <w:rsid w:val="00CF1D8A"/>
    <w:rsid w:val="00CF372A"/>
    <w:rsid w:val="00CF3F71"/>
    <w:rsid w:val="00CF45ED"/>
    <w:rsid w:val="00CF4851"/>
    <w:rsid w:val="00CF5E38"/>
    <w:rsid w:val="00CF6129"/>
    <w:rsid w:val="00CF70B3"/>
    <w:rsid w:val="00D00BA4"/>
    <w:rsid w:val="00D00F60"/>
    <w:rsid w:val="00D010BF"/>
    <w:rsid w:val="00D01230"/>
    <w:rsid w:val="00D02809"/>
    <w:rsid w:val="00D04734"/>
    <w:rsid w:val="00D04F8D"/>
    <w:rsid w:val="00D050F1"/>
    <w:rsid w:val="00D06BD5"/>
    <w:rsid w:val="00D07876"/>
    <w:rsid w:val="00D12A7D"/>
    <w:rsid w:val="00D1325D"/>
    <w:rsid w:val="00D144F9"/>
    <w:rsid w:val="00D14EF0"/>
    <w:rsid w:val="00D1594B"/>
    <w:rsid w:val="00D15BF3"/>
    <w:rsid w:val="00D16555"/>
    <w:rsid w:val="00D16F4E"/>
    <w:rsid w:val="00D1753C"/>
    <w:rsid w:val="00D1763F"/>
    <w:rsid w:val="00D179A2"/>
    <w:rsid w:val="00D17FDB"/>
    <w:rsid w:val="00D212D6"/>
    <w:rsid w:val="00D21915"/>
    <w:rsid w:val="00D21DE8"/>
    <w:rsid w:val="00D24347"/>
    <w:rsid w:val="00D24F36"/>
    <w:rsid w:val="00D265EA"/>
    <w:rsid w:val="00D2745E"/>
    <w:rsid w:val="00D3142C"/>
    <w:rsid w:val="00D32E53"/>
    <w:rsid w:val="00D34BA7"/>
    <w:rsid w:val="00D34F04"/>
    <w:rsid w:val="00D352AC"/>
    <w:rsid w:val="00D36C8C"/>
    <w:rsid w:val="00D36E67"/>
    <w:rsid w:val="00D37034"/>
    <w:rsid w:val="00D37717"/>
    <w:rsid w:val="00D37EA0"/>
    <w:rsid w:val="00D42D22"/>
    <w:rsid w:val="00D434F7"/>
    <w:rsid w:val="00D43F9F"/>
    <w:rsid w:val="00D44A37"/>
    <w:rsid w:val="00D458B3"/>
    <w:rsid w:val="00D45DB7"/>
    <w:rsid w:val="00D504AF"/>
    <w:rsid w:val="00D506F4"/>
    <w:rsid w:val="00D509FA"/>
    <w:rsid w:val="00D50B20"/>
    <w:rsid w:val="00D50DD0"/>
    <w:rsid w:val="00D51661"/>
    <w:rsid w:val="00D52ACC"/>
    <w:rsid w:val="00D54A0C"/>
    <w:rsid w:val="00D551A0"/>
    <w:rsid w:val="00D559A6"/>
    <w:rsid w:val="00D565AC"/>
    <w:rsid w:val="00D570FA"/>
    <w:rsid w:val="00D57B53"/>
    <w:rsid w:val="00D601D8"/>
    <w:rsid w:val="00D602FD"/>
    <w:rsid w:val="00D6311B"/>
    <w:rsid w:val="00D64526"/>
    <w:rsid w:val="00D6662D"/>
    <w:rsid w:val="00D669AC"/>
    <w:rsid w:val="00D671D2"/>
    <w:rsid w:val="00D67246"/>
    <w:rsid w:val="00D70778"/>
    <w:rsid w:val="00D711D8"/>
    <w:rsid w:val="00D71F5B"/>
    <w:rsid w:val="00D722C9"/>
    <w:rsid w:val="00D737D6"/>
    <w:rsid w:val="00D745A1"/>
    <w:rsid w:val="00D74FF4"/>
    <w:rsid w:val="00D75CA8"/>
    <w:rsid w:val="00D75DF3"/>
    <w:rsid w:val="00D76070"/>
    <w:rsid w:val="00D76B0A"/>
    <w:rsid w:val="00D77B76"/>
    <w:rsid w:val="00D807B3"/>
    <w:rsid w:val="00D81C73"/>
    <w:rsid w:val="00D82D32"/>
    <w:rsid w:val="00D8367C"/>
    <w:rsid w:val="00D836B7"/>
    <w:rsid w:val="00D84DF0"/>
    <w:rsid w:val="00D87160"/>
    <w:rsid w:val="00D904F8"/>
    <w:rsid w:val="00D9076E"/>
    <w:rsid w:val="00D91440"/>
    <w:rsid w:val="00D92A85"/>
    <w:rsid w:val="00D92EB8"/>
    <w:rsid w:val="00D953C7"/>
    <w:rsid w:val="00D965B8"/>
    <w:rsid w:val="00DA0134"/>
    <w:rsid w:val="00DA07A8"/>
    <w:rsid w:val="00DA32D4"/>
    <w:rsid w:val="00DA332D"/>
    <w:rsid w:val="00DA343D"/>
    <w:rsid w:val="00DA461A"/>
    <w:rsid w:val="00DA546B"/>
    <w:rsid w:val="00DB2253"/>
    <w:rsid w:val="00DB2CFE"/>
    <w:rsid w:val="00DB2D57"/>
    <w:rsid w:val="00DB3CC7"/>
    <w:rsid w:val="00DB5EC4"/>
    <w:rsid w:val="00DB67FC"/>
    <w:rsid w:val="00DB6ABC"/>
    <w:rsid w:val="00DB73D4"/>
    <w:rsid w:val="00DC0197"/>
    <w:rsid w:val="00DC0696"/>
    <w:rsid w:val="00DC2830"/>
    <w:rsid w:val="00DC5914"/>
    <w:rsid w:val="00DC6AA8"/>
    <w:rsid w:val="00DC7A0A"/>
    <w:rsid w:val="00DC7BFE"/>
    <w:rsid w:val="00DD0682"/>
    <w:rsid w:val="00DD0971"/>
    <w:rsid w:val="00DD0BBA"/>
    <w:rsid w:val="00DD1E52"/>
    <w:rsid w:val="00DD2FF5"/>
    <w:rsid w:val="00DD3064"/>
    <w:rsid w:val="00DD348F"/>
    <w:rsid w:val="00DD3797"/>
    <w:rsid w:val="00DD4200"/>
    <w:rsid w:val="00DD5753"/>
    <w:rsid w:val="00DD5FB6"/>
    <w:rsid w:val="00DD6057"/>
    <w:rsid w:val="00DD7261"/>
    <w:rsid w:val="00DD72E6"/>
    <w:rsid w:val="00DD7374"/>
    <w:rsid w:val="00DD7F25"/>
    <w:rsid w:val="00DE000F"/>
    <w:rsid w:val="00DE2362"/>
    <w:rsid w:val="00DE238B"/>
    <w:rsid w:val="00DE2E03"/>
    <w:rsid w:val="00DE49E6"/>
    <w:rsid w:val="00DE62FF"/>
    <w:rsid w:val="00DE6C37"/>
    <w:rsid w:val="00DF3E01"/>
    <w:rsid w:val="00DF5314"/>
    <w:rsid w:val="00DF6920"/>
    <w:rsid w:val="00DF7984"/>
    <w:rsid w:val="00DF7FF2"/>
    <w:rsid w:val="00E00516"/>
    <w:rsid w:val="00E02A2C"/>
    <w:rsid w:val="00E04B11"/>
    <w:rsid w:val="00E05480"/>
    <w:rsid w:val="00E05FDB"/>
    <w:rsid w:val="00E06CEF"/>
    <w:rsid w:val="00E073A3"/>
    <w:rsid w:val="00E1024B"/>
    <w:rsid w:val="00E11012"/>
    <w:rsid w:val="00E13BAE"/>
    <w:rsid w:val="00E14891"/>
    <w:rsid w:val="00E15DAD"/>
    <w:rsid w:val="00E16240"/>
    <w:rsid w:val="00E20EF7"/>
    <w:rsid w:val="00E211FE"/>
    <w:rsid w:val="00E22CDC"/>
    <w:rsid w:val="00E23ADF"/>
    <w:rsid w:val="00E25B0B"/>
    <w:rsid w:val="00E261B6"/>
    <w:rsid w:val="00E27A59"/>
    <w:rsid w:val="00E31454"/>
    <w:rsid w:val="00E33074"/>
    <w:rsid w:val="00E33A39"/>
    <w:rsid w:val="00E33D90"/>
    <w:rsid w:val="00E34B27"/>
    <w:rsid w:val="00E3533D"/>
    <w:rsid w:val="00E36530"/>
    <w:rsid w:val="00E3689E"/>
    <w:rsid w:val="00E36E91"/>
    <w:rsid w:val="00E37833"/>
    <w:rsid w:val="00E4033D"/>
    <w:rsid w:val="00E4289F"/>
    <w:rsid w:val="00E43842"/>
    <w:rsid w:val="00E44A70"/>
    <w:rsid w:val="00E44FF8"/>
    <w:rsid w:val="00E451FD"/>
    <w:rsid w:val="00E459A3"/>
    <w:rsid w:val="00E47C60"/>
    <w:rsid w:val="00E50375"/>
    <w:rsid w:val="00E50CA5"/>
    <w:rsid w:val="00E521C0"/>
    <w:rsid w:val="00E53C25"/>
    <w:rsid w:val="00E5415A"/>
    <w:rsid w:val="00E54792"/>
    <w:rsid w:val="00E54F56"/>
    <w:rsid w:val="00E55896"/>
    <w:rsid w:val="00E56ECA"/>
    <w:rsid w:val="00E57C4C"/>
    <w:rsid w:val="00E57E3F"/>
    <w:rsid w:val="00E602AE"/>
    <w:rsid w:val="00E608A5"/>
    <w:rsid w:val="00E6093B"/>
    <w:rsid w:val="00E60CAC"/>
    <w:rsid w:val="00E61159"/>
    <w:rsid w:val="00E62551"/>
    <w:rsid w:val="00E62821"/>
    <w:rsid w:val="00E64B53"/>
    <w:rsid w:val="00E65663"/>
    <w:rsid w:val="00E65BD4"/>
    <w:rsid w:val="00E65C88"/>
    <w:rsid w:val="00E679A9"/>
    <w:rsid w:val="00E7079E"/>
    <w:rsid w:val="00E71770"/>
    <w:rsid w:val="00E71C86"/>
    <w:rsid w:val="00E72AA1"/>
    <w:rsid w:val="00E7310B"/>
    <w:rsid w:val="00E750A6"/>
    <w:rsid w:val="00E75F12"/>
    <w:rsid w:val="00E81A4E"/>
    <w:rsid w:val="00E81B63"/>
    <w:rsid w:val="00E821AB"/>
    <w:rsid w:val="00E827EB"/>
    <w:rsid w:val="00E82814"/>
    <w:rsid w:val="00E82F67"/>
    <w:rsid w:val="00E84BB2"/>
    <w:rsid w:val="00E84C70"/>
    <w:rsid w:val="00E87D26"/>
    <w:rsid w:val="00E90515"/>
    <w:rsid w:val="00E9189B"/>
    <w:rsid w:val="00E91A26"/>
    <w:rsid w:val="00E92C5A"/>
    <w:rsid w:val="00E92F0C"/>
    <w:rsid w:val="00E92FE6"/>
    <w:rsid w:val="00E93DC3"/>
    <w:rsid w:val="00E94684"/>
    <w:rsid w:val="00E94DAF"/>
    <w:rsid w:val="00E95285"/>
    <w:rsid w:val="00E96C0E"/>
    <w:rsid w:val="00E972E1"/>
    <w:rsid w:val="00EA01A2"/>
    <w:rsid w:val="00EA10EF"/>
    <w:rsid w:val="00EA1644"/>
    <w:rsid w:val="00EA372E"/>
    <w:rsid w:val="00EA7761"/>
    <w:rsid w:val="00EB0062"/>
    <w:rsid w:val="00EB3981"/>
    <w:rsid w:val="00EB4721"/>
    <w:rsid w:val="00EB4F73"/>
    <w:rsid w:val="00EB540D"/>
    <w:rsid w:val="00EB6F0F"/>
    <w:rsid w:val="00EB7051"/>
    <w:rsid w:val="00EB7329"/>
    <w:rsid w:val="00EC0FEE"/>
    <w:rsid w:val="00EC1ED4"/>
    <w:rsid w:val="00EC2EA7"/>
    <w:rsid w:val="00EC3562"/>
    <w:rsid w:val="00EC3CE5"/>
    <w:rsid w:val="00EC432D"/>
    <w:rsid w:val="00EC5699"/>
    <w:rsid w:val="00EC5EBF"/>
    <w:rsid w:val="00EC71E3"/>
    <w:rsid w:val="00ED0723"/>
    <w:rsid w:val="00ED0F20"/>
    <w:rsid w:val="00ED204E"/>
    <w:rsid w:val="00ED36BD"/>
    <w:rsid w:val="00ED465F"/>
    <w:rsid w:val="00EE1EEC"/>
    <w:rsid w:val="00EE2B8E"/>
    <w:rsid w:val="00EE5FCA"/>
    <w:rsid w:val="00EE6889"/>
    <w:rsid w:val="00EE7D04"/>
    <w:rsid w:val="00EF05D6"/>
    <w:rsid w:val="00EF1CB9"/>
    <w:rsid w:val="00EF2EC1"/>
    <w:rsid w:val="00EF3BCF"/>
    <w:rsid w:val="00EF524C"/>
    <w:rsid w:val="00EF5255"/>
    <w:rsid w:val="00EF55D4"/>
    <w:rsid w:val="00EF5D6A"/>
    <w:rsid w:val="00EF6CEF"/>
    <w:rsid w:val="00F001CD"/>
    <w:rsid w:val="00F008F5"/>
    <w:rsid w:val="00F00963"/>
    <w:rsid w:val="00F01A04"/>
    <w:rsid w:val="00F01B43"/>
    <w:rsid w:val="00F0225F"/>
    <w:rsid w:val="00F02D78"/>
    <w:rsid w:val="00F02F98"/>
    <w:rsid w:val="00F03277"/>
    <w:rsid w:val="00F03390"/>
    <w:rsid w:val="00F036F5"/>
    <w:rsid w:val="00F03EC9"/>
    <w:rsid w:val="00F04A29"/>
    <w:rsid w:val="00F06436"/>
    <w:rsid w:val="00F07316"/>
    <w:rsid w:val="00F074C1"/>
    <w:rsid w:val="00F07CD8"/>
    <w:rsid w:val="00F11296"/>
    <w:rsid w:val="00F11863"/>
    <w:rsid w:val="00F11A29"/>
    <w:rsid w:val="00F11D1D"/>
    <w:rsid w:val="00F11D3F"/>
    <w:rsid w:val="00F14CA0"/>
    <w:rsid w:val="00F1523B"/>
    <w:rsid w:val="00F16AFC"/>
    <w:rsid w:val="00F2033E"/>
    <w:rsid w:val="00F20C37"/>
    <w:rsid w:val="00F20E0E"/>
    <w:rsid w:val="00F220EF"/>
    <w:rsid w:val="00F22352"/>
    <w:rsid w:val="00F22DC2"/>
    <w:rsid w:val="00F2352F"/>
    <w:rsid w:val="00F23F3F"/>
    <w:rsid w:val="00F241F4"/>
    <w:rsid w:val="00F2442C"/>
    <w:rsid w:val="00F25143"/>
    <w:rsid w:val="00F278BA"/>
    <w:rsid w:val="00F27EA0"/>
    <w:rsid w:val="00F327FB"/>
    <w:rsid w:val="00F3341C"/>
    <w:rsid w:val="00F34C4D"/>
    <w:rsid w:val="00F35CB4"/>
    <w:rsid w:val="00F37300"/>
    <w:rsid w:val="00F416DF"/>
    <w:rsid w:val="00F435CD"/>
    <w:rsid w:val="00F445B1"/>
    <w:rsid w:val="00F4469F"/>
    <w:rsid w:val="00F44D12"/>
    <w:rsid w:val="00F455DC"/>
    <w:rsid w:val="00F45E9F"/>
    <w:rsid w:val="00F463A3"/>
    <w:rsid w:val="00F464BD"/>
    <w:rsid w:val="00F466DD"/>
    <w:rsid w:val="00F50F9E"/>
    <w:rsid w:val="00F528C8"/>
    <w:rsid w:val="00F53068"/>
    <w:rsid w:val="00F533AE"/>
    <w:rsid w:val="00F54B07"/>
    <w:rsid w:val="00F54CEE"/>
    <w:rsid w:val="00F603A4"/>
    <w:rsid w:val="00F61702"/>
    <w:rsid w:val="00F62193"/>
    <w:rsid w:val="00F62709"/>
    <w:rsid w:val="00F634A4"/>
    <w:rsid w:val="00F63612"/>
    <w:rsid w:val="00F63F39"/>
    <w:rsid w:val="00F6555C"/>
    <w:rsid w:val="00F65981"/>
    <w:rsid w:val="00F65CBF"/>
    <w:rsid w:val="00F70DE6"/>
    <w:rsid w:val="00F714DB"/>
    <w:rsid w:val="00F73795"/>
    <w:rsid w:val="00F74076"/>
    <w:rsid w:val="00F7491F"/>
    <w:rsid w:val="00F75823"/>
    <w:rsid w:val="00F7730E"/>
    <w:rsid w:val="00F7785F"/>
    <w:rsid w:val="00F80196"/>
    <w:rsid w:val="00F803C8"/>
    <w:rsid w:val="00F8055A"/>
    <w:rsid w:val="00F83E0E"/>
    <w:rsid w:val="00F84C30"/>
    <w:rsid w:val="00F86C48"/>
    <w:rsid w:val="00F86CA3"/>
    <w:rsid w:val="00F871C8"/>
    <w:rsid w:val="00F87743"/>
    <w:rsid w:val="00F90DA1"/>
    <w:rsid w:val="00F91BA1"/>
    <w:rsid w:val="00F92DD0"/>
    <w:rsid w:val="00F9382E"/>
    <w:rsid w:val="00F94191"/>
    <w:rsid w:val="00F94B5B"/>
    <w:rsid w:val="00F966F6"/>
    <w:rsid w:val="00F96782"/>
    <w:rsid w:val="00F9781C"/>
    <w:rsid w:val="00FA2209"/>
    <w:rsid w:val="00FA2704"/>
    <w:rsid w:val="00FA360E"/>
    <w:rsid w:val="00FA3EE8"/>
    <w:rsid w:val="00FA4462"/>
    <w:rsid w:val="00FA4665"/>
    <w:rsid w:val="00FA497C"/>
    <w:rsid w:val="00FA49EE"/>
    <w:rsid w:val="00FA7132"/>
    <w:rsid w:val="00FA7397"/>
    <w:rsid w:val="00FB16B4"/>
    <w:rsid w:val="00FB2B9C"/>
    <w:rsid w:val="00FB2E54"/>
    <w:rsid w:val="00FB35FF"/>
    <w:rsid w:val="00FB3BA8"/>
    <w:rsid w:val="00FB61AC"/>
    <w:rsid w:val="00FB7F5C"/>
    <w:rsid w:val="00FC0753"/>
    <w:rsid w:val="00FC09FC"/>
    <w:rsid w:val="00FC0A38"/>
    <w:rsid w:val="00FC154E"/>
    <w:rsid w:val="00FC15E9"/>
    <w:rsid w:val="00FC4796"/>
    <w:rsid w:val="00FC4EA6"/>
    <w:rsid w:val="00FC51D6"/>
    <w:rsid w:val="00FC53C2"/>
    <w:rsid w:val="00FC5D67"/>
    <w:rsid w:val="00FC70BE"/>
    <w:rsid w:val="00FD1022"/>
    <w:rsid w:val="00FD14CB"/>
    <w:rsid w:val="00FD1BCF"/>
    <w:rsid w:val="00FD262D"/>
    <w:rsid w:val="00FD5314"/>
    <w:rsid w:val="00FD650A"/>
    <w:rsid w:val="00FD65EC"/>
    <w:rsid w:val="00FE273D"/>
    <w:rsid w:val="00FE2C3A"/>
    <w:rsid w:val="00FE3EF4"/>
    <w:rsid w:val="00FE41D3"/>
    <w:rsid w:val="00FE62C5"/>
    <w:rsid w:val="00FE74CC"/>
    <w:rsid w:val="00FF052F"/>
    <w:rsid w:val="00FF07EA"/>
    <w:rsid w:val="00FF1034"/>
    <w:rsid w:val="00FF1332"/>
    <w:rsid w:val="00FF13FB"/>
    <w:rsid w:val="00FF4980"/>
    <w:rsid w:val="00FF787C"/>
    <w:rsid w:val="01444D38"/>
    <w:rsid w:val="03A7A9EE"/>
    <w:rsid w:val="071E8E98"/>
    <w:rsid w:val="07652243"/>
    <w:rsid w:val="0C2EE073"/>
    <w:rsid w:val="170C5451"/>
    <w:rsid w:val="190D31A5"/>
    <w:rsid w:val="248394D1"/>
    <w:rsid w:val="279FB398"/>
    <w:rsid w:val="2AE5978D"/>
    <w:rsid w:val="2C8167EE"/>
    <w:rsid w:val="3107FB2D"/>
    <w:rsid w:val="34C756D2"/>
    <w:rsid w:val="4388A524"/>
    <w:rsid w:val="54639287"/>
    <w:rsid w:val="54EB4E8F"/>
    <w:rsid w:val="590A19A6"/>
    <w:rsid w:val="5B85F9FE"/>
    <w:rsid w:val="5DA65B68"/>
    <w:rsid w:val="5EA896AB"/>
    <w:rsid w:val="716A0FD4"/>
    <w:rsid w:val="7489DF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332A1069-0F8B-4429-AE23-DCD1B35A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hyperlink" Target="https://finance.ec.europa.eu/system/files/2022-10/221011-sustainable-finance-platform-finance-report-minimum-safeguards_e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hyperlink" Target="https://make-the-shift.org/wp-content/uploads/2022/12/Directives-Updated-Dec-9.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pri.org/download?ac=1551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unpri.org/download?ac=11953"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7A4304D856F458F3DC3C0B62B3A7E" ma:contentTypeVersion="6" ma:contentTypeDescription="Create a new document." ma:contentTypeScope="" ma:versionID="f477cafe4653d310db7d1342f7db2bdf">
  <xsd:schema xmlns:xsd="http://www.w3.org/2001/XMLSchema" xmlns:xs="http://www.w3.org/2001/XMLSchema" xmlns:p="http://schemas.microsoft.com/office/2006/metadata/properties" xmlns:ns2="05971b9b-9685-47fa-9852-e647aac6a4ae" xmlns:ns3="89710d1d-1db2-4e7c-8df6-b51052ef5116" targetNamespace="http://schemas.microsoft.com/office/2006/metadata/properties" ma:root="true" ma:fieldsID="7ad18e0c3b53b6a76cbc710af0ddfe55" ns2:_="" ns3:_="">
    <xsd:import namespace="05971b9b-9685-47fa-9852-e647aac6a4ae"/>
    <xsd:import namespace="89710d1d-1db2-4e7c-8df6-b51052ef5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71b9b-9685-47fa-9852-e647aac6a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710d1d-1db2-4e7c-8df6-b51052ef51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2.xml><?xml version="1.0" encoding="utf-8"?>
<ds:datastoreItem xmlns:ds="http://schemas.openxmlformats.org/officeDocument/2006/customXml" ds:itemID="{DDE3464D-40A5-4FD4-A2DF-69F64527A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71b9b-9685-47fa-9852-e647aac6a4ae"/>
    <ds:schemaRef ds:uri="89710d1d-1db2-4e7c-8df6-b51052ef5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4.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1323</TotalTime>
  <Pages>20</Pages>
  <Words>5203</Words>
  <Characters>31740</Characters>
  <Application>Microsoft Office Word</Application>
  <DocSecurity>0</DocSecurity>
  <Lines>264</Lines>
  <Paragraphs>73</Paragraphs>
  <ScaleCrop>false</ScaleCrop>
  <Company>HP</Company>
  <LinksUpToDate>false</LinksUpToDate>
  <CharactersWithSpaces>36870</CharactersWithSpaces>
  <SharedDoc>false</SharedDoc>
  <HLinks>
    <vt:vector size="48" baseType="variant">
      <vt:variant>
        <vt:i4>327791</vt:i4>
      </vt:variant>
      <vt:variant>
        <vt:i4>21</vt:i4>
      </vt:variant>
      <vt:variant>
        <vt:i4>0</vt:i4>
      </vt:variant>
      <vt:variant>
        <vt:i4>5</vt:i4>
      </vt:variant>
      <vt:variant>
        <vt:lpwstr>https://finance.ec.europa.eu/system/files/2022-10/221011-sustainable-finance-platform-finance-report-minimum-safeguards_en.pdf</vt:lpwstr>
      </vt:variant>
      <vt:variant>
        <vt:lpwstr/>
      </vt:variant>
      <vt:variant>
        <vt:i4>8257574</vt:i4>
      </vt:variant>
      <vt:variant>
        <vt:i4>18</vt:i4>
      </vt:variant>
      <vt:variant>
        <vt:i4>0</vt:i4>
      </vt:variant>
      <vt:variant>
        <vt:i4>5</vt:i4>
      </vt:variant>
      <vt:variant>
        <vt:lpwstr>https://make-the-shift.org/wp-content/uploads/2022/12/Directives-Updated-Dec-9.pdf</vt:lpwstr>
      </vt:variant>
      <vt:variant>
        <vt:lpwstr/>
      </vt:variant>
      <vt:variant>
        <vt:i4>7667810</vt:i4>
      </vt:variant>
      <vt:variant>
        <vt:i4>15</vt:i4>
      </vt:variant>
      <vt:variant>
        <vt:i4>0</vt:i4>
      </vt:variant>
      <vt:variant>
        <vt:i4>5</vt:i4>
      </vt:variant>
      <vt:variant>
        <vt:lpwstr>https://www.unpri.org/download?ac=15518</vt:lpwstr>
      </vt:variant>
      <vt:variant>
        <vt:lpwstr/>
      </vt:variant>
      <vt:variant>
        <vt:i4>7667822</vt:i4>
      </vt:variant>
      <vt:variant>
        <vt:i4>12</vt:i4>
      </vt:variant>
      <vt:variant>
        <vt:i4>0</vt:i4>
      </vt:variant>
      <vt:variant>
        <vt:i4>5</vt:i4>
      </vt:variant>
      <vt:variant>
        <vt:lpwstr>https://www.unpri.org/download?ac=11953</vt:lpwstr>
      </vt:variant>
      <vt:variant>
        <vt:lpwstr/>
      </vt:variant>
      <vt:variant>
        <vt:i4>7864440</vt:i4>
      </vt:variant>
      <vt:variant>
        <vt:i4>9</vt:i4>
      </vt:variant>
      <vt:variant>
        <vt:i4>0</vt:i4>
      </vt:variant>
      <vt:variant>
        <vt:i4>5</vt:i4>
      </vt:variant>
      <vt:variant>
        <vt:lpwstr>https://www.esma.europa.eu/legal-notice</vt:lpwstr>
      </vt:variant>
      <vt:variant>
        <vt:lpwstr/>
      </vt:variant>
      <vt:variant>
        <vt:i4>4849729</vt:i4>
      </vt:variant>
      <vt:variant>
        <vt:i4>6</vt:i4>
      </vt:variant>
      <vt:variant>
        <vt:i4>0</vt:i4>
      </vt:variant>
      <vt:variant>
        <vt:i4>5</vt:i4>
      </vt:variant>
      <vt:variant>
        <vt:lpwstr>https://eiopa.europa.eu/Pages/Links/Legal-notice.aspx</vt:lpwstr>
      </vt:variant>
      <vt:variant>
        <vt:lpwstr/>
      </vt:variant>
      <vt:variant>
        <vt:i4>851970</vt:i4>
      </vt:variant>
      <vt:variant>
        <vt:i4>3</vt:i4>
      </vt:variant>
      <vt:variant>
        <vt:i4>0</vt:i4>
      </vt:variant>
      <vt:variant>
        <vt:i4>5</vt:i4>
      </vt:variant>
      <vt:variant>
        <vt:lpwstr>http://www.eba.europa.eu/legal-notice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Ioana Tuta</cp:lastModifiedBy>
  <cp:revision>1118</cp:revision>
  <cp:lastPrinted>2022-02-14T13:26:00Z</cp:lastPrinted>
  <dcterms:created xsi:type="dcterms:W3CDTF">2023-06-26T15:56:00Z</dcterms:created>
  <dcterms:modified xsi:type="dcterms:W3CDTF">2023-07-04T09:59:00Z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0x0101002F97A4304D856F458F3DC3C0B62B3A7E</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