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4011D8F0" w:rsidR="005418F4" w:rsidRPr="005418F4" w:rsidRDefault="00F56FE6" w:rsidP="005418F4">
                <w:pPr>
                  <w:spacing w:after="250"/>
                  <w:rPr>
                    <w:rFonts w:ascii="Arial" w:eastAsiaTheme="minorEastAsia" w:hAnsi="Arial" w:cs="Arial"/>
                    <w:color w:val="808080"/>
                    <w:szCs w:val="20"/>
                  </w:rPr>
                </w:pPr>
                <w:r>
                  <w:rPr>
                    <w:rFonts w:ascii="Arial" w:eastAsiaTheme="minorEastAsia" w:hAnsi="Arial" w:cs="Arial"/>
                    <w:color w:val="808080"/>
                    <w:szCs w:val="20"/>
                  </w:rPr>
                  <w:t>ICI Global</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E0FCAC2" w:rsidR="005418F4" w:rsidRPr="005418F4" w:rsidRDefault="00275A87"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56FE6">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7E691474" w:rsidR="005418F4" w:rsidRPr="005418F4" w:rsidRDefault="00F56FE6"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4FEDE037" w:rsidR="005418F4" w:rsidRPr="005418F4" w:rsidRDefault="0030123A"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Belgium</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275CD03" w14:textId="77777777" w:rsidR="00B0736D" w:rsidRPr="00890E92" w:rsidRDefault="00B0736D" w:rsidP="00B0736D">
      <w:pPr>
        <w:rPr>
          <w:b/>
          <w:bCs/>
          <w:lang w:val="en-US"/>
        </w:rPr>
      </w:pPr>
      <w:r w:rsidRPr="00890E92">
        <w:rPr>
          <w:b/>
          <w:bCs/>
          <w:lang w:val="en-US"/>
        </w:rPr>
        <w:t>INTRODUCTION</w:t>
      </w:r>
    </w:p>
    <w:p w14:paraId="2092E01C" w14:textId="7C09C8D9" w:rsidR="00B0736D" w:rsidRPr="00B0736D" w:rsidRDefault="00B0736D" w:rsidP="00B0736D">
      <w:pPr>
        <w:rPr>
          <w:lang w:val="en-US"/>
        </w:rPr>
      </w:pPr>
      <w:r w:rsidRPr="00B0736D">
        <w:rPr>
          <w:lang w:val="en-US"/>
        </w:rPr>
        <w:t>ICI Global</w:t>
      </w:r>
      <w:r w:rsidRPr="00B0736D">
        <w:rPr>
          <w:vertAlign w:val="superscript"/>
          <w:lang w:val="en-US"/>
        </w:rPr>
        <w:t xml:space="preserve"> </w:t>
      </w:r>
      <w:r w:rsidRPr="00B0736D">
        <w:rPr>
          <w:lang w:val="en-US"/>
        </w:rPr>
        <w:t>appreciates the opportunity to provide feedback on the European Supervisory Authorities (ESAs) joint consultation on the review of the Sustainable Finance Disclosure Regulation (SFDR) Delegated Regulation regarding principal adverse impacts (PAI) and financial product disclosures (“</w:t>
      </w:r>
      <w:hyperlink r:id="rId15" w:history="1">
        <w:r w:rsidRPr="00B0736D">
          <w:rPr>
            <w:rStyle w:val="Hyperlink"/>
            <w:lang w:val="en-US"/>
          </w:rPr>
          <w:t>Consultation Paper</w:t>
        </w:r>
      </w:hyperlink>
      <w:r w:rsidRPr="00B0736D">
        <w:rPr>
          <w:lang w:val="en-US"/>
        </w:rPr>
        <w:t xml:space="preserve">”). </w:t>
      </w:r>
      <w:hyperlink r:id="rId16" w:history="1">
        <w:r w:rsidRPr="00B0736D">
          <w:rPr>
            <w:rStyle w:val="Hyperlink"/>
            <w:lang w:val="en-US"/>
          </w:rPr>
          <w:t>ICI Global</w:t>
        </w:r>
      </w:hyperlink>
      <w:r w:rsidRPr="00B0736D">
        <w:rPr>
          <w:lang w:val="en-US"/>
        </w:rPr>
        <w:t xml:space="preserve"> carries out the international work of the </w:t>
      </w:r>
      <w:hyperlink r:id="rId17" w:history="1">
        <w:r w:rsidRPr="00B0736D">
          <w:rPr>
            <w:rStyle w:val="Hyperlink"/>
            <w:lang w:val="en-US"/>
          </w:rPr>
          <w:t>Investment Company Institute</w:t>
        </w:r>
      </w:hyperlink>
      <w:r w:rsidRPr="00B0736D">
        <w:rPr>
          <w:lang w:val="en-US"/>
        </w:rPr>
        <w:t>, the leading association representing regulated investment funds. With total assets of €35.</w:t>
      </w:r>
      <w:r w:rsidR="00E45C76">
        <w:rPr>
          <w:lang w:val="en-US"/>
        </w:rPr>
        <w:t>7</w:t>
      </w:r>
      <w:r w:rsidRPr="00B0736D">
        <w:rPr>
          <w:lang w:val="en-US"/>
        </w:rPr>
        <w:t xml:space="preserve"> trillion, ICI’s membership includes mutual funds, exchange-traded funds (ETFs), closed-end funds, and unit investment trusts (UITs) in the United States, and UCITS and similar funds offered to investors in Europe, </w:t>
      </w:r>
      <w:proofErr w:type="gramStart"/>
      <w:r w:rsidRPr="00B0736D">
        <w:rPr>
          <w:lang w:val="en-US"/>
        </w:rPr>
        <w:t>Asia</w:t>
      </w:r>
      <w:proofErr w:type="gramEnd"/>
      <w:r w:rsidRPr="00B0736D">
        <w:rPr>
          <w:lang w:val="en-US"/>
        </w:rPr>
        <w:t xml:space="preserve"> and other jurisdictions. ICI’s mission is to strengthen the foundation of the asset management industry for the ultimate benefit of the long-term individual investor. ICI Global members invest on behalf of millions of retail investors around the world choosing funds to save for retirement, education, and other important financial goals, and therefore have a significant interest in regulatory requirements for funds that incorporate environmental, social, and governance (ESG) considerations into the investment process.</w:t>
      </w:r>
    </w:p>
    <w:p w14:paraId="3DAC47E5" w14:textId="77777777" w:rsidR="00B0736D" w:rsidRPr="00B0736D" w:rsidRDefault="00B0736D" w:rsidP="00B0736D">
      <w:pPr>
        <w:rPr>
          <w:lang w:val="en-US"/>
        </w:rPr>
      </w:pPr>
      <w:r w:rsidRPr="00B0736D">
        <w:rPr>
          <w:lang w:val="en-US"/>
        </w:rPr>
        <w:t xml:space="preserve">Since its inception, the SFDR has been in a continual state of flux, resulting in significant challenges for financial market participants and national supervisors. The recent progress report of the European Securities and Markets Authority (ESMA) on greenwashing risks pointed to the unstable nature of the EU sustainable finance regulatory framework, noting that regulators “need to develop new expertise and skills and to absorb a wide range of new obligations stemming from a regulatory </w:t>
      </w:r>
      <w:r w:rsidRPr="00B0736D">
        <w:rPr>
          <w:lang w:val="en-US"/>
        </w:rPr>
        <w:lastRenderedPageBreak/>
        <w:t xml:space="preserve">framework that is not yet </w:t>
      </w:r>
      <w:proofErr w:type="spellStart"/>
      <w:r w:rsidRPr="00B0736D">
        <w:rPr>
          <w:lang w:val="en-US"/>
        </w:rPr>
        <w:t>stabilised</w:t>
      </w:r>
      <w:proofErr w:type="spellEnd"/>
      <w:r w:rsidRPr="00B0736D">
        <w:rPr>
          <w:lang w:val="en-US"/>
        </w:rPr>
        <w:t>.” [</w:t>
      </w:r>
      <w:hyperlink r:id="rId18" w:history="1">
        <w:r w:rsidRPr="00B0736D">
          <w:rPr>
            <w:rStyle w:val="Hyperlink"/>
            <w:lang w:val="en-US"/>
          </w:rPr>
          <w:t>Link</w:t>
        </w:r>
      </w:hyperlink>
      <w:r w:rsidRPr="00B0736D">
        <w:rPr>
          <w:lang w:val="en-US"/>
        </w:rPr>
        <w:t>] ICI Global strongly believes that constant changes to disclosures, including those changes proposed by the ESAs, further delay stabilization and undermine consumer confidence in sustainability-related financial products and the wider sustainable finance agenda. In our view, the ESAs’ proposed changes have not been adequately weighed against the knock-on effects of unstable regulatory obligations for supervisors, financial market participants, and for investors in financial products. We, therefore, urge the ESAs to reconsider introducing new obligations that would exacerbate concerns about regulatory instability.</w:t>
      </w:r>
    </w:p>
    <w:p w14:paraId="154EFF1A" w14:textId="77777777" w:rsidR="00B0736D" w:rsidRPr="00B0736D" w:rsidRDefault="00B0736D" w:rsidP="00B0736D">
      <w:pPr>
        <w:rPr>
          <w:lang w:val="en-US"/>
        </w:rPr>
      </w:pPr>
      <w:r w:rsidRPr="00B0736D">
        <w:rPr>
          <w:lang w:val="en-US"/>
        </w:rPr>
        <w:t>We acknowledge that the ESAs’ proposed changes to the SFDR Regulatory Technical Standards (RTS) were made in response to a mandate by the European Commission set out in April 2022 [</w:t>
      </w:r>
      <w:hyperlink r:id="rId19" w:history="1">
        <w:r w:rsidRPr="00B0736D">
          <w:rPr>
            <w:rStyle w:val="Hyperlink"/>
            <w:lang w:val="en-US"/>
          </w:rPr>
          <w:t>Link</w:t>
        </w:r>
      </w:hyperlink>
      <w:r w:rsidRPr="00B0736D">
        <w:rPr>
          <w:lang w:val="en-US"/>
        </w:rPr>
        <w:t xml:space="preserve">]. However, this public consultation takes place within the context of impending fundamental changes to the SFDR legislation and its requirements, on the heels of new interpretations of existing terminology, and before the first set of PAI disclosures have been made. These important developments, which have occurred since the mandate was set out, should inform the ESAs’ next steps. </w:t>
      </w:r>
    </w:p>
    <w:p w14:paraId="129D32EF" w14:textId="77777777" w:rsidR="00B0736D" w:rsidRPr="00B0736D" w:rsidRDefault="00B0736D" w:rsidP="00B0736D">
      <w:pPr>
        <w:rPr>
          <w:lang w:val="en-US"/>
        </w:rPr>
      </w:pPr>
      <w:r w:rsidRPr="00B0736D">
        <w:rPr>
          <w:lang w:val="en-US"/>
        </w:rPr>
        <w:t>ICI Global welcomed the announcement late last year by Commissioner McGuinness of the comprehensive assessment of the SFDR [</w:t>
      </w:r>
      <w:hyperlink r:id="rId20" w:history="1">
        <w:r w:rsidRPr="00B0736D">
          <w:rPr>
            <w:rStyle w:val="Hyperlink"/>
            <w:lang w:val="en-US"/>
          </w:rPr>
          <w:t>Link</w:t>
        </w:r>
      </w:hyperlink>
      <w:r w:rsidRPr="00B0736D">
        <w:rPr>
          <w:lang w:val="en-US"/>
        </w:rPr>
        <w:t>], which is currently underway within the Commission. She noted that the SFDR “is intended to be a disclosure regime,” and acknowledged the lack of clarity that has plagued the SFDR since its inception. She also rightly pointed out that the RTS were only coming into effect in January 2023 and that “we do need to give some time to see how these standards impact the market.” If the ESAs move forward with changes to the disclosure requirements at this stage, we believe it would impair the European Commission’s ability to fully assess these impacts and the utility of disclosures for retail investors. Given the impending changes to the Level 1 legislation, we question whether any meaningful benefits could come from the ESAs’ proposed changes that would justify the implementation costs and interference with the Commission’s review.</w:t>
      </w:r>
    </w:p>
    <w:p w14:paraId="33B7ADED" w14:textId="77777777" w:rsidR="00B0736D" w:rsidRPr="00B0736D" w:rsidRDefault="00B0736D" w:rsidP="00B0736D">
      <w:pPr>
        <w:rPr>
          <w:lang w:val="en-US"/>
        </w:rPr>
      </w:pPr>
      <w:r w:rsidRPr="00B0736D">
        <w:rPr>
          <w:lang w:val="en-US"/>
        </w:rPr>
        <w:t xml:space="preserve">We also welcomed the </w:t>
      </w:r>
      <w:bookmarkStart w:id="1" w:name="_Hlk136950569"/>
      <w:r w:rsidRPr="00B0736D">
        <w:rPr>
          <w:lang w:val="en-US"/>
        </w:rPr>
        <w:t>recent responses from the European Commission to the ESAs’ September 2022 questions [</w:t>
      </w:r>
      <w:hyperlink r:id="rId21" w:history="1">
        <w:r w:rsidRPr="00B0736D">
          <w:rPr>
            <w:rStyle w:val="Hyperlink"/>
            <w:lang w:val="en-US"/>
          </w:rPr>
          <w:t>Link</w:t>
        </w:r>
      </w:hyperlink>
      <w:r w:rsidRPr="00B0736D">
        <w:rPr>
          <w:lang w:val="en-US"/>
        </w:rPr>
        <w:t>]</w:t>
      </w:r>
      <w:bookmarkEnd w:id="1"/>
      <w:r w:rsidRPr="00B0736D">
        <w:rPr>
          <w:lang w:val="en-US"/>
        </w:rPr>
        <w:t xml:space="preserve">, confirming again that the SFDR is intended as a disclosure tool. ICI Global supports policies intended to promote transparency and improve comparability of ESG- and sustainability-related investment products for retail investors, especially as demand for such funds continues to grow. Therefore, it should remain a core objective for regulators to improve investors’ interaction with these disclosures. </w:t>
      </w:r>
    </w:p>
    <w:p w14:paraId="2898324B" w14:textId="77777777" w:rsidR="00B0736D" w:rsidRPr="00B0736D" w:rsidRDefault="00B0736D" w:rsidP="00B0736D">
      <w:pPr>
        <w:rPr>
          <w:lang w:val="en-US"/>
        </w:rPr>
      </w:pPr>
      <w:r w:rsidRPr="00B0736D">
        <w:rPr>
          <w:lang w:val="en-US"/>
        </w:rPr>
        <w:t xml:space="preserve">We strongly encourage the ESAs to </w:t>
      </w:r>
      <w:bookmarkStart w:id="2" w:name="_Hlk136966214"/>
      <w:r w:rsidRPr="00B0736D">
        <w:rPr>
          <w:lang w:val="en-US"/>
        </w:rPr>
        <w:t xml:space="preserve">contribute their assessment of the disclosure requirements and templates to the upcoming broader review of the SFDR Level 1 framework. The current disclosures are not fit for purpose and can certainly be improved in terms of providing investors with meaningful information about financial products. Our understanding is that the overwhelming amount and complexity of information currently included in the disclosure templates is proving to be of negligible value to retail investors. The ESAs’ proposal to expand disclosure requirements and make changes to the disclosure templates will not improve disclosures for the benefit of investors. Rather, we believe changes to the SFDR Level 1 legislation are needed to simplify and streamline the disclosure requirements </w:t>
      </w:r>
      <w:proofErr w:type="gramStart"/>
      <w:r w:rsidRPr="00B0736D">
        <w:rPr>
          <w:lang w:val="en-US"/>
        </w:rPr>
        <w:t>in order to</w:t>
      </w:r>
      <w:proofErr w:type="gramEnd"/>
      <w:r w:rsidRPr="00B0736D">
        <w:rPr>
          <w:lang w:val="en-US"/>
        </w:rPr>
        <w:t xml:space="preserve"> make them meaningful for retail investors. </w:t>
      </w:r>
      <w:bookmarkEnd w:id="2"/>
    </w:p>
    <w:p w14:paraId="71CE2EE0" w14:textId="77777777" w:rsidR="00B0736D" w:rsidRDefault="00B0736D" w:rsidP="00B0736D">
      <w:pPr>
        <w:rPr>
          <w:lang w:val="en-US"/>
        </w:rPr>
      </w:pPr>
      <w:r w:rsidRPr="00B0736D">
        <w:rPr>
          <w:lang w:val="en-US"/>
        </w:rPr>
        <w:lastRenderedPageBreak/>
        <w:t xml:space="preserve">While our general view is that the ESAs’ proposed changes to the RTS could do more harm than good at this stage in the SFDR’s evolution, we do offer some concrete recommendations to selected questions for the ESAs’ consideration. Given the long timeline anticipated for the review of the SFDR and improvements to the Level 1 legislation, we also offer support for targeted changes to the RTS that are consistent with the European Commission’s goals of simplifying and streamlining the disclosures for the benefit of retail </w:t>
      </w:r>
      <w:proofErr w:type="gramStart"/>
      <w:r w:rsidRPr="00B0736D">
        <w:rPr>
          <w:lang w:val="en-US"/>
        </w:rPr>
        <w:t>investors, and</w:t>
      </w:r>
      <w:proofErr w:type="gramEnd"/>
      <w:r w:rsidRPr="00B0736D">
        <w:rPr>
          <w:lang w:val="en-US"/>
        </w:rPr>
        <w:t xml:space="preserve"> would likely withstand any changes to the Level 1 in the long run. </w:t>
      </w:r>
    </w:p>
    <w:p w14:paraId="58AC95C0" w14:textId="032D955B" w:rsidR="001A50DF" w:rsidRPr="00890E92" w:rsidRDefault="001A50DF" w:rsidP="00B0736D">
      <w:pPr>
        <w:rPr>
          <w:b/>
          <w:bCs/>
          <w:lang w:val="en-US"/>
        </w:rPr>
      </w:pPr>
      <w:r w:rsidRPr="00890E92">
        <w:rPr>
          <w:b/>
          <w:bCs/>
          <w:lang w:val="en-US"/>
        </w:rPr>
        <w:t>RESPONSE TO Q1</w:t>
      </w:r>
    </w:p>
    <w:p w14:paraId="00998996" w14:textId="77777777" w:rsidR="00A93CD1" w:rsidRDefault="00A93CD1" w:rsidP="00A93CD1">
      <w:r>
        <w:rPr>
          <w:u w:val="single"/>
        </w:rPr>
        <w:t>We do not agree with introducing new social PAI indicators; however, i</w:t>
      </w:r>
      <w:r w:rsidRPr="00212027">
        <w:rPr>
          <w:u w:val="single"/>
        </w:rPr>
        <w:t>f the ESAs introduce new social PAI indicators, they should be in the opt-in category rather than mandatory at this tim</w:t>
      </w:r>
      <w:r w:rsidRPr="00305FE0">
        <w:rPr>
          <w:u w:val="single"/>
        </w:rPr>
        <w:t>e</w:t>
      </w:r>
      <w:r>
        <w:t xml:space="preserve">. </w:t>
      </w:r>
    </w:p>
    <w:p w14:paraId="1D3FEABA" w14:textId="77777777" w:rsidR="00A93CD1" w:rsidRDefault="00A93CD1" w:rsidP="00A93CD1">
      <w:r>
        <w:t xml:space="preserve">As a primary concern, the </w:t>
      </w:r>
      <w:r w:rsidRPr="000A5CC1">
        <w:t>ESAs fail to acknowledge certain limitations</w:t>
      </w:r>
      <w:r>
        <w:t xml:space="preserve"> in data availability that will significantly impact the feasibility of reporting this information if it were mandatory. </w:t>
      </w:r>
      <w:r w:rsidRPr="00A07E57">
        <w:t xml:space="preserve">Our members’ experience with PAI reporting </w:t>
      </w:r>
      <w:r>
        <w:t xml:space="preserve">to date </w:t>
      </w:r>
      <w:r w:rsidRPr="00A07E57">
        <w:t>has shown there may be as little as 3% coverage for some of the existing mandatory indicators</w:t>
      </w:r>
      <w:r>
        <w:t xml:space="preserve">. It is notable that </w:t>
      </w:r>
      <w:r w:rsidRPr="002C04C4">
        <w:t xml:space="preserve">the ESAs have not </w:t>
      </w:r>
      <w:r>
        <w:t xml:space="preserve">reflected on how data gaps are impacting current reporting of PAI information before proposing to expand the list of mandatory reporting indicators. The European Commission’s mandate to the ESAs included making efforts </w:t>
      </w:r>
      <w:r w:rsidRPr="0020138D">
        <w:t xml:space="preserve">to streamline the regulatory framework. </w:t>
      </w:r>
      <w:r>
        <w:t xml:space="preserve">In our view, </w:t>
      </w:r>
      <w:r w:rsidRPr="0020138D">
        <w:t>th</w:t>
      </w:r>
      <w:r>
        <w:t>ese</w:t>
      </w:r>
      <w:r w:rsidRPr="0020138D">
        <w:t xml:space="preserve"> </w:t>
      </w:r>
      <w:r>
        <w:t xml:space="preserve">efforts </w:t>
      </w:r>
      <w:r w:rsidRPr="0020138D">
        <w:t>should include a review of existing mandatory PAI indicators to ensure they are achieving their intended purpose. We strongly disagree with increasing the number of PAIs without corresponding rationalization of existing PAIs</w:t>
      </w:r>
      <w:r>
        <w:t>, and we believe i</w:t>
      </w:r>
      <w:r w:rsidRPr="00D57735">
        <w:t>ntroducing additional mandatory PAI indicators at this time would only exacerbate prevailing data gaps.</w:t>
      </w:r>
    </w:p>
    <w:p w14:paraId="381CB3FE" w14:textId="77777777" w:rsidR="00A93CD1" w:rsidRDefault="00A93CD1" w:rsidP="00A93CD1">
      <w:r>
        <w:t xml:space="preserve">The starting point for any proposed quantitative disclosure for asset managers or investment products relating to information about investee companies should be an assessment of current data availability. While steps are being taken to improve corporate sustainability reporting, it must be acknowledged that the CSRD and ESRS will not resolve the existing data gaps. Only when the CSRD is in effect and fully implemented will we know the extent to which the EU reporting framework has improved data availability on PAI indicators. </w:t>
      </w:r>
    </w:p>
    <w:p w14:paraId="4031F51F" w14:textId="77777777" w:rsidR="00A93CD1" w:rsidRDefault="00A93CD1" w:rsidP="00A93CD1">
      <w:r>
        <w:t xml:space="preserve">For now, the CSRD is still in development and undergoing changes. Once it is in place, </w:t>
      </w:r>
      <w:proofErr w:type="gramStart"/>
      <w:r>
        <w:t>the vast majority of</w:t>
      </w:r>
      <w:proofErr w:type="gramEnd"/>
      <w:r>
        <w:t xml:space="preserve"> global investments will fall outside of the scope of CSRD. For companies within scope, the Consultation Paper incorrectly states that “</w:t>
      </w:r>
      <w:r w:rsidRPr="00C806E7">
        <w:t>the ESRS disclosures requirements will have to be reported by all companies in the scope of CSRD, allowing for less burdensome disclosures</w:t>
      </w:r>
      <w:r>
        <w:t xml:space="preserve">.” Since the Consultation Paper was published, the Commission has altered the ESRS and proposed that </w:t>
      </w:r>
      <w:r w:rsidRPr="008144E6">
        <w:t xml:space="preserve">reporting by </w:t>
      </w:r>
      <w:r>
        <w:t>companies within scope of the CSRD</w:t>
      </w:r>
      <w:r w:rsidRPr="008144E6">
        <w:t xml:space="preserve"> will only apply to the extent that companies consider </w:t>
      </w:r>
      <w:r>
        <w:t xml:space="preserve">each individual metric to be </w:t>
      </w:r>
      <w:r w:rsidRPr="008144E6">
        <w:t>material</w:t>
      </w:r>
      <w:r>
        <w:t xml:space="preserve">. This misstatement in the Consultation Paper highlights the major problem of misalignment between the ESAs’ mandate and related legislative files, as well as the poor timing of this consultation in the context of evolving European Commission priorities. </w:t>
      </w:r>
    </w:p>
    <w:p w14:paraId="57958053" w14:textId="77777777" w:rsidR="00A93CD1" w:rsidRDefault="00A93CD1" w:rsidP="00A93CD1">
      <w:r>
        <w:t xml:space="preserve">Outside the context of the ESRS, we also find it notable that the European Commission is in the process of making changes to the CSRD that will significantly reduce companies’ reporting </w:t>
      </w:r>
      <w:r>
        <w:lastRenderedPageBreak/>
        <w:t xml:space="preserve">requirements. We recommend that the ESAs refrain from increasing the burden for financial market participants, as this would be inconsistent with the Commission’s </w:t>
      </w:r>
      <w:r w:rsidRPr="007925E9">
        <w:t>policy goals to reduce reporting burdens for companies.</w:t>
      </w:r>
      <w:r>
        <w:t xml:space="preserve"> </w:t>
      </w:r>
    </w:p>
    <w:p w14:paraId="1D68D6BB" w14:textId="77777777" w:rsidR="00A93CD1" w:rsidRDefault="00A93CD1" w:rsidP="00A93CD1">
      <w:r>
        <w:t xml:space="preserve">Moreover, we understand that in its review of the SFDR, the European Commission is questioning the overall value of entity-level PAI reporting and may decide to propose fundamental changes to the PAI reporting regime. </w:t>
      </w:r>
      <w:r w:rsidRPr="005F4F30">
        <w:t>Whil</w:t>
      </w:r>
      <w:r>
        <w:t>e</w:t>
      </w:r>
      <w:r w:rsidRPr="005F4F30">
        <w:t xml:space="preserve"> we </w:t>
      </w:r>
      <w:r>
        <w:t>acknowledge</w:t>
      </w:r>
      <w:r w:rsidRPr="005F4F30">
        <w:t xml:space="preserve"> the importance of transparency in relation to how PAIs are considered in the investment process, we do not believe the disclosure of </w:t>
      </w:r>
      <w:r>
        <w:t>PAI indicators</w:t>
      </w:r>
      <w:r w:rsidRPr="005F4F30">
        <w:t xml:space="preserve"> at </w:t>
      </w:r>
      <w:r>
        <w:t>the</w:t>
      </w:r>
      <w:r w:rsidRPr="005F4F30">
        <w:t xml:space="preserve"> entity level is useful. Consumers invest in </w:t>
      </w:r>
      <w:r>
        <w:t xml:space="preserve">financial </w:t>
      </w:r>
      <w:r w:rsidRPr="005F4F30">
        <w:t xml:space="preserve">products. </w:t>
      </w:r>
      <w:r>
        <w:t xml:space="preserve">We note, however, that the ESAs </w:t>
      </w:r>
      <w:r w:rsidRPr="001F277E">
        <w:t xml:space="preserve">have not indicated why the four proposed mandatory metrics would be useful for investors in financial products. </w:t>
      </w:r>
    </w:p>
    <w:p w14:paraId="5A0290F5" w14:textId="77777777" w:rsidR="00A93CD1" w:rsidRDefault="00A93CD1" w:rsidP="00A93CD1">
      <w:r>
        <w:t xml:space="preserve">Without knowing the intent or likely outcome of the European Commission’s review and how it will impact the PAI reporting requirements, we cannot assess the benefits of the ESAs’ proposed indicators. We would recommend the ESAs undertake a more fulsome assessment of the full range of impacts of introducing additional PAI indicators, </w:t>
      </w:r>
      <w:proofErr w:type="gramStart"/>
      <w:r>
        <w:t>taking into account</w:t>
      </w:r>
      <w:proofErr w:type="gramEnd"/>
      <w:r>
        <w:t xml:space="preserve"> global data availability and reliability, the interaction of PAI indicators with the ‘do no significant harm’ (DNSH) test, how PAI and DNSH taken together affect the investable universe of sustainable investments, and consumers’ experience with disclosures related to PAI indicators. Assessments of this nature of proposed changes, as well as the existing framework, would greatly benefit the ESAs, national supervisors, financial market participants, and investors in financial products. </w:t>
      </w:r>
      <w:r w:rsidRPr="004E1150">
        <w:t xml:space="preserve">In addition, we think it is appropriate for the ESAs to consider a rationalization of the overall PAI reporting requirements in the SFDR framework in a way that aligns with ESRS standards and allows </w:t>
      </w:r>
      <w:r>
        <w:t xml:space="preserve">for </w:t>
      </w:r>
      <w:r w:rsidRPr="004E1150">
        <w:t>a materiality assessment</w:t>
      </w:r>
      <w:r>
        <w:t xml:space="preserve"> by financial market participants</w:t>
      </w:r>
      <w:r w:rsidRPr="004E1150">
        <w:t>.</w:t>
      </w:r>
    </w:p>
    <w:p w14:paraId="2DBD2EE2" w14:textId="2AAABF66" w:rsidR="001A50DF" w:rsidRPr="00B0736D" w:rsidRDefault="00A93CD1" w:rsidP="00B0736D">
      <w:r>
        <w:t>As we note above, the CSRD will not resolve the data challenges facing market participants. At a minimum, any quantitative disclosure requirements imposed on financial market participants should be firmly rooted in the existing corporate reporting framework, developed with an understanding of the global availability and reliability of such data, and supported with an analysis of the benefits of reporting the data for investors in financial products.</w:t>
      </w:r>
    </w:p>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3" w:name="_Hlk131609829"/>
      <w:r>
        <w:t>: Would you recommend any other mandatory social indicator or adjust any of the ones proposed?</w:t>
      </w:r>
    </w:p>
    <w:bookmarkEnd w:id="3"/>
    <w:p w14:paraId="79C259A1" w14:textId="77777777" w:rsidR="009C41BB" w:rsidRDefault="009C41BB" w:rsidP="009C41BB">
      <w:r>
        <w:t>&lt;ESMA_QUESTION_SFDR_2&gt;</w:t>
      </w:r>
    </w:p>
    <w:p w14:paraId="78D47046" w14:textId="77777777" w:rsidR="0071547C" w:rsidRDefault="0071547C" w:rsidP="0071547C">
      <w:bookmarkStart w:id="4" w:name="_Hlk139278277"/>
      <w:r w:rsidRPr="00EA5D15">
        <w:rPr>
          <w:u w:val="single"/>
        </w:rPr>
        <w:t>We recommend adjusting the proposed social indicators as follows</w:t>
      </w:r>
      <w:r>
        <w:t>:</w:t>
      </w:r>
    </w:p>
    <w:p w14:paraId="08E41BBA" w14:textId="77777777" w:rsidR="0071547C" w:rsidRDefault="0071547C" w:rsidP="0071547C">
      <w:pPr>
        <w:pStyle w:val="ListParagraph"/>
        <w:numPr>
          <w:ilvl w:val="0"/>
          <w:numId w:val="43"/>
        </w:numPr>
        <w:spacing w:line="240" w:lineRule="auto"/>
        <w:contextualSpacing w:val="0"/>
      </w:pPr>
      <w:r>
        <w:t>All proposed social indicators should be voluntary (opt-in), not mandatory.</w:t>
      </w:r>
    </w:p>
    <w:p w14:paraId="3208706F" w14:textId="77777777" w:rsidR="0071547C" w:rsidRDefault="0071547C" w:rsidP="0071547C">
      <w:pPr>
        <w:pStyle w:val="ListParagraph"/>
        <w:numPr>
          <w:ilvl w:val="0"/>
          <w:numId w:val="43"/>
        </w:numPr>
        <w:spacing w:line="240" w:lineRule="auto"/>
        <w:contextualSpacing w:val="0"/>
      </w:pPr>
      <w:r>
        <w:t xml:space="preserve">The ESAs should assess the availability of data for proposed social </w:t>
      </w:r>
      <w:proofErr w:type="gramStart"/>
      <w:r>
        <w:t>indicators, and</w:t>
      </w:r>
      <w:proofErr w:type="gramEnd"/>
      <w:r>
        <w:t xml:space="preserve"> adjust the proposed indicators to align with information that is currently available.</w:t>
      </w:r>
      <w:r w:rsidRPr="0028717C">
        <w:t xml:space="preserve"> </w:t>
      </w:r>
      <w:r>
        <w:t xml:space="preserve">All proposed PAI </w:t>
      </w:r>
      <w:r>
        <w:lastRenderedPageBreak/>
        <w:t>indicators, social and otherwise, should be supported with data reported under the existing corporate reporting framework, and in the future, with the ESRS.</w:t>
      </w:r>
    </w:p>
    <w:p w14:paraId="08CE1F34" w14:textId="77777777" w:rsidR="0071547C" w:rsidRDefault="0071547C" w:rsidP="0071547C">
      <w:pPr>
        <w:pStyle w:val="ListParagraph"/>
        <w:numPr>
          <w:ilvl w:val="0"/>
          <w:numId w:val="43"/>
        </w:numPr>
        <w:spacing w:line="240" w:lineRule="auto"/>
        <w:contextualSpacing w:val="0"/>
      </w:pPr>
      <w:r w:rsidRPr="003A0992">
        <w:t xml:space="preserve">Vague terminology undermines efforts to add legal certainty to the SFDR requirements and will compound lack of comparability of disclosures. </w:t>
      </w:r>
      <w:r w:rsidRPr="0028717C">
        <w:t xml:space="preserve">The ESAs should avoid the use of subjective terminology, such as </w:t>
      </w:r>
      <w:r>
        <w:t xml:space="preserve">“adequate wage”, </w:t>
      </w:r>
      <w:r w:rsidRPr="0028717C">
        <w:t xml:space="preserve">“excessive use” or “insufficient employment” in PAI indicators. </w:t>
      </w:r>
      <w:r>
        <w:t>T</w:t>
      </w:r>
      <w:r w:rsidRPr="0028717C">
        <w:t>he term “employee” is defined differently among different jurisdictions, as are employment disabilities.</w:t>
      </w:r>
      <w:r>
        <w:t xml:space="preserve"> A wage that would be considered “adequate” in Europe may be different than an “adequate” wage in other countries (the ESRS allows for different methodologies for calculating fair wage). Information reported by companies will not be sufficiently consistent or comparable for the purposes of aggregating the data for PAI statements.</w:t>
      </w:r>
      <w:bookmarkEnd w:id="4"/>
    </w:p>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5"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5"/>
    <w:p w14:paraId="1FA47A9C" w14:textId="77777777" w:rsidR="009C41BB" w:rsidRDefault="009C41BB" w:rsidP="009C41BB">
      <w:r>
        <w:t>&lt;ESMA_QUESTION_SFDR_3&gt;</w:t>
      </w:r>
    </w:p>
    <w:p w14:paraId="54B41B70" w14:textId="27D043D5" w:rsidR="00ED2D8E" w:rsidRPr="00BE65B6" w:rsidRDefault="00ED2D8E" w:rsidP="00ED2D8E">
      <w:pPr>
        <w:rPr>
          <w:rFonts w:eastAsia="Times New Roman"/>
          <w:b/>
          <w:bCs/>
          <w:color w:val="000000"/>
        </w:rPr>
      </w:pPr>
      <w:r w:rsidRPr="00BE65B6">
        <w:rPr>
          <w:rFonts w:eastAsia="Times New Roman"/>
          <w:b/>
          <w:bCs/>
          <w:color w:val="000000"/>
        </w:rPr>
        <w:t xml:space="preserve">We do not. </w:t>
      </w:r>
      <w:bookmarkStart w:id="6" w:name="_Hlk139278291"/>
      <w:r w:rsidR="001653FE" w:rsidRPr="00BE65B6">
        <w:rPr>
          <w:rFonts w:eastAsia="Times New Roman"/>
          <w:b/>
          <w:bCs/>
          <w:color w:val="000000"/>
        </w:rPr>
        <w:t>As we note in our response to Question 2:</w:t>
      </w:r>
    </w:p>
    <w:p w14:paraId="0BC61737" w14:textId="77777777" w:rsidR="001653FE" w:rsidRDefault="001653FE" w:rsidP="001653FE">
      <w:pPr>
        <w:spacing w:line="240" w:lineRule="auto"/>
      </w:pPr>
      <w:r w:rsidRPr="00EA5D15">
        <w:rPr>
          <w:u w:val="single"/>
        </w:rPr>
        <w:t>We recommend adjusting the proposed social indicators as follows</w:t>
      </w:r>
      <w:r>
        <w:t>:</w:t>
      </w:r>
    </w:p>
    <w:p w14:paraId="49754D0E" w14:textId="77777777" w:rsidR="001653FE" w:rsidRDefault="001653FE" w:rsidP="001653FE">
      <w:pPr>
        <w:pStyle w:val="ListParagraph"/>
        <w:numPr>
          <w:ilvl w:val="0"/>
          <w:numId w:val="43"/>
        </w:numPr>
        <w:spacing w:line="240" w:lineRule="auto"/>
        <w:contextualSpacing w:val="0"/>
      </w:pPr>
      <w:r>
        <w:t>All proposed social indicators should be voluntary (opt-in), not mandatory.</w:t>
      </w:r>
    </w:p>
    <w:p w14:paraId="3419F524" w14:textId="77777777" w:rsidR="001653FE" w:rsidRDefault="001653FE" w:rsidP="001653FE">
      <w:pPr>
        <w:pStyle w:val="ListParagraph"/>
        <w:numPr>
          <w:ilvl w:val="0"/>
          <w:numId w:val="43"/>
        </w:numPr>
        <w:spacing w:line="240" w:lineRule="auto"/>
        <w:contextualSpacing w:val="0"/>
      </w:pPr>
      <w:r>
        <w:t xml:space="preserve">The ESAs should assess the availability of data for proposed social </w:t>
      </w:r>
      <w:proofErr w:type="gramStart"/>
      <w:r>
        <w:t>indicators, and</w:t>
      </w:r>
      <w:proofErr w:type="gramEnd"/>
      <w:r>
        <w:t xml:space="preserve"> adjust the proposed indicators to align with information that is currently available.</w:t>
      </w:r>
      <w:r w:rsidRPr="0028717C">
        <w:t xml:space="preserve"> </w:t>
      </w:r>
      <w:r>
        <w:t>All proposed PAI indicators, social and otherwise, should be supported with data reported under the existing corporate reporting framework, and in the future, with the ESRS.</w:t>
      </w:r>
    </w:p>
    <w:p w14:paraId="1F9B2D24" w14:textId="62DE44DC" w:rsidR="001653FE" w:rsidRPr="001653FE" w:rsidRDefault="001653FE" w:rsidP="001653FE">
      <w:pPr>
        <w:pStyle w:val="ListParagraph"/>
        <w:numPr>
          <w:ilvl w:val="0"/>
          <w:numId w:val="43"/>
        </w:numPr>
        <w:spacing w:line="240" w:lineRule="auto"/>
      </w:pPr>
      <w:r w:rsidRPr="003A0992">
        <w:t xml:space="preserve">Vague terminology undermines efforts to add legal certainty to the SFDR requirements and will compound lack of comparability of disclosures. </w:t>
      </w:r>
      <w:r w:rsidRPr="0028717C">
        <w:t xml:space="preserve">The ESAs should avoid the use of subjective terminology, such as </w:t>
      </w:r>
      <w:r>
        <w:t xml:space="preserve">“adequate wage”, </w:t>
      </w:r>
      <w:r w:rsidRPr="0028717C">
        <w:t xml:space="preserve">“excessive use” or “insufficient employment” in PAI indicators. </w:t>
      </w:r>
      <w:r>
        <w:t>T</w:t>
      </w:r>
      <w:r w:rsidRPr="0028717C">
        <w:t>he term “employee” is defined differently among different jurisdictions, as are employment disabilities.</w:t>
      </w:r>
      <w:r>
        <w:t xml:space="preserve"> A wage that would be considered “adequate” in Europe may be different than an “adequate” wage in other countries (the ESRS allows for different methodologies for calculating fair wage). Information reported by companies will not be sufficiently consistent or comparable for the purposes of aggregating the data for PAI statements.</w:t>
      </w:r>
    </w:p>
    <w:bookmarkEnd w:id="6"/>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7" w:name="_Hlk131609831"/>
      <w:r>
        <w:t>: Would you recommend any other social indicator or adjust any of the ones proposed?</w:t>
      </w:r>
    </w:p>
    <w:bookmarkEnd w:id="7"/>
    <w:p w14:paraId="6BC5AA32" w14:textId="77777777" w:rsidR="009C41BB" w:rsidRDefault="009C41BB" w:rsidP="009C41BB">
      <w:r>
        <w:t>&lt;ESMA_QUESTION_SFDR_4&gt;</w:t>
      </w:r>
    </w:p>
    <w:p w14:paraId="4BAE7E0F" w14:textId="77777777" w:rsidR="001653FE" w:rsidRPr="00BE65B6" w:rsidRDefault="001653FE" w:rsidP="001653FE">
      <w:pPr>
        <w:rPr>
          <w:rFonts w:eastAsia="Times New Roman"/>
          <w:b/>
          <w:bCs/>
          <w:color w:val="000000"/>
        </w:rPr>
      </w:pPr>
      <w:r w:rsidRPr="00BE65B6">
        <w:rPr>
          <w:rFonts w:eastAsia="Times New Roman"/>
          <w:b/>
          <w:bCs/>
          <w:color w:val="000000"/>
        </w:rPr>
        <w:t>As we note in our response to Question 2:</w:t>
      </w:r>
    </w:p>
    <w:p w14:paraId="0026F399" w14:textId="77777777" w:rsidR="001653FE" w:rsidRDefault="001653FE" w:rsidP="001653FE">
      <w:pPr>
        <w:spacing w:line="240" w:lineRule="auto"/>
      </w:pPr>
      <w:r w:rsidRPr="00EA5D15">
        <w:rPr>
          <w:u w:val="single"/>
        </w:rPr>
        <w:t>We recommend adjusting the proposed social indicators as follows</w:t>
      </w:r>
      <w:r>
        <w:t>:</w:t>
      </w:r>
    </w:p>
    <w:p w14:paraId="715BE881" w14:textId="77777777" w:rsidR="001653FE" w:rsidRDefault="001653FE" w:rsidP="001653FE">
      <w:pPr>
        <w:pStyle w:val="ListParagraph"/>
        <w:numPr>
          <w:ilvl w:val="0"/>
          <w:numId w:val="43"/>
        </w:numPr>
        <w:spacing w:line="240" w:lineRule="auto"/>
        <w:contextualSpacing w:val="0"/>
      </w:pPr>
      <w:r>
        <w:t>All proposed social indicators should be voluntary (opt-in), not mandatory.</w:t>
      </w:r>
    </w:p>
    <w:p w14:paraId="6DF39858" w14:textId="77777777" w:rsidR="001653FE" w:rsidRDefault="001653FE" w:rsidP="001653FE">
      <w:pPr>
        <w:pStyle w:val="ListParagraph"/>
        <w:numPr>
          <w:ilvl w:val="0"/>
          <w:numId w:val="43"/>
        </w:numPr>
        <w:spacing w:line="240" w:lineRule="auto"/>
        <w:contextualSpacing w:val="0"/>
      </w:pPr>
      <w:r>
        <w:t xml:space="preserve">The ESAs should assess the availability of data for proposed social </w:t>
      </w:r>
      <w:proofErr w:type="gramStart"/>
      <w:r>
        <w:t>indicators, and</w:t>
      </w:r>
      <w:proofErr w:type="gramEnd"/>
      <w:r>
        <w:t xml:space="preserve"> adjust the proposed indicators to align with information that is currently available.</w:t>
      </w:r>
      <w:r w:rsidRPr="0028717C">
        <w:t xml:space="preserve"> </w:t>
      </w:r>
      <w:r>
        <w:t>All proposed PAI indicators, social and otherwise, should be supported with data reported under the existing corporate reporting framework, and in the future, with the ESRS.</w:t>
      </w:r>
    </w:p>
    <w:p w14:paraId="35285D62" w14:textId="77777777" w:rsidR="001653FE" w:rsidRPr="001653FE" w:rsidRDefault="001653FE" w:rsidP="001653FE">
      <w:pPr>
        <w:pStyle w:val="ListParagraph"/>
        <w:numPr>
          <w:ilvl w:val="0"/>
          <w:numId w:val="43"/>
        </w:numPr>
        <w:spacing w:line="240" w:lineRule="auto"/>
        <w:rPr>
          <w:rFonts w:eastAsia="Times New Roman"/>
          <w:color w:val="000000"/>
        </w:rPr>
      </w:pPr>
      <w:r w:rsidRPr="003A0992">
        <w:t xml:space="preserve">Vague terminology undermines efforts to add legal certainty to the SFDR requirements and will compound lack of comparability of disclosures. </w:t>
      </w:r>
      <w:r w:rsidRPr="0028717C">
        <w:t xml:space="preserve">The ESAs should avoid the use of subjective terminology, such as </w:t>
      </w:r>
      <w:r>
        <w:t xml:space="preserve">“adequate wage”, </w:t>
      </w:r>
      <w:r w:rsidRPr="0028717C">
        <w:t xml:space="preserve">“excessive use” or “insufficient employment” in PAI indicators. </w:t>
      </w:r>
      <w:r>
        <w:t>T</w:t>
      </w:r>
      <w:r w:rsidRPr="0028717C">
        <w:t>he term “employee” is defined differently among different jurisdictions, as are employment disabilities.</w:t>
      </w:r>
      <w:r>
        <w:t xml:space="preserve"> A wage that would be considered “adequate” in Europe may be different than an “adequate” wage in other countries (the ESRS allows for different methodologies for calculating fair wage). Information reported by companies will not be sufficiently consistent or comparable for the purposes of aggregating the data for PAI statements.</w:t>
      </w:r>
    </w:p>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8"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8"/>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9" w:name="_Hlk131609834"/>
      <w:r>
        <w:t>: For real estate assets, do you consider relevant to apply any PAI indicator related to social matters to the entity in charge of the management of the real estate assets the FMP invested in?</w:t>
      </w:r>
    </w:p>
    <w:bookmarkEnd w:id="9"/>
    <w:p w14:paraId="686F603D" w14:textId="77777777" w:rsidR="009C41BB" w:rsidRDefault="009C41BB" w:rsidP="009C41BB">
      <w:r>
        <w:t>&lt;ESMA_QUESTION_SFDR_6&gt;</w:t>
      </w:r>
    </w:p>
    <w:p w14:paraId="13CBEF29" w14:textId="77777777" w:rsidR="009C41BB" w:rsidRDefault="009C41BB" w:rsidP="009C41BB">
      <w:permStart w:id="887372501" w:edGrp="everyone"/>
      <w:r>
        <w:lastRenderedPageBreak/>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10"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10"/>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11" w:name="_Hlk131609837"/>
      <w:r>
        <w:t>: Do you see any challenges in the interaction between the definition ‘enterprise value’ and ‘current value of investment’ for the calculation of the PAI indicators?</w:t>
      </w:r>
    </w:p>
    <w:bookmarkEnd w:id="11"/>
    <w:p w14:paraId="0563F3C0" w14:textId="77777777" w:rsidR="009C41BB" w:rsidRDefault="009C41BB" w:rsidP="009C41BB">
      <w:r>
        <w:t>&lt;ESMA_QUESTION_SFDR_8&gt;</w:t>
      </w:r>
    </w:p>
    <w:p w14:paraId="6310BD7D" w14:textId="77777777" w:rsidR="00B04EA1" w:rsidRDefault="00B04EA1" w:rsidP="00B04EA1">
      <w:pPr>
        <w:rPr>
          <w:rFonts w:eastAsia="Times New Roman"/>
          <w:color w:val="000000"/>
        </w:rPr>
      </w:pPr>
      <w:r w:rsidRPr="0039720C">
        <w:rPr>
          <w:rFonts w:eastAsia="Times New Roman"/>
          <w:color w:val="000000"/>
          <w:u w:val="single"/>
        </w:rPr>
        <w:t>The ESAs should amend the existing guidance</w:t>
      </w:r>
      <w:r w:rsidRPr="0039720C">
        <w:rPr>
          <w:u w:val="single"/>
        </w:rPr>
        <w:t xml:space="preserve"> </w:t>
      </w:r>
      <w:r w:rsidRPr="0039720C">
        <w:rPr>
          <w:rFonts w:eastAsia="Times New Roman"/>
          <w:color w:val="000000"/>
          <w:u w:val="single"/>
        </w:rPr>
        <w:t xml:space="preserve">to allow PAI calculation to be based on the </w:t>
      </w:r>
      <w:r>
        <w:rPr>
          <w:rFonts w:eastAsia="Times New Roman"/>
          <w:color w:val="000000"/>
          <w:u w:val="single"/>
        </w:rPr>
        <w:t>information</w:t>
      </w:r>
      <w:r w:rsidRPr="0039720C">
        <w:rPr>
          <w:rFonts w:eastAsia="Times New Roman"/>
          <w:color w:val="000000"/>
          <w:u w:val="single"/>
        </w:rPr>
        <w:t xml:space="preserve"> available at the quarter-end</w:t>
      </w:r>
      <w:r>
        <w:rPr>
          <w:rFonts w:eastAsia="Times New Roman"/>
          <w:color w:val="000000"/>
        </w:rPr>
        <w:t>.</w:t>
      </w:r>
      <w:r w:rsidRPr="00BF306B">
        <w:rPr>
          <w:rFonts w:eastAsia="Times New Roman"/>
          <w:color w:val="000000"/>
        </w:rPr>
        <w:t xml:space="preserve"> </w:t>
      </w:r>
      <w:r>
        <w:rPr>
          <w:rFonts w:eastAsia="Times New Roman"/>
          <w:color w:val="000000"/>
        </w:rPr>
        <w:t xml:space="preserve">Our members have reported significant challenges related to the </w:t>
      </w:r>
      <w:r w:rsidRPr="009F4F63">
        <w:rPr>
          <w:rFonts w:eastAsia="Times New Roman"/>
          <w:color w:val="000000"/>
        </w:rPr>
        <w:t>interaction between the definition</w:t>
      </w:r>
      <w:r>
        <w:rPr>
          <w:rFonts w:eastAsia="Times New Roman"/>
          <w:color w:val="000000"/>
        </w:rPr>
        <w:t>s of</w:t>
      </w:r>
      <w:r w:rsidRPr="009F4F63">
        <w:rPr>
          <w:rFonts w:eastAsia="Times New Roman"/>
          <w:color w:val="000000"/>
        </w:rPr>
        <w:t xml:space="preserve"> ‘enterprise value’ and ‘current value of investment’ for the calculation of the PAI indicators</w:t>
      </w:r>
      <w:r>
        <w:rPr>
          <w:rFonts w:eastAsia="Times New Roman"/>
          <w:color w:val="000000"/>
        </w:rPr>
        <w:t>, based on guidance issued by the ESAs in November 2022 [</w:t>
      </w:r>
      <w:hyperlink r:id="rId22" w:history="1">
        <w:r w:rsidRPr="0081259A">
          <w:rPr>
            <w:rStyle w:val="Hyperlink"/>
            <w:rFonts w:eastAsia="Times New Roman"/>
          </w:rPr>
          <w:t>Link</w:t>
        </w:r>
      </w:hyperlink>
      <w:r>
        <w:rPr>
          <w:rFonts w:eastAsia="Times New Roman"/>
          <w:color w:val="000000"/>
        </w:rPr>
        <w:t xml:space="preserve">]. </w:t>
      </w:r>
    </w:p>
    <w:p w14:paraId="14425BD9" w14:textId="77777777" w:rsidR="00B04EA1" w:rsidRDefault="00B04EA1" w:rsidP="00B04EA1">
      <w:pPr>
        <w:rPr>
          <w:rFonts w:eastAsia="Times New Roman"/>
          <w:color w:val="000000"/>
        </w:rPr>
      </w:pPr>
      <w:r>
        <w:rPr>
          <w:rFonts w:eastAsia="Times New Roman"/>
          <w:color w:val="000000"/>
        </w:rPr>
        <w:t xml:space="preserve">The ESAs’ guidance states </w:t>
      </w:r>
      <w:r w:rsidRPr="009233F6">
        <w:rPr>
          <w:rFonts w:eastAsia="Times New Roman"/>
          <w:color w:val="000000"/>
        </w:rPr>
        <w:t>that the share price to be used in calculating the value of a position at each quarter</w:t>
      </w:r>
      <w:r>
        <w:rPr>
          <w:rFonts w:eastAsia="Times New Roman"/>
          <w:color w:val="000000"/>
        </w:rPr>
        <w:t>-</w:t>
      </w:r>
      <w:r w:rsidRPr="009233F6">
        <w:rPr>
          <w:rFonts w:eastAsia="Times New Roman"/>
          <w:color w:val="000000"/>
        </w:rPr>
        <w:t xml:space="preserve">end should be the share price of the relevant company calculated at the company’s fiscal year end </w:t>
      </w:r>
      <w:proofErr w:type="gramStart"/>
      <w:r w:rsidRPr="009233F6">
        <w:rPr>
          <w:rFonts w:eastAsia="Times New Roman"/>
          <w:color w:val="000000"/>
        </w:rPr>
        <w:t>in order to</w:t>
      </w:r>
      <w:proofErr w:type="gramEnd"/>
      <w:r w:rsidRPr="009233F6">
        <w:rPr>
          <w:rFonts w:eastAsia="Times New Roman"/>
          <w:color w:val="000000"/>
        </w:rPr>
        <w:t xml:space="preserve"> align with the calculation of the </w:t>
      </w:r>
      <w:r>
        <w:rPr>
          <w:rFonts w:eastAsia="Times New Roman"/>
          <w:color w:val="000000"/>
        </w:rPr>
        <w:t>company’s e</w:t>
      </w:r>
      <w:r w:rsidRPr="009233F6">
        <w:rPr>
          <w:rFonts w:eastAsia="Times New Roman"/>
          <w:color w:val="000000"/>
        </w:rPr>
        <w:t xml:space="preserve">nterprise </w:t>
      </w:r>
      <w:r>
        <w:rPr>
          <w:rFonts w:eastAsia="Times New Roman"/>
          <w:color w:val="000000"/>
        </w:rPr>
        <w:t>v</w:t>
      </w:r>
      <w:r w:rsidRPr="009233F6">
        <w:rPr>
          <w:rFonts w:eastAsia="Times New Roman"/>
          <w:color w:val="000000"/>
        </w:rPr>
        <w:t xml:space="preserve">alue. </w:t>
      </w:r>
      <w:r>
        <w:rPr>
          <w:rFonts w:eastAsia="Times New Roman"/>
          <w:color w:val="000000"/>
        </w:rPr>
        <w:t xml:space="preserve">This approach does not account for fluctuations in share price due to market movements or corporate </w:t>
      </w:r>
      <w:proofErr w:type="gramStart"/>
      <w:r>
        <w:rPr>
          <w:rFonts w:eastAsia="Times New Roman"/>
          <w:color w:val="000000"/>
        </w:rPr>
        <w:t>actions, and</w:t>
      </w:r>
      <w:proofErr w:type="gramEnd"/>
      <w:r>
        <w:rPr>
          <w:rFonts w:eastAsia="Times New Roman"/>
          <w:color w:val="000000"/>
        </w:rPr>
        <w:t xml:space="preserve"> may result in inaccuracies. Moreover, the ESAs’ guidance raises </w:t>
      </w:r>
      <w:proofErr w:type="gramStart"/>
      <w:r>
        <w:rPr>
          <w:rFonts w:eastAsia="Times New Roman"/>
          <w:color w:val="000000"/>
        </w:rPr>
        <w:t>a number of</w:t>
      </w:r>
      <w:proofErr w:type="gramEnd"/>
      <w:r>
        <w:rPr>
          <w:rFonts w:eastAsia="Times New Roman"/>
          <w:color w:val="000000"/>
        </w:rPr>
        <w:t xml:space="preserve"> practical questions. For example, it is unclear how financial market participants should apply the guidance in the event of a stock merger, for securities no longer held, or for debt securities or derivatives that have matured.</w:t>
      </w:r>
    </w:p>
    <w:p w14:paraId="50CA5BD6" w14:textId="77777777" w:rsidR="00B04EA1" w:rsidRDefault="00B04EA1" w:rsidP="00B04EA1">
      <w:pPr>
        <w:rPr>
          <w:rFonts w:eastAsia="Times New Roman"/>
          <w:color w:val="000000"/>
        </w:rPr>
      </w:pPr>
      <w:r>
        <w:rPr>
          <w:rFonts w:eastAsia="Times New Roman"/>
          <w:color w:val="000000"/>
        </w:rPr>
        <w:t>Amending the guidance to permit using</w:t>
      </w:r>
      <w:r w:rsidRPr="00B40E05">
        <w:rPr>
          <w:rFonts w:eastAsia="Times New Roman"/>
          <w:color w:val="000000"/>
        </w:rPr>
        <w:t xml:space="preserve"> a quarterly estimation</w:t>
      </w:r>
      <w:r>
        <w:rPr>
          <w:rFonts w:eastAsia="Times New Roman"/>
          <w:color w:val="000000"/>
        </w:rPr>
        <w:t xml:space="preserve"> </w:t>
      </w:r>
      <w:r w:rsidRPr="00B40E05">
        <w:rPr>
          <w:rFonts w:eastAsia="Times New Roman"/>
          <w:color w:val="000000"/>
        </w:rPr>
        <w:t xml:space="preserve">of the enterprise value based on market prices </w:t>
      </w:r>
      <w:r>
        <w:rPr>
          <w:rFonts w:eastAsia="Times New Roman"/>
          <w:color w:val="000000"/>
        </w:rPr>
        <w:t>would simplify the calculation of PAI indicators and result in more accurate reporting by financial market participants.</w:t>
      </w:r>
    </w:p>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12" w:name="_Hlk131609838"/>
      <w:r>
        <w:t xml:space="preserve">: Do you have any comments or proposed adjustments to the new formulae suggested in Annex I?  </w:t>
      </w:r>
    </w:p>
    <w:bookmarkEnd w:id="12"/>
    <w:p w14:paraId="37D6FAC5" w14:textId="77777777" w:rsidR="009C41BB" w:rsidRDefault="009C41BB" w:rsidP="009C41BB">
      <w:r>
        <w:lastRenderedPageBreak/>
        <w:t>&lt;ESMA_QUESTION_SFDR_9&gt;</w:t>
      </w:r>
    </w:p>
    <w:p w14:paraId="1E90C611" w14:textId="77777777" w:rsidR="00FC0310" w:rsidRDefault="00FC0310" w:rsidP="00FC0310">
      <w:pPr>
        <w:rPr>
          <w:rFonts w:eastAsia="Times New Roman"/>
          <w:color w:val="000000"/>
        </w:rPr>
      </w:pPr>
      <w:r w:rsidRPr="004845E8">
        <w:rPr>
          <w:rFonts w:eastAsia="Times New Roman"/>
          <w:color w:val="000000"/>
          <w:u w:val="single"/>
        </w:rPr>
        <w:t>The ESAs should allow more time for market participants and supervisors to assess whether it would be beneficial to introduce new formulae or other technical changes to the current list of PAI indicators</w:t>
      </w:r>
      <w:r w:rsidRPr="00D4538A">
        <w:rPr>
          <w:rFonts w:eastAsia="Times New Roman"/>
          <w:color w:val="000000"/>
        </w:rPr>
        <w:t>.</w:t>
      </w:r>
      <w:r>
        <w:rPr>
          <w:rFonts w:eastAsia="Times New Roman"/>
          <w:color w:val="000000"/>
        </w:rPr>
        <w:t xml:space="preserve"> </w:t>
      </w:r>
      <w:r w:rsidRPr="00B54E99">
        <w:rPr>
          <w:rFonts w:eastAsia="Times New Roman"/>
          <w:color w:val="000000"/>
        </w:rPr>
        <w:t>While we appreciate the ESAs</w:t>
      </w:r>
      <w:r>
        <w:rPr>
          <w:rFonts w:eastAsia="Times New Roman"/>
          <w:color w:val="000000"/>
        </w:rPr>
        <w:t>’</w:t>
      </w:r>
      <w:r w:rsidRPr="00B54E99">
        <w:rPr>
          <w:rFonts w:eastAsia="Times New Roman"/>
          <w:color w:val="000000"/>
        </w:rPr>
        <w:t xml:space="preserve"> inten</w:t>
      </w:r>
      <w:r>
        <w:rPr>
          <w:rFonts w:eastAsia="Times New Roman"/>
          <w:color w:val="000000"/>
        </w:rPr>
        <w:t>t</w:t>
      </w:r>
      <w:r w:rsidRPr="00B54E99">
        <w:rPr>
          <w:rFonts w:eastAsia="Times New Roman"/>
          <w:color w:val="000000"/>
        </w:rPr>
        <w:t xml:space="preserve"> to provide additional clarity around the calculation of PAI indicators whose formula</w:t>
      </w:r>
      <w:r>
        <w:rPr>
          <w:rFonts w:eastAsia="Times New Roman"/>
          <w:color w:val="000000"/>
        </w:rPr>
        <w:t>e</w:t>
      </w:r>
      <w:r w:rsidRPr="00B54E99">
        <w:rPr>
          <w:rFonts w:eastAsia="Times New Roman"/>
          <w:color w:val="000000"/>
        </w:rPr>
        <w:t xml:space="preserve"> are not indicated in the current RTS, </w:t>
      </w:r>
      <w:proofErr w:type="gramStart"/>
      <w:r>
        <w:rPr>
          <w:rFonts w:eastAsia="Times New Roman"/>
          <w:color w:val="000000"/>
        </w:rPr>
        <w:t>r</w:t>
      </w:r>
      <w:r w:rsidRPr="007E11A5">
        <w:rPr>
          <w:rFonts w:eastAsia="Times New Roman"/>
          <w:color w:val="000000"/>
        </w:rPr>
        <w:t>eviewing</w:t>
      </w:r>
      <w:proofErr w:type="gramEnd"/>
      <w:r w:rsidRPr="007E11A5">
        <w:rPr>
          <w:rFonts w:eastAsia="Times New Roman"/>
          <w:color w:val="000000"/>
        </w:rPr>
        <w:t xml:space="preserve"> and assessing the PAI statements disclosed by </w:t>
      </w:r>
      <w:r>
        <w:rPr>
          <w:rFonts w:eastAsia="Times New Roman"/>
          <w:color w:val="000000"/>
        </w:rPr>
        <w:t>financial market participant</w:t>
      </w:r>
      <w:r w:rsidRPr="007E11A5">
        <w:rPr>
          <w:rFonts w:eastAsia="Times New Roman"/>
          <w:color w:val="000000"/>
        </w:rPr>
        <w:t>s in June 2023 would be essential to accurately identify any potential ambiguities and gaps.</w:t>
      </w:r>
      <w:r w:rsidRPr="007D4CA2">
        <w:rPr>
          <w:rFonts w:eastAsia="Times New Roman"/>
          <w:color w:val="000000"/>
        </w:rPr>
        <w:t xml:space="preserve"> </w:t>
      </w:r>
      <w:r w:rsidRPr="00995B63">
        <w:rPr>
          <w:rFonts w:eastAsia="Times New Roman"/>
          <w:color w:val="000000"/>
        </w:rPr>
        <w:t xml:space="preserve">We note this consultation coincides with </w:t>
      </w:r>
      <w:r>
        <w:rPr>
          <w:rFonts w:eastAsia="Times New Roman"/>
          <w:color w:val="000000"/>
        </w:rPr>
        <w:t>financial market participant</w:t>
      </w:r>
      <w:r w:rsidRPr="00995B63">
        <w:rPr>
          <w:rFonts w:eastAsia="Times New Roman"/>
          <w:color w:val="000000"/>
        </w:rPr>
        <w:t>s</w:t>
      </w:r>
      <w:r>
        <w:rPr>
          <w:rFonts w:eastAsia="Times New Roman"/>
          <w:color w:val="000000"/>
        </w:rPr>
        <w:t>’</w:t>
      </w:r>
      <w:r w:rsidRPr="00995B63">
        <w:rPr>
          <w:rFonts w:eastAsia="Times New Roman"/>
          <w:color w:val="000000"/>
        </w:rPr>
        <w:t xml:space="preserve"> preparation of the first set of quantitative PAI disclosures</w:t>
      </w:r>
      <w:r>
        <w:rPr>
          <w:rFonts w:eastAsia="Times New Roman"/>
          <w:color w:val="000000"/>
        </w:rPr>
        <w:t>.</w:t>
      </w:r>
    </w:p>
    <w:p w14:paraId="330B451B" w14:textId="77777777" w:rsidR="00FC0310" w:rsidRDefault="00FC0310" w:rsidP="00FC0310">
      <w:r>
        <w:rPr>
          <w:rFonts w:eastAsia="Times New Roman"/>
          <w:color w:val="000000"/>
        </w:rPr>
        <w:t>I</w:t>
      </w:r>
      <w:r w:rsidRPr="00B54E99">
        <w:rPr>
          <w:rFonts w:eastAsia="Times New Roman"/>
          <w:color w:val="000000"/>
        </w:rPr>
        <w:t>ntroducing new formula</w:t>
      </w:r>
      <w:r>
        <w:rPr>
          <w:rFonts w:eastAsia="Times New Roman"/>
          <w:color w:val="000000"/>
        </w:rPr>
        <w:t>e</w:t>
      </w:r>
      <w:r w:rsidRPr="00B54E99">
        <w:rPr>
          <w:rFonts w:eastAsia="Times New Roman"/>
          <w:color w:val="000000"/>
        </w:rPr>
        <w:t xml:space="preserve"> </w:t>
      </w:r>
      <w:r>
        <w:rPr>
          <w:rFonts w:eastAsia="Times New Roman"/>
          <w:color w:val="000000"/>
        </w:rPr>
        <w:t>or amending formulae at this time w</w:t>
      </w:r>
      <w:r w:rsidRPr="00B54E99">
        <w:rPr>
          <w:rFonts w:eastAsia="Times New Roman"/>
          <w:color w:val="000000"/>
        </w:rPr>
        <w:t>ould lead to inconsistent calculation methodologies and presentation</w:t>
      </w:r>
      <w:r>
        <w:rPr>
          <w:rFonts w:eastAsia="Times New Roman"/>
          <w:color w:val="000000"/>
        </w:rPr>
        <w:t xml:space="preserve"> of year-over-year data</w:t>
      </w:r>
      <w:r w:rsidRPr="00B54E99">
        <w:rPr>
          <w:rFonts w:eastAsia="Times New Roman"/>
          <w:color w:val="000000"/>
        </w:rPr>
        <w:t xml:space="preserve">, hampering the comparability of </w:t>
      </w:r>
      <w:r>
        <w:rPr>
          <w:rFonts w:eastAsia="Times New Roman"/>
          <w:color w:val="000000"/>
        </w:rPr>
        <w:t xml:space="preserve">future </w:t>
      </w:r>
      <w:r w:rsidRPr="00B54E99">
        <w:rPr>
          <w:rFonts w:eastAsia="Times New Roman"/>
          <w:color w:val="000000"/>
        </w:rPr>
        <w:t>PAI statements. Hence, any changes to formula</w:t>
      </w:r>
      <w:r>
        <w:rPr>
          <w:rFonts w:eastAsia="Times New Roman"/>
          <w:color w:val="000000"/>
        </w:rPr>
        <w:t>e</w:t>
      </w:r>
      <w:r w:rsidRPr="00B54E99">
        <w:rPr>
          <w:rFonts w:eastAsia="Times New Roman"/>
          <w:color w:val="000000"/>
        </w:rPr>
        <w:t>, presentation</w:t>
      </w:r>
      <w:r>
        <w:rPr>
          <w:rFonts w:eastAsia="Times New Roman"/>
          <w:color w:val="000000"/>
        </w:rPr>
        <w:t>,</w:t>
      </w:r>
      <w:r w:rsidRPr="00B54E99">
        <w:rPr>
          <w:rFonts w:eastAsia="Times New Roman"/>
          <w:color w:val="000000"/>
        </w:rPr>
        <w:t xml:space="preserve"> and calculation methodologies of the PAI indicators should be carefully considered</w:t>
      </w:r>
      <w:r>
        <w:rPr>
          <w:rFonts w:eastAsia="Times New Roman"/>
          <w:color w:val="000000"/>
        </w:rPr>
        <w:t xml:space="preserve"> against the benefits of comparability over time</w:t>
      </w:r>
      <w:r w:rsidRPr="00B54E99">
        <w:rPr>
          <w:rFonts w:eastAsia="Times New Roman"/>
          <w:color w:val="000000"/>
        </w:rPr>
        <w:t>.</w:t>
      </w:r>
      <w:r w:rsidRPr="00811CA7">
        <w:t xml:space="preserve"> </w:t>
      </w:r>
      <w:r>
        <w:t>We note that it is retail investors who would be the most negatively affected by changes to disclosure that would impair comparability over time.</w:t>
      </w:r>
    </w:p>
    <w:p w14:paraId="5266E8DC" w14:textId="77777777" w:rsidR="00FC0310" w:rsidRPr="00D4538A" w:rsidRDefault="00FC0310" w:rsidP="00FC0310">
      <w:pPr>
        <w:rPr>
          <w:rFonts w:eastAsia="Times New Roman"/>
          <w:color w:val="000000"/>
        </w:rPr>
      </w:pPr>
      <w:r>
        <w:t xml:space="preserve">Should the ESAs decide to move forward at this time with changes to formulae, they should clarify that financial market participants will not be required to recalculate previously reported PAI indicators. Rather, financial market participants should be permitted to provide an explanation within the template noting the changes to the formulae. </w:t>
      </w:r>
    </w:p>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13"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3"/>
    <w:p w14:paraId="59ECBC6E" w14:textId="77777777" w:rsidR="009C41BB" w:rsidRDefault="009C41BB" w:rsidP="009C41BB">
      <w:r>
        <w:t>&lt;ESMA_QUESTION_SFDR_10&gt;</w:t>
      </w:r>
    </w:p>
    <w:p w14:paraId="6C9A6BB3" w14:textId="618C7F50" w:rsidR="0030341A" w:rsidRPr="00BE65B6" w:rsidRDefault="00BE65B6" w:rsidP="0030341A">
      <w:pPr>
        <w:rPr>
          <w:rFonts w:eastAsia="Times New Roman"/>
          <w:b/>
          <w:bCs/>
          <w:color w:val="000000"/>
        </w:rPr>
      </w:pPr>
      <w:r w:rsidRPr="00BE65B6">
        <w:rPr>
          <w:rFonts w:eastAsia="Times New Roman"/>
          <w:b/>
          <w:bCs/>
          <w:color w:val="000000"/>
        </w:rPr>
        <w:t>As we note in our response to Question 9:</w:t>
      </w:r>
    </w:p>
    <w:p w14:paraId="0BE62318" w14:textId="77777777" w:rsidR="00BE65B6" w:rsidRDefault="00BE65B6" w:rsidP="00BE65B6">
      <w:pPr>
        <w:rPr>
          <w:rFonts w:eastAsia="Times New Roman"/>
          <w:color w:val="000000"/>
        </w:rPr>
      </w:pPr>
      <w:r w:rsidRPr="004845E8">
        <w:rPr>
          <w:rFonts w:eastAsia="Times New Roman"/>
          <w:color w:val="000000"/>
          <w:u w:val="single"/>
        </w:rPr>
        <w:t>The ESAs should allow more time for market participants and supervisors to assess whether it would be beneficial to introduce new formulae or other technical changes to the current list of PAI indicators</w:t>
      </w:r>
      <w:r w:rsidRPr="00D4538A">
        <w:rPr>
          <w:rFonts w:eastAsia="Times New Roman"/>
          <w:color w:val="000000"/>
        </w:rPr>
        <w:t>.</w:t>
      </w:r>
      <w:r>
        <w:rPr>
          <w:rFonts w:eastAsia="Times New Roman"/>
          <w:color w:val="000000"/>
        </w:rPr>
        <w:t xml:space="preserve"> </w:t>
      </w:r>
      <w:r w:rsidRPr="00B54E99">
        <w:rPr>
          <w:rFonts w:eastAsia="Times New Roman"/>
          <w:color w:val="000000"/>
        </w:rPr>
        <w:t>While we appreciate the ESAs</w:t>
      </w:r>
      <w:r>
        <w:rPr>
          <w:rFonts w:eastAsia="Times New Roman"/>
          <w:color w:val="000000"/>
        </w:rPr>
        <w:t>’</w:t>
      </w:r>
      <w:r w:rsidRPr="00B54E99">
        <w:rPr>
          <w:rFonts w:eastAsia="Times New Roman"/>
          <w:color w:val="000000"/>
        </w:rPr>
        <w:t xml:space="preserve"> inten</w:t>
      </w:r>
      <w:r>
        <w:rPr>
          <w:rFonts w:eastAsia="Times New Roman"/>
          <w:color w:val="000000"/>
        </w:rPr>
        <w:t>t</w:t>
      </w:r>
      <w:r w:rsidRPr="00B54E99">
        <w:rPr>
          <w:rFonts w:eastAsia="Times New Roman"/>
          <w:color w:val="000000"/>
        </w:rPr>
        <w:t xml:space="preserve"> to provide additional clarity around the calculation of PAI indicators whose formula</w:t>
      </w:r>
      <w:r>
        <w:rPr>
          <w:rFonts w:eastAsia="Times New Roman"/>
          <w:color w:val="000000"/>
        </w:rPr>
        <w:t>e</w:t>
      </w:r>
      <w:r w:rsidRPr="00B54E99">
        <w:rPr>
          <w:rFonts w:eastAsia="Times New Roman"/>
          <w:color w:val="000000"/>
        </w:rPr>
        <w:t xml:space="preserve"> are not indicated in the current RTS, </w:t>
      </w:r>
      <w:proofErr w:type="gramStart"/>
      <w:r>
        <w:rPr>
          <w:rFonts w:eastAsia="Times New Roman"/>
          <w:color w:val="000000"/>
        </w:rPr>
        <w:t>r</w:t>
      </w:r>
      <w:r w:rsidRPr="007E11A5">
        <w:rPr>
          <w:rFonts w:eastAsia="Times New Roman"/>
          <w:color w:val="000000"/>
        </w:rPr>
        <w:t>eviewing</w:t>
      </w:r>
      <w:proofErr w:type="gramEnd"/>
      <w:r w:rsidRPr="007E11A5">
        <w:rPr>
          <w:rFonts w:eastAsia="Times New Roman"/>
          <w:color w:val="000000"/>
        </w:rPr>
        <w:t xml:space="preserve"> and assessing the PAI statements disclosed by </w:t>
      </w:r>
      <w:r>
        <w:rPr>
          <w:rFonts w:eastAsia="Times New Roman"/>
          <w:color w:val="000000"/>
        </w:rPr>
        <w:t>financial market participant</w:t>
      </w:r>
      <w:r w:rsidRPr="007E11A5">
        <w:rPr>
          <w:rFonts w:eastAsia="Times New Roman"/>
          <w:color w:val="000000"/>
        </w:rPr>
        <w:t>s in June 2023 would be essential to accurately identify any potential ambiguities and gaps.</w:t>
      </w:r>
      <w:r w:rsidRPr="007D4CA2">
        <w:rPr>
          <w:rFonts w:eastAsia="Times New Roman"/>
          <w:color w:val="000000"/>
        </w:rPr>
        <w:t xml:space="preserve"> </w:t>
      </w:r>
      <w:r w:rsidRPr="00995B63">
        <w:rPr>
          <w:rFonts w:eastAsia="Times New Roman"/>
          <w:color w:val="000000"/>
        </w:rPr>
        <w:t xml:space="preserve">We note this consultation coincides with </w:t>
      </w:r>
      <w:r>
        <w:rPr>
          <w:rFonts w:eastAsia="Times New Roman"/>
          <w:color w:val="000000"/>
        </w:rPr>
        <w:t>financial market participant</w:t>
      </w:r>
      <w:r w:rsidRPr="00995B63">
        <w:rPr>
          <w:rFonts w:eastAsia="Times New Roman"/>
          <w:color w:val="000000"/>
        </w:rPr>
        <w:t>s</w:t>
      </w:r>
      <w:r>
        <w:rPr>
          <w:rFonts w:eastAsia="Times New Roman"/>
          <w:color w:val="000000"/>
        </w:rPr>
        <w:t>’</w:t>
      </w:r>
      <w:r w:rsidRPr="00995B63">
        <w:rPr>
          <w:rFonts w:eastAsia="Times New Roman"/>
          <w:color w:val="000000"/>
        </w:rPr>
        <w:t xml:space="preserve"> preparation of the first set of quantitative PAI disclosures</w:t>
      </w:r>
      <w:r>
        <w:rPr>
          <w:rFonts w:eastAsia="Times New Roman"/>
          <w:color w:val="000000"/>
        </w:rPr>
        <w:t>.</w:t>
      </w:r>
    </w:p>
    <w:p w14:paraId="16DCF8DB" w14:textId="77777777" w:rsidR="00BE65B6" w:rsidRDefault="00BE65B6" w:rsidP="00BE65B6">
      <w:r>
        <w:rPr>
          <w:rFonts w:eastAsia="Times New Roman"/>
          <w:color w:val="000000"/>
        </w:rPr>
        <w:t>I</w:t>
      </w:r>
      <w:r w:rsidRPr="00B54E99">
        <w:rPr>
          <w:rFonts w:eastAsia="Times New Roman"/>
          <w:color w:val="000000"/>
        </w:rPr>
        <w:t>ntroducing new formula</w:t>
      </w:r>
      <w:r>
        <w:rPr>
          <w:rFonts w:eastAsia="Times New Roman"/>
          <w:color w:val="000000"/>
        </w:rPr>
        <w:t>e</w:t>
      </w:r>
      <w:r w:rsidRPr="00B54E99">
        <w:rPr>
          <w:rFonts w:eastAsia="Times New Roman"/>
          <w:color w:val="000000"/>
        </w:rPr>
        <w:t xml:space="preserve"> </w:t>
      </w:r>
      <w:r>
        <w:rPr>
          <w:rFonts w:eastAsia="Times New Roman"/>
          <w:color w:val="000000"/>
        </w:rPr>
        <w:t>or amending formulae at this time w</w:t>
      </w:r>
      <w:r w:rsidRPr="00B54E99">
        <w:rPr>
          <w:rFonts w:eastAsia="Times New Roman"/>
          <w:color w:val="000000"/>
        </w:rPr>
        <w:t>ould lead to inconsistent calculation methodologies and presentation</w:t>
      </w:r>
      <w:r>
        <w:rPr>
          <w:rFonts w:eastAsia="Times New Roman"/>
          <w:color w:val="000000"/>
        </w:rPr>
        <w:t xml:space="preserve"> of year-over-year data</w:t>
      </w:r>
      <w:r w:rsidRPr="00B54E99">
        <w:rPr>
          <w:rFonts w:eastAsia="Times New Roman"/>
          <w:color w:val="000000"/>
        </w:rPr>
        <w:t xml:space="preserve">, hampering the comparability of </w:t>
      </w:r>
      <w:r>
        <w:rPr>
          <w:rFonts w:eastAsia="Times New Roman"/>
          <w:color w:val="000000"/>
        </w:rPr>
        <w:t xml:space="preserve">future </w:t>
      </w:r>
      <w:r w:rsidRPr="00B54E99">
        <w:rPr>
          <w:rFonts w:eastAsia="Times New Roman"/>
          <w:color w:val="000000"/>
        </w:rPr>
        <w:t>PAI statements. Hence, any changes to formula</w:t>
      </w:r>
      <w:r>
        <w:rPr>
          <w:rFonts w:eastAsia="Times New Roman"/>
          <w:color w:val="000000"/>
        </w:rPr>
        <w:t>e</w:t>
      </w:r>
      <w:r w:rsidRPr="00B54E99">
        <w:rPr>
          <w:rFonts w:eastAsia="Times New Roman"/>
          <w:color w:val="000000"/>
        </w:rPr>
        <w:t>, presentation</w:t>
      </w:r>
      <w:r>
        <w:rPr>
          <w:rFonts w:eastAsia="Times New Roman"/>
          <w:color w:val="000000"/>
        </w:rPr>
        <w:t>,</w:t>
      </w:r>
      <w:r w:rsidRPr="00B54E99">
        <w:rPr>
          <w:rFonts w:eastAsia="Times New Roman"/>
          <w:color w:val="000000"/>
        </w:rPr>
        <w:t xml:space="preserve"> and calculation methodologies of the PAI indicators should be carefully considered</w:t>
      </w:r>
      <w:r>
        <w:rPr>
          <w:rFonts w:eastAsia="Times New Roman"/>
          <w:color w:val="000000"/>
        </w:rPr>
        <w:t xml:space="preserve"> against the benefits of comparability over time</w:t>
      </w:r>
      <w:r w:rsidRPr="00B54E99">
        <w:rPr>
          <w:rFonts w:eastAsia="Times New Roman"/>
          <w:color w:val="000000"/>
        </w:rPr>
        <w:t>.</w:t>
      </w:r>
      <w:r w:rsidRPr="00811CA7">
        <w:t xml:space="preserve"> </w:t>
      </w:r>
      <w:r>
        <w:t xml:space="preserve">We note </w:t>
      </w:r>
      <w:r>
        <w:lastRenderedPageBreak/>
        <w:t>that it is retail investors who would be the most negatively affected by changes to disclosure that would impair comparability over time.</w:t>
      </w:r>
    </w:p>
    <w:p w14:paraId="39AF0F2E" w14:textId="5398EF99" w:rsidR="00BE65B6" w:rsidRDefault="00BE65B6" w:rsidP="0030341A">
      <w:pPr>
        <w:rPr>
          <w:rFonts w:eastAsia="Times New Roman"/>
          <w:color w:val="000000"/>
        </w:rPr>
      </w:pPr>
      <w:r>
        <w:t xml:space="preserve">Should the ESAs decide to move forward at this time with changes to formulae, they should clarify that financial market participants will not be required to recalculate previously reported PAI indicators. Rather, financial market participants should be permitted to provide an explanation within the template noting the changes to the formulae. </w:t>
      </w:r>
    </w:p>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4" w:name="_Hlk131609841"/>
      <w:r>
        <w:t>: Do you agree with the proposal to require the disclosure of the share of information for the PAI indicators for which the financial market participant relies on information directly from investee companies?</w:t>
      </w:r>
    </w:p>
    <w:bookmarkEnd w:id="14"/>
    <w:p w14:paraId="3B6463EF" w14:textId="77777777" w:rsidR="009C41BB" w:rsidRDefault="009C41BB" w:rsidP="009C41BB">
      <w:r>
        <w:t>&lt;ESMA_QUESTION_SFDR_11&gt;</w:t>
      </w:r>
    </w:p>
    <w:p w14:paraId="7C9538BD" w14:textId="77777777" w:rsidR="00284B77" w:rsidRDefault="00284B77" w:rsidP="00284B77">
      <w:pPr>
        <w:rPr>
          <w:rFonts w:eastAsia="Times New Roman"/>
          <w:color w:val="000000"/>
        </w:rPr>
      </w:pPr>
      <w:bookmarkStart w:id="15" w:name="_Hlk136964518"/>
      <w:r w:rsidRPr="00C82368">
        <w:rPr>
          <w:rFonts w:eastAsia="Times New Roman"/>
          <w:color w:val="000000"/>
          <w:u w:val="single"/>
        </w:rPr>
        <w:t>The ESAs should maintain this disclosure as a ‘good practice’ as outlined in Question II.1 in the November 2022 Q&amp;As, rather than mandat</w:t>
      </w:r>
      <w:r>
        <w:rPr>
          <w:rFonts w:eastAsia="Times New Roman"/>
          <w:color w:val="000000"/>
          <w:u w:val="single"/>
        </w:rPr>
        <w:t>e</w:t>
      </w:r>
      <w:r w:rsidRPr="00C82368">
        <w:rPr>
          <w:rFonts w:eastAsia="Times New Roman"/>
          <w:color w:val="000000"/>
          <w:u w:val="single"/>
        </w:rPr>
        <w:t xml:space="preserve"> disclosure at this time</w:t>
      </w:r>
      <w:r w:rsidRPr="00983286">
        <w:rPr>
          <w:rFonts w:eastAsia="Times New Roman"/>
          <w:color w:val="000000"/>
        </w:rPr>
        <w:t>.</w:t>
      </w:r>
      <w:r>
        <w:rPr>
          <w:rFonts w:eastAsia="Times New Roman"/>
          <w:color w:val="000000"/>
        </w:rPr>
        <w:t xml:space="preserve"> </w:t>
      </w:r>
      <w:bookmarkEnd w:id="15"/>
      <w:r>
        <w:rPr>
          <w:rFonts w:eastAsia="Times New Roman"/>
          <w:color w:val="000000"/>
        </w:rPr>
        <w:t>We recommend an assessment of information disclosed by financial market participants in June 2023 within the</w:t>
      </w:r>
      <w:r w:rsidRPr="00983286">
        <w:rPr>
          <w:rFonts w:eastAsia="Times New Roman"/>
          <w:color w:val="000000"/>
        </w:rPr>
        <w:t xml:space="preserve"> sub-section in each PAI report where</w:t>
      </w:r>
      <w:r>
        <w:rPr>
          <w:rFonts w:eastAsia="Times New Roman"/>
          <w:color w:val="000000"/>
        </w:rPr>
        <w:t xml:space="preserve"> a financial market participant</w:t>
      </w:r>
      <w:r w:rsidRPr="00983286">
        <w:rPr>
          <w:rFonts w:eastAsia="Times New Roman"/>
          <w:color w:val="000000"/>
        </w:rPr>
        <w:t xml:space="preserve"> discloses details on data sources used</w:t>
      </w:r>
      <w:r>
        <w:rPr>
          <w:rFonts w:eastAsia="Times New Roman"/>
          <w:color w:val="000000"/>
        </w:rPr>
        <w:t xml:space="preserve">, </w:t>
      </w:r>
      <w:proofErr w:type="gramStart"/>
      <w:r>
        <w:rPr>
          <w:rFonts w:eastAsia="Times New Roman"/>
          <w:color w:val="000000"/>
        </w:rPr>
        <w:t>in order to</w:t>
      </w:r>
      <w:proofErr w:type="gramEnd"/>
      <w:r>
        <w:rPr>
          <w:rFonts w:eastAsia="Times New Roman"/>
          <w:color w:val="000000"/>
        </w:rPr>
        <w:t xml:space="preserve"> determine if an additional disclosure requirement would be necessary. </w:t>
      </w:r>
    </w:p>
    <w:p w14:paraId="03AEB1FC" w14:textId="77777777" w:rsidR="00284B77" w:rsidRPr="00C04FDC" w:rsidRDefault="00284B77" w:rsidP="00284B77">
      <w:pPr>
        <w:rPr>
          <w:rFonts w:eastAsia="Times New Roman"/>
          <w:color w:val="000000"/>
        </w:rPr>
      </w:pPr>
      <w:r>
        <w:rPr>
          <w:rFonts w:eastAsia="Times New Roman"/>
          <w:color w:val="000000"/>
        </w:rPr>
        <w:t>Should the ESAs decide to make this disclosure mandatory at this time, we recommend careful consideration and sufficient clarity on what would constitute information “obtained directly” from companies. For example, clarity on how financial market participants should treat data sourced from a third party, where that data is based in-full or in-part on information publicly reported by companies would be needed. We believe this data should be included as information “directly obtained” from companies, given the relevant factor is whether the information originates from the company or rather from an estimate or assumption by an entity other than the company. This distinction will be particularly relevant as the European Single Access Point (ESAP) becomes operational, as information sourced from the ESAP would be reported directly by companies.</w:t>
      </w:r>
    </w:p>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45EA1B2C" w14:textId="77777777" w:rsidR="002B15C0" w:rsidRDefault="002B15C0" w:rsidP="002B15C0">
      <w:pPr>
        <w:rPr>
          <w:rFonts w:eastAsia="Times New Roman"/>
          <w:color w:val="000000"/>
        </w:rPr>
      </w:pPr>
      <w:r w:rsidRPr="003511DC">
        <w:rPr>
          <w:rFonts w:eastAsia="Times New Roman"/>
          <w:color w:val="000000"/>
          <w:u w:val="single"/>
        </w:rPr>
        <w:t>The ESAs should not require the inclusion of information on investee companies’ value chains in PAI calculations</w:t>
      </w:r>
      <w:r w:rsidRPr="00AA3429">
        <w:rPr>
          <w:rFonts w:eastAsia="Times New Roman"/>
          <w:color w:val="000000"/>
        </w:rPr>
        <w:t>.</w:t>
      </w:r>
      <w:r>
        <w:rPr>
          <w:rFonts w:eastAsia="Times New Roman"/>
          <w:color w:val="000000"/>
        </w:rPr>
        <w:t xml:space="preserve"> Including this information in an aggregated PAI statement would not facilitate the consistency and comparability of sustainability impacts, which is a stated goal of the ESAs. For example, inclusion of value chain information would lead to </w:t>
      </w:r>
      <w:proofErr w:type="gramStart"/>
      <w:r>
        <w:rPr>
          <w:rFonts w:eastAsia="Times New Roman"/>
          <w:color w:val="000000"/>
        </w:rPr>
        <w:t>double-counting</w:t>
      </w:r>
      <w:proofErr w:type="gramEnd"/>
      <w:r>
        <w:rPr>
          <w:rFonts w:eastAsia="Times New Roman"/>
          <w:color w:val="000000"/>
        </w:rPr>
        <w:t xml:space="preserve"> of adverse impacts. </w:t>
      </w:r>
      <w:r w:rsidRPr="00AA3429">
        <w:rPr>
          <w:rFonts w:eastAsia="Times New Roman"/>
          <w:color w:val="000000"/>
        </w:rPr>
        <w:t>Companies’ value chains are comprised of other companies, which may or may not be among the market participants’ investments</w:t>
      </w:r>
      <w:r>
        <w:rPr>
          <w:rFonts w:eastAsia="Times New Roman"/>
          <w:color w:val="000000"/>
        </w:rPr>
        <w:t>.</w:t>
      </w:r>
    </w:p>
    <w:p w14:paraId="41215415" w14:textId="5A66D382" w:rsidR="002B15C0" w:rsidRDefault="002B15C0" w:rsidP="002B15C0">
      <w:pPr>
        <w:rPr>
          <w:rFonts w:eastAsia="Times New Roman"/>
          <w:color w:val="000000"/>
        </w:rPr>
      </w:pPr>
      <w:r w:rsidRPr="00443DE8">
        <w:rPr>
          <w:rFonts w:eastAsia="Times New Roman"/>
          <w:color w:val="000000"/>
        </w:rPr>
        <w:t xml:space="preserve">Here it may be beneficial to note that investors often consider information on investee companies’ value chains where that information is reported by companies. This information can be useful in assessing how </w:t>
      </w:r>
      <w:r>
        <w:rPr>
          <w:rFonts w:eastAsia="Times New Roman"/>
          <w:color w:val="000000"/>
        </w:rPr>
        <w:t>a particular</w:t>
      </w:r>
      <w:r w:rsidRPr="00443DE8">
        <w:rPr>
          <w:rFonts w:eastAsia="Times New Roman"/>
          <w:color w:val="000000"/>
        </w:rPr>
        <w:t xml:space="preserve"> company is managing risks in its value chain, and whether it is well-poised to </w:t>
      </w:r>
      <w:r>
        <w:rPr>
          <w:rFonts w:eastAsia="Times New Roman"/>
          <w:color w:val="000000"/>
        </w:rPr>
        <w:t>meet any net-zero targets</w:t>
      </w:r>
      <w:r w:rsidRPr="00443DE8">
        <w:rPr>
          <w:rFonts w:eastAsia="Times New Roman"/>
          <w:color w:val="000000"/>
        </w:rPr>
        <w:t>.</w:t>
      </w:r>
      <w:r>
        <w:rPr>
          <w:rFonts w:eastAsia="Times New Roman"/>
          <w:color w:val="000000"/>
        </w:rPr>
        <w:t xml:space="preserve"> We recommend that for any PAI-related disclosure, the ESAs carefully consider and differentiate between information that is useful to investors when assessing a particular company, and information that would be useful </w:t>
      </w:r>
      <w:r w:rsidR="00A66D7D">
        <w:rPr>
          <w:rFonts w:eastAsia="Times New Roman"/>
          <w:color w:val="000000"/>
        </w:rPr>
        <w:t xml:space="preserve">to report </w:t>
      </w:r>
      <w:r>
        <w:rPr>
          <w:rFonts w:eastAsia="Times New Roman"/>
          <w:color w:val="000000"/>
        </w:rPr>
        <w:t>on an aggregated basis</w:t>
      </w:r>
      <w:r w:rsidR="00A66D7D">
        <w:rPr>
          <w:rFonts w:eastAsia="Times New Roman"/>
          <w:color w:val="000000"/>
        </w:rPr>
        <w:t>, such as in the PAI report</w:t>
      </w:r>
      <w:r>
        <w:rPr>
          <w:rFonts w:eastAsia="Times New Roman"/>
          <w:color w:val="000000"/>
        </w:rPr>
        <w:t>.</w:t>
      </w:r>
    </w:p>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5E81A595" w14:textId="77777777" w:rsidR="00B91C10" w:rsidRDefault="00B91C10" w:rsidP="00B91C10">
      <w:pPr>
        <w:rPr>
          <w:rFonts w:eastAsia="Times New Roman"/>
          <w:color w:val="000000"/>
        </w:rPr>
      </w:pPr>
      <w:bookmarkStart w:id="16" w:name="_Hlk136964664"/>
      <w:r w:rsidRPr="00C54B26">
        <w:rPr>
          <w:rFonts w:eastAsia="Times New Roman"/>
          <w:color w:val="000000"/>
          <w:u w:val="single"/>
        </w:rPr>
        <w:t>The ESAs should reconsider the proposed treatment of derivatives in the PAI indicators, and instead take a holistic approach to ensure that the treatment of derivatives is consistent whether regarding PAI indicators, sustainable investments, or taxonomy alignment</w:t>
      </w:r>
      <w:r>
        <w:rPr>
          <w:rFonts w:eastAsia="Times New Roman"/>
          <w:color w:val="000000"/>
        </w:rPr>
        <w:t xml:space="preserve">. </w:t>
      </w:r>
      <w:bookmarkEnd w:id="16"/>
      <w:r w:rsidRPr="00961908">
        <w:rPr>
          <w:rFonts w:eastAsia="Times New Roman"/>
          <w:color w:val="000000"/>
        </w:rPr>
        <w:t xml:space="preserve">The </w:t>
      </w:r>
      <w:r>
        <w:rPr>
          <w:rFonts w:eastAsia="Times New Roman"/>
          <w:color w:val="000000"/>
        </w:rPr>
        <w:t xml:space="preserve">ESAs’ </w:t>
      </w:r>
      <w:r w:rsidRPr="00961908">
        <w:rPr>
          <w:rFonts w:eastAsia="Times New Roman"/>
          <w:color w:val="000000"/>
        </w:rPr>
        <w:t xml:space="preserve">proposal </w:t>
      </w:r>
      <w:proofErr w:type="gramStart"/>
      <w:r w:rsidRPr="00961908">
        <w:rPr>
          <w:rFonts w:eastAsia="Times New Roman"/>
          <w:color w:val="000000"/>
        </w:rPr>
        <w:t>is based on the assumption</w:t>
      </w:r>
      <w:proofErr w:type="gramEnd"/>
      <w:r w:rsidRPr="00961908">
        <w:rPr>
          <w:rFonts w:eastAsia="Times New Roman"/>
          <w:color w:val="000000"/>
        </w:rPr>
        <w:t xml:space="preserve"> that derivatives are used </w:t>
      </w:r>
      <w:r>
        <w:rPr>
          <w:rFonts w:eastAsia="Times New Roman"/>
          <w:color w:val="000000"/>
        </w:rPr>
        <w:t>to</w:t>
      </w:r>
      <w:r w:rsidRPr="00961908">
        <w:rPr>
          <w:rFonts w:eastAsia="Times New Roman"/>
          <w:color w:val="000000"/>
        </w:rPr>
        <w:t xml:space="preserve"> lower asset managers’ PAI while maintaining long exposure on certain assets</w:t>
      </w:r>
      <w:r>
        <w:rPr>
          <w:rFonts w:eastAsia="Times New Roman"/>
          <w:color w:val="000000"/>
        </w:rPr>
        <w:t xml:space="preserve">. </w:t>
      </w:r>
      <w:r>
        <w:t>However, this assumption fails to take into consideration the positive contributions of certain types of derivatives in the context of sustainable investment</w:t>
      </w:r>
      <w:r>
        <w:rPr>
          <w:rFonts w:eastAsia="Times New Roman"/>
          <w:color w:val="000000"/>
        </w:rPr>
        <w:t xml:space="preserve">. </w:t>
      </w:r>
      <w:r w:rsidRPr="0086626F">
        <w:rPr>
          <w:rFonts w:eastAsia="Times New Roman"/>
          <w:color w:val="000000"/>
        </w:rPr>
        <w:t xml:space="preserve">We encourage the ESAs to conduct further research and studies on the uses of </w:t>
      </w:r>
      <w:r>
        <w:rPr>
          <w:rFonts w:eastAsia="Times New Roman"/>
          <w:color w:val="000000"/>
        </w:rPr>
        <w:t xml:space="preserve">different types of </w:t>
      </w:r>
      <w:r w:rsidRPr="0086626F">
        <w:rPr>
          <w:rFonts w:eastAsia="Times New Roman"/>
          <w:color w:val="000000"/>
        </w:rPr>
        <w:t>derivatives in the context of sustainable investment,</w:t>
      </w:r>
      <w:r>
        <w:rPr>
          <w:rFonts w:eastAsia="Times New Roman"/>
          <w:color w:val="000000"/>
        </w:rPr>
        <w:t xml:space="preserve"> which </w:t>
      </w:r>
      <w:r w:rsidRPr="0086626F">
        <w:rPr>
          <w:rFonts w:eastAsia="Times New Roman"/>
          <w:color w:val="000000"/>
        </w:rPr>
        <w:t xml:space="preserve">would provide the ESAs a </w:t>
      </w:r>
      <w:r>
        <w:rPr>
          <w:rFonts w:eastAsia="Times New Roman"/>
          <w:color w:val="000000"/>
        </w:rPr>
        <w:t>solid foundation</w:t>
      </w:r>
      <w:r w:rsidRPr="0086626F">
        <w:rPr>
          <w:rFonts w:eastAsia="Times New Roman"/>
          <w:color w:val="000000"/>
        </w:rPr>
        <w:t xml:space="preserve"> to identify the best approach to and methodologies for the treatment of derivatives. We also encourage the ESAs to </w:t>
      </w:r>
      <w:proofErr w:type="gramStart"/>
      <w:r w:rsidRPr="0086626F">
        <w:rPr>
          <w:rFonts w:eastAsia="Times New Roman"/>
          <w:color w:val="000000"/>
        </w:rPr>
        <w:t>take into account</w:t>
      </w:r>
      <w:proofErr w:type="gramEnd"/>
      <w:r w:rsidRPr="0086626F">
        <w:rPr>
          <w:rFonts w:eastAsia="Times New Roman"/>
          <w:color w:val="000000"/>
        </w:rPr>
        <w:t xml:space="preserve"> existing market standards on the treatment of derivatives in the context of sustainable investment.</w:t>
      </w:r>
    </w:p>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2FDB9D2B" w14:textId="79DB3ED4" w:rsidR="001653FE" w:rsidRPr="00D24DD0" w:rsidRDefault="00270F1C" w:rsidP="001653FE">
      <w:pPr>
        <w:rPr>
          <w:rFonts w:eastAsia="Times New Roman"/>
          <w:b/>
          <w:bCs/>
          <w:color w:val="000000"/>
        </w:rPr>
      </w:pPr>
      <w:r w:rsidRPr="00D24DD0">
        <w:rPr>
          <w:rFonts w:eastAsia="Times New Roman"/>
          <w:b/>
          <w:bCs/>
          <w:color w:val="000000"/>
        </w:rPr>
        <w:t>As we note in our response to Question 14</w:t>
      </w:r>
      <w:r w:rsidR="00D24DD0" w:rsidRPr="00D24DD0">
        <w:rPr>
          <w:rFonts w:eastAsia="Times New Roman"/>
          <w:b/>
          <w:bCs/>
          <w:color w:val="000000"/>
        </w:rPr>
        <w:t>:</w:t>
      </w:r>
    </w:p>
    <w:p w14:paraId="68D453DE" w14:textId="2457ABB0" w:rsidR="00D24DD0" w:rsidRDefault="00D24DD0" w:rsidP="001653FE">
      <w:pPr>
        <w:rPr>
          <w:rFonts w:eastAsia="Times New Roman"/>
          <w:color w:val="000000"/>
        </w:rPr>
      </w:pPr>
      <w:r w:rsidRPr="00C54B26">
        <w:rPr>
          <w:rFonts w:eastAsia="Times New Roman"/>
          <w:color w:val="000000"/>
          <w:u w:val="single"/>
        </w:rPr>
        <w:t>The ESAs should reconsider the proposed treatment of derivatives in the PAI indicators, and instead take a holistic approach to ensure that the treatment of derivatives is consistent whether regarding PAI indicators, sustainable investments, or taxonomy alignment</w:t>
      </w:r>
      <w:r>
        <w:rPr>
          <w:rFonts w:eastAsia="Times New Roman"/>
          <w:color w:val="000000"/>
        </w:rPr>
        <w:t xml:space="preserve">. </w:t>
      </w:r>
      <w:r w:rsidRPr="00961908">
        <w:rPr>
          <w:rFonts w:eastAsia="Times New Roman"/>
          <w:color w:val="000000"/>
        </w:rPr>
        <w:t xml:space="preserve">The </w:t>
      </w:r>
      <w:r>
        <w:rPr>
          <w:rFonts w:eastAsia="Times New Roman"/>
          <w:color w:val="000000"/>
        </w:rPr>
        <w:t xml:space="preserve">ESAs’ </w:t>
      </w:r>
      <w:r w:rsidRPr="00961908">
        <w:rPr>
          <w:rFonts w:eastAsia="Times New Roman"/>
          <w:color w:val="000000"/>
        </w:rPr>
        <w:t xml:space="preserve">proposal </w:t>
      </w:r>
      <w:proofErr w:type="gramStart"/>
      <w:r w:rsidRPr="00961908">
        <w:rPr>
          <w:rFonts w:eastAsia="Times New Roman"/>
          <w:color w:val="000000"/>
        </w:rPr>
        <w:t>is based on the assumption</w:t>
      </w:r>
      <w:proofErr w:type="gramEnd"/>
      <w:r w:rsidRPr="00961908">
        <w:rPr>
          <w:rFonts w:eastAsia="Times New Roman"/>
          <w:color w:val="000000"/>
        </w:rPr>
        <w:t xml:space="preserve"> that derivatives are used </w:t>
      </w:r>
      <w:r>
        <w:rPr>
          <w:rFonts w:eastAsia="Times New Roman"/>
          <w:color w:val="000000"/>
        </w:rPr>
        <w:t>to</w:t>
      </w:r>
      <w:r w:rsidRPr="00961908">
        <w:rPr>
          <w:rFonts w:eastAsia="Times New Roman"/>
          <w:color w:val="000000"/>
        </w:rPr>
        <w:t xml:space="preserve"> lower asset managers’ PAI while maintaining long exposure on certain assets</w:t>
      </w:r>
      <w:r>
        <w:rPr>
          <w:rFonts w:eastAsia="Times New Roman"/>
          <w:color w:val="000000"/>
        </w:rPr>
        <w:t xml:space="preserve">. </w:t>
      </w:r>
      <w:r>
        <w:t>However, this assumption fails to take into consideration the positive contributions of certain types of derivatives in the context of sustainable investment</w:t>
      </w:r>
      <w:r>
        <w:rPr>
          <w:rFonts w:eastAsia="Times New Roman"/>
          <w:color w:val="000000"/>
        </w:rPr>
        <w:t xml:space="preserve">. </w:t>
      </w:r>
      <w:r w:rsidRPr="0086626F">
        <w:rPr>
          <w:rFonts w:eastAsia="Times New Roman"/>
          <w:color w:val="000000"/>
        </w:rPr>
        <w:t xml:space="preserve">We encourage the ESAs to conduct further research and studies on the uses of </w:t>
      </w:r>
      <w:r>
        <w:rPr>
          <w:rFonts w:eastAsia="Times New Roman"/>
          <w:color w:val="000000"/>
        </w:rPr>
        <w:t xml:space="preserve">different types of </w:t>
      </w:r>
      <w:r w:rsidRPr="0086626F">
        <w:rPr>
          <w:rFonts w:eastAsia="Times New Roman"/>
          <w:color w:val="000000"/>
        </w:rPr>
        <w:t>derivatives in the context of sustainable investment,</w:t>
      </w:r>
      <w:r>
        <w:rPr>
          <w:rFonts w:eastAsia="Times New Roman"/>
          <w:color w:val="000000"/>
        </w:rPr>
        <w:t xml:space="preserve"> which </w:t>
      </w:r>
      <w:r w:rsidRPr="0086626F">
        <w:rPr>
          <w:rFonts w:eastAsia="Times New Roman"/>
          <w:color w:val="000000"/>
        </w:rPr>
        <w:t xml:space="preserve">would provide the ESAs a </w:t>
      </w:r>
      <w:r>
        <w:rPr>
          <w:rFonts w:eastAsia="Times New Roman"/>
          <w:color w:val="000000"/>
        </w:rPr>
        <w:t>solid foundation</w:t>
      </w:r>
      <w:r w:rsidRPr="0086626F">
        <w:rPr>
          <w:rFonts w:eastAsia="Times New Roman"/>
          <w:color w:val="000000"/>
        </w:rPr>
        <w:t xml:space="preserve"> to identify the best approach to and methodologies for the treatment of derivatives. We also encourage the ESAs to </w:t>
      </w:r>
      <w:proofErr w:type="gramStart"/>
      <w:r w:rsidRPr="0086626F">
        <w:rPr>
          <w:rFonts w:eastAsia="Times New Roman"/>
          <w:color w:val="000000"/>
        </w:rPr>
        <w:t>take into account</w:t>
      </w:r>
      <w:proofErr w:type="gramEnd"/>
      <w:r w:rsidRPr="0086626F">
        <w:rPr>
          <w:rFonts w:eastAsia="Times New Roman"/>
          <w:color w:val="000000"/>
        </w:rPr>
        <w:t xml:space="preserve"> existing market standards on the treatment of derivatives in the context of sustainable investment.</w:t>
      </w:r>
    </w:p>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54585AF3" w14:textId="77777777" w:rsidR="001E6118" w:rsidRDefault="001E6118" w:rsidP="001E6118">
      <w:pPr>
        <w:rPr>
          <w:rFonts w:eastAsia="Times New Roman"/>
          <w:color w:val="000000"/>
        </w:rPr>
      </w:pPr>
      <w:r w:rsidRPr="007F7D24">
        <w:rPr>
          <w:rFonts w:eastAsia="Times New Roman"/>
          <w:color w:val="000000"/>
          <w:u w:val="single"/>
        </w:rPr>
        <w:t>The ESAs should maintain the status quo with respect to DNSH requirements at this time to avoid market disruption and facilitate implementation efforts, to align with the recent responses from the European Commission to the ESAs’ September 2022 questions, and to assist the Commission’s review of the SFDR, which is already underway</w:t>
      </w:r>
      <w:r w:rsidRPr="00FC2F31">
        <w:rPr>
          <w:rFonts w:eastAsia="Times New Roman"/>
          <w:color w:val="000000"/>
        </w:rPr>
        <w:t xml:space="preserve">. </w:t>
      </w:r>
      <w:r>
        <w:rPr>
          <w:rFonts w:eastAsia="Times New Roman"/>
          <w:color w:val="000000"/>
        </w:rPr>
        <w:t xml:space="preserve">We agree with the ESAs’ assessment that the DNSH </w:t>
      </w:r>
      <w:proofErr w:type="gramStart"/>
      <w:r>
        <w:rPr>
          <w:rFonts w:eastAsia="Times New Roman"/>
          <w:color w:val="000000"/>
        </w:rPr>
        <w:lastRenderedPageBreak/>
        <w:t>principle</w:t>
      </w:r>
      <w:proofErr w:type="gramEnd"/>
      <w:r>
        <w:rPr>
          <w:rFonts w:eastAsia="Times New Roman"/>
          <w:color w:val="000000"/>
        </w:rPr>
        <w:t xml:space="preserve"> leaves room for discretion, but disagree with the assertion that </w:t>
      </w:r>
      <w:r w:rsidRPr="007456D3">
        <w:rPr>
          <w:rFonts w:eastAsia="Times New Roman"/>
          <w:color w:val="000000"/>
        </w:rPr>
        <w:t>investors have limited ways to compare financial</w:t>
      </w:r>
      <w:r>
        <w:rPr>
          <w:rFonts w:eastAsia="Times New Roman"/>
          <w:color w:val="000000"/>
        </w:rPr>
        <w:t xml:space="preserve"> products within a disclosure-based framework. </w:t>
      </w:r>
    </w:p>
    <w:p w14:paraId="5CA60361" w14:textId="77777777" w:rsidR="001E6118" w:rsidRDefault="001E6118" w:rsidP="001E6118">
      <w:pPr>
        <w:rPr>
          <w:rFonts w:eastAsia="Times New Roman"/>
          <w:color w:val="000000"/>
        </w:rPr>
      </w:pPr>
      <w:r w:rsidRPr="00A72284">
        <w:rPr>
          <w:rFonts w:eastAsia="Times New Roman"/>
          <w:color w:val="000000"/>
        </w:rPr>
        <w:t xml:space="preserve">The European Commission’s </w:t>
      </w:r>
      <w:bookmarkStart w:id="17" w:name="_Hlk136952266"/>
      <w:r w:rsidRPr="00A72284">
        <w:rPr>
          <w:rFonts w:eastAsia="Times New Roman"/>
          <w:color w:val="000000"/>
        </w:rPr>
        <w:t xml:space="preserve">response to the ESAs’ questions regarding the definition of “sustainable investment” </w:t>
      </w:r>
      <w:bookmarkEnd w:id="17"/>
      <w:r w:rsidRPr="00A72284">
        <w:rPr>
          <w:rFonts w:eastAsia="Times New Roman"/>
          <w:color w:val="000000"/>
        </w:rPr>
        <w:t>should be a guiding principle for the ESAs’ approach to the DNSH framework.</w:t>
      </w:r>
      <w:r>
        <w:rPr>
          <w:rFonts w:eastAsia="Times New Roman"/>
          <w:color w:val="000000"/>
        </w:rPr>
        <w:t xml:space="preserve"> </w:t>
      </w:r>
      <w:r w:rsidRPr="005E73FA">
        <w:rPr>
          <w:rFonts w:eastAsia="Times New Roman"/>
          <w:color w:val="000000"/>
        </w:rPr>
        <w:t xml:space="preserve">The Commission notes that the rules </w:t>
      </w:r>
      <w:r>
        <w:rPr>
          <w:rFonts w:eastAsia="Times New Roman"/>
          <w:color w:val="000000"/>
        </w:rPr>
        <w:t>“</w:t>
      </w:r>
      <w:r w:rsidRPr="005E73FA">
        <w:rPr>
          <w:rFonts w:eastAsia="Times New Roman"/>
          <w:color w:val="000000"/>
        </w:rPr>
        <w:t xml:space="preserve">require financial market participants to explain how the indicators for adverse impacts on sustainability factors have been </w:t>
      </w:r>
      <w:proofErr w:type="gramStart"/>
      <w:r w:rsidRPr="005E73FA">
        <w:rPr>
          <w:rFonts w:eastAsia="Times New Roman"/>
          <w:color w:val="000000"/>
        </w:rPr>
        <w:t>taken into account</w:t>
      </w:r>
      <w:proofErr w:type="gramEnd"/>
      <w:r w:rsidRPr="005E73FA">
        <w:rPr>
          <w:rFonts w:eastAsia="Times New Roman"/>
          <w:color w:val="000000"/>
        </w:rPr>
        <w:t xml:space="preserve"> when carrying out the ‘do no significant harm’ test of sustainable investments.</w:t>
      </w:r>
      <w:r>
        <w:rPr>
          <w:rFonts w:eastAsia="Times New Roman"/>
          <w:color w:val="000000"/>
        </w:rPr>
        <w:t>”</w:t>
      </w:r>
      <w:r w:rsidRPr="005E73FA">
        <w:rPr>
          <w:rFonts w:eastAsia="Times New Roman"/>
          <w:color w:val="000000"/>
        </w:rPr>
        <w:t xml:space="preserve"> The answer further elaborates that </w:t>
      </w:r>
      <w:r>
        <w:rPr>
          <w:rFonts w:eastAsia="Times New Roman"/>
          <w:color w:val="000000"/>
        </w:rPr>
        <w:t>financial market participant</w:t>
      </w:r>
      <w:r w:rsidRPr="005E73FA">
        <w:rPr>
          <w:rFonts w:eastAsia="Times New Roman"/>
          <w:color w:val="000000"/>
        </w:rPr>
        <w:t xml:space="preserve">s </w:t>
      </w:r>
      <w:r>
        <w:rPr>
          <w:rFonts w:eastAsia="Times New Roman"/>
          <w:color w:val="000000"/>
        </w:rPr>
        <w:t>“</w:t>
      </w:r>
      <w:r w:rsidRPr="005E73FA">
        <w:rPr>
          <w:rFonts w:eastAsia="Times New Roman"/>
          <w:color w:val="000000"/>
        </w:rPr>
        <w:t>must disclose the methodology they have applied to carry out their assessment, including how investments do not cause significant harm to any environmental or social objective.</w:t>
      </w:r>
      <w:r>
        <w:rPr>
          <w:rFonts w:eastAsia="Times New Roman"/>
          <w:color w:val="000000"/>
        </w:rPr>
        <w:t>”</w:t>
      </w:r>
    </w:p>
    <w:p w14:paraId="67DC77AD" w14:textId="77777777" w:rsidR="001E6118" w:rsidRPr="00965573" w:rsidRDefault="001E6118" w:rsidP="001E6118">
      <w:pPr>
        <w:rPr>
          <w:rFonts w:eastAsia="Times New Roman"/>
          <w:color w:val="000000"/>
        </w:rPr>
      </w:pPr>
      <w:r>
        <w:rPr>
          <w:rFonts w:eastAsia="Times New Roman"/>
          <w:color w:val="000000"/>
        </w:rPr>
        <w:t xml:space="preserve">The type of disclosure described by the European Commission ensures that financial market participants have discretion to carry out the DNSH test in the most effective manner for each investment, </w:t>
      </w:r>
      <w:proofErr w:type="gramStart"/>
      <w:r>
        <w:rPr>
          <w:rFonts w:eastAsia="Times New Roman"/>
          <w:color w:val="000000"/>
        </w:rPr>
        <w:t>and also</w:t>
      </w:r>
      <w:proofErr w:type="gramEnd"/>
      <w:r>
        <w:rPr>
          <w:rFonts w:eastAsia="Times New Roman"/>
          <w:color w:val="000000"/>
        </w:rPr>
        <w:t xml:space="preserve"> responsibility to disclose, in a clear, fair and not misleading manner, how that is done. This information is made publicly available for the benefit of investors in financial products as well as investee companies, which enables investors to compare disclosures among financial market participants.</w:t>
      </w:r>
    </w:p>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08203F22" w14:textId="77777777" w:rsidR="008D0B39" w:rsidRDefault="008D0B39" w:rsidP="008D0B39">
      <w:pPr>
        <w:rPr>
          <w:rFonts w:eastAsia="Times New Roman"/>
          <w:color w:val="000000"/>
        </w:rPr>
      </w:pPr>
      <w:r w:rsidRPr="002B2A0D">
        <w:rPr>
          <w:rFonts w:eastAsia="Times New Roman"/>
          <w:color w:val="000000"/>
          <w:u w:val="single"/>
        </w:rPr>
        <w:t>The ESAs should not require disclosure of quantitative thresholds for PAI indicators</w:t>
      </w:r>
      <w:r w:rsidRPr="005F10CA">
        <w:rPr>
          <w:rFonts w:eastAsia="Times New Roman"/>
          <w:color w:val="000000"/>
        </w:rPr>
        <w:t>.</w:t>
      </w:r>
      <w:r>
        <w:rPr>
          <w:rFonts w:eastAsia="Times New Roman"/>
          <w:color w:val="000000"/>
        </w:rPr>
        <w:t xml:space="preserve"> </w:t>
      </w:r>
      <w:r w:rsidRPr="0041197F">
        <w:rPr>
          <w:rFonts w:eastAsia="Times New Roman"/>
          <w:color w:val="000000"/>
        </w:rPr>
        <w:t>Under the ESAs’ proposals, asset managers w</w:t>
      </w:r>
      <w:r>
        <w:rPr>
          <w:rFonts w:eastAsia="Times New Roman"/>
          <w:color w:val="000000"/>
        </w:rPr>
        <w:t>ould</w:t>
      </w:r>
      <w:r w:rsidRPr="0041197F">
        <w:rPr>
          <w:rFonts w:eastAsia="Times New Roman"/>
          <w:color w:val="000000"/>
        </w:rPr>
        <w:t xml:space="preserve"> need to set quantitative thresholds for all their investments and disclose them to retail investors. This would involve substantial resources for asset managers to conduct bespoke research on all their investments, which span across jurisdictions, in relation to all 14 PAI indicators. </w:t>
      </w:r>
      <w:r>
        <w:rPr>
          <w:rFonts w:eastAsia="Times New Roman"/>
          <w:color w:val="000000"/>
        </w:rPr>
        <w:t>Moreover</w:t>
      </w:r>
      <w:r w:rsidRPr="0041197F">
        <w:rPr>
          <w:rFonts w:eastAsia="Times New Roman"/>
          <w:color w:val="000000"/>
        </w:rPr>
        <w:t xml:space="preserve">, </w:t>
      </w:r>
      <w:r>
        <w:rPr>
          <w:rFonts w:eastAsia="Times New Roman"/>
          <w:color w:val="000000"/>
        </w:rPr>
        <w:t>a quantitative threshold disclosure requirement</w:t>
      </w:r>
      <w:r w:rsidRPr="0041197F">
        <w:rPr>
          <w:rFonts w:eastAsia="Times New Roman"/>
          <w:color w:val="000000"/>
        </w:rPr>
        <w:t xml:space="preserve"> would provide limited value to retail investors. </w:t>
      </w:r>
      <w:r>
        <w:rPr>
          <w:rFonts w:eastAsia="Times New Roman"/>
          <w:color w:val="000000"/>
        </w:rPr>
        <w:t xml:space="preserve">It </w:t>
      </w:r>
      <w:r w:rsidRPr="0041197F">
        <w:rPr>
          <w:rFonts w:eastAsia="Times New Roman"/>
          <w:color w:val="000000"/>
        </w:rPr>
        <w:t xml:space="preserve">would add complexities to the disclosures that have been criticized for excessive length and complexity, as the ESAs have acknowledged in the consultation paper, </w:t>
      </w:r>
      <w:r>
        <w:rPr>
          <w:rFonts w:eastAsia="Times New Roman"/>
          <w:color w:val="000000"/>
        </w:rPr>
        <w:t xml:space="preserve">and hinder the goal </w:t>
      </w:r>
      <w:r w:rsidRPr="0041197F">
        <w:rPr>
          <w:rFonts w:eastAsia="Times New Roman"/>
          <w:color w:val="000000"/>
        </w:rPr>
        <w:t xml:space="preserve">of simplifying disclosures for retail investors. </w:t>
      </w:r>
      <w:r>
        <w:rPr>
          <w:rFonts w:eastAsia="Times New Roman"/>
          <w:color w:val="000000"/>
        </w:rPr>
        <w:t>S</w:t>
      </w:r>
      <w:r w:rsidRPr="0041197F">
        <w:rPr>
          <w:rFonts w:eastAsia="Times New Roman"/>
          <w:color w:val="000000"/>
        </w:rPr>
        <w:t>uch quantitative assessment</w:t>
      </w:r>
      <w:r>
        <w:rPr>
          <w:rFonts w:eastAsia="Times New Roman"/>
          <w:color w:val="000000"/>
        </w:rPr>
        <w:t>s</w:t>
      </w:r>
      <w:r w:rsidRPr="0041197F">
        <w:rPr>
          <w:rFonts w:eastAsia="Times New Roman"/>
          <w:color w:val="000000"/>
        </w:rPr>
        <w:t xml:space="preserve"> would not help retail investors understand how a fund or a portfolio manages its overall PAI targets </w:t>
      </w:r>
      <w:proofErr w:type="gramStart"/>
      <w:r w:rsidRPr="0041197F">
        <w:rPr>
          <w:rFonts w:eastAsia="Times New Roman"/>
          <w:color w:val="000000"/>
        </w:rPr>
        <w:t>in order to</w:t>
      </w:r>
      <w:proofErr w:type="gramEnd"/>
      <w:r w:rsidRPr="0041197F">
        <w:rPr>
          <w:rFonts w:eastAsia="Times New Roman"/>
          <w:color w:val="000000"/>
        </w:rPr>
        <w:t xml:space="preserve"> achieve the stated sustainable objective. </w:t>
      </w:r>
    </w:p>
    <w:p w14:paraId="5822B113" w14:textId="77777777" w:rsidR="008D0B39" w:rsidRDefault="008D0B39" w:rsidP="008D0B39">
      <w:pPr>
        <w:rPr>
          <w:rFonts w:eastAsia="Times New Roman"/>
          <w:color w:val="000000"/>
        </w:rPr>
      </w:pPr>
      <w:r>
        <w:rPr>
          <w:rFonts w:eastAsia="Times New Roman"/>
          <w:color w:val="000000"/>
        </w:rPr>
        <w:t>In addition, w</w:t>
      </w:r>
      <w:r w:rsidRPr="0041197F">
        <w:rPr>
          <w:rFonts w:eastAsia="Times New Roman"/>
          <w:color w:val="000000"/>
        </w:rPr>
        <w:t>e caution that not all investments and PAI indicators are fit for evaluation against quantitative thresholds.</w:t>
      </w:r>
      <w:r>
        <w:rPr>
          <w:rFonts w:eastAsia="Times New Roman"/>
          <w:color w:val="000000"/>
        </w:rPr>
        <w:t xml:space="preserve"> Static quantitative thresholds would skew the investment process for evaluating sustainable investments in counterproductive ways</w:t>
      </w:r>
      <w:r w:rsidRPr="00ED705B">
        <w:rPr>
          <w:rFonts w:eastAsia="Times New Roman"/>
          <w:color w:val="000000"/>
        </w:rPr>
        <w:t xml:space="preserve">. </w:t>
      </w:r>
      <w:r>
        <w:rPr>
          <w:rFonts w:eastAsia="Times New Roman"/>
          <w:color w:val="000000"/>
        </w:rPr>
        <w:t>For example, i</w:t>
      </w:r>
      <w:r w:rsidRPr="0041197F">
        <w:rPr>
          <w:rFonts w:eastAsia="Times New Roman"/>
          <w:color w:val="000000"/>
        </w:rPr>
        <w:t xml:space="preserve">t </w:t>
      </w:r>
      <w:r>
        <w:rPr>
          <w:rFonts w:eastAsia="Times New Roman"/>
          <w:color w:val="000000"/>
        </w:rPr>
        <w:t xml:space="preserve">may be </w:t>
      </w:r>
      <w:r w:rsidRPr="0041197F">
        <w:rPr>
          <w:rFonts w:eastAsia="Times New Roman"/>
          <w:color w:val="000000"/>
        </w:rPr>
        <w:t>more appropriate to evaluate the PAI indicators of a company going through its transition journey on a trajectory basis instead of a single</w:t>
      </w:r>
      <w:r>
        <w:rPr>
          <w:rFonts w:eastAsia="Times New Roman"/>
          <w:color w:val="000000"/>
        </w:rPr>
        <w:t xml:space="preserve"> </w:t>
      </w:r>
      <w:r w:rsidRPr="0041197F">
        <w:rPr>
          <w:rFonts w:eastAsia="Times New Roman"/>
          <w:color w:val="000000"/>
        </w:rPr>
        <w:t xml:space="preserve">quantitative number. </w:t>
      </w:r>
      <w:r>
        <w:rPr>
          <w:rFonts w:eastAsia="Times New Roman"/>
          <w:color w:val="000000"/>
        </w:rPr>
        <w:t xml:space="preserve">In another example, a large company </w:t>
      </w:r>
      <w:r>
        <w:rPr>
          <w:rFonts w:eastAsia="Times New Roman"/>
          <w:color w:val="000000"/>
        </w:rPr>
        <w:lastRenderedPageBreak/>
        <w:t xml:space="preserve">managing its adverse impacts effectively could exceed the threshold, whereas a small company taking no steps to mitigate its impacts could fall below the threshold. Quantitative thresholds would also not be feasible with some PAI indicators that are binary in nature. </w:t>
      </w:r>
    </w:p>
    <w:p w14:paraId="45F008CF" w14:textId="77777777" w:rsidR="008D0B39" w:rsidRDefault="008D0B39" w:rsidP="008D0B39">
      <w:pPr>
        <w:rPr>
          <w:rFonts w:eastAsia="Times New Roman"/>
          <w:color w:val="000000"/>
        </w:rPr>
      </w:pPr>
      <w:r>
        <w:rPr>
          <w:rFonts w:eastAsia="Times New Roman"/>
          <w:color w:val="000000"/>
        </w:rPr>
        <w:t xml:space="preserve">Moreover, introducing a requirement for financial market participants to set quantitative thresholds for PAI indicators as they relate to the DNSH test would depart from the European Commission’s </w:t>
      </w:r>
      <w:r w:rsidRPr="00044C87">
        <w:rPr>
          <w:rFonts w:eastAsia="Times New Roman"/>
          <w:color w:val="000000"/>
        </w:rPr>
        <w:t xml:space="preserve">response to the ESAs’ </w:t>
      </w:r>
      <w:r>
        <w:rPr>
          <w:rFonts w:eastAsia="Times New Roman"/>
          <w:color w:val="000000"/>
        </w:rPr>
        <w:t xml:space="preserve">September 2022 </w:t>
      </w:r>
      <w:r w:rsidRPr="00044C87">
        <w:rPr>
          <w:rFonts w:eastAsia="Times New Roman"/>
          <w:color w:val="000000"/>
        </w:rPr>
        <w:t>questions</w:t>
      </w:r>
      <w:r>
        <w:rPr>
          <w:rFonts w:eastAsia="Times New Roman"/>
          <w:color w:val="000000"/>
        </w:rPr>
        <w:t xml:space="preserve">. In that response, the Commission made clear that the SFDR is a disclosure regime. </w:t>
      </w:r>
      <w:r w:rsidRPr="00194B19">
        <w:rPr>
          <w:rFonts w:eastAsia="Times New Roman"/>
          <w:color w:val="000000"/>
        </w:rPr>
        <w:t xml:space="preserve">“Financial market participants must carry out their own assessment for each investment and disclose their underlying assumptions.” It is notable that the Commission did not indicate that </w:t>
      </w:r>
      <w:r>
        <w:rPr>
          <w:rFonts w:eastAsia="Times New Roman"/>
          <w:color w:val="000000"/>
        </w:rPr>
        <w:t>financial market participant</w:t>
      </w:r>
      <w:r w:rsidRPr="00194B19">
        <w:rPr>
          <w:rFonts w:eastAsia="Times New Roman"/>
          <w:color w:val="000000"/>
        </w:rPr>
        <w:t xml:space="preserve">s should maintain or disclose quantitative thresholds for each PAI indicator, only that they disclose their methodologies and underlying assumptions. </w:t>
      </w:r>
      <w:r>
        <w:rPr>
          <w:rFonts w:eastAsia="Times New Roman"/>
          <w:color w:val="000000"/>
        </w:rPr>
        <w:t xml:space="preserve">We agree with the Commission’s interpretation. The SFDR neither sets out minimum requirements for concepts such as DNSH, nor mandates that financial market participants set or maintain minimum requirements. </w:t>
      </w:r>
    </w:p>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lastRenderedPageBreak/>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w:t>
      </w:r>
      <w:r>
        <w:lastRenderedPageBreak/>
        <w:t xml:space="preserve">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48B4DBA0" w14:textId="77777777" w:rsidR="00B93420" w:rsidRDefault="00B93420" w:rsidP="00B93420">
      <w:pPr>
        <w:rPr>
          <w:rFonts w:ascii="Calibri" w:hAnsi="Calibri" w:cs="Calibri"/>
          <w:color w:val="000000"/>
        </w:rPr>
      </w:pPr>
      <w:r w:rsidRPr="00C41E40">
        <w:rPr>
          <w:rFonts w:eastAsia="Times New Roman"/>
          <w:color w:val="000000"/>
          <w:u w:val="single"/>
        </w:rPr>
        <w:t>The ESAs should not prescribe a single standard for GHG emissions reductions targets</w:t>
      </w:r>
      <w:r>
        <w:rPr>
          <w:rFonts w:eastAsia="Times New Roman"/>
          <w:color w:val="000000"/>
        </w:rPr>
        <w:t>. Instead, financial market participants should have the discretion to select an accepted market standard, such as the Partnership for Carbon Accounting Financials (PCAF), the</w:t>
      </w:r>
      <w:r w:rsidRPr="00096E6D">
        <w:rPr>
          <w:rFonts w:eastAsia="Times New Roman"/>
          <w:color w:val="000000"/>
        </w:rPr>
        <w:t xml:space="preserve"> Science Based Targets initiative</w:t>
      </w:r>
      <w:r>
        <w:rPr>
          <w:rFonts w:eastAsia="Times New Roman"/>
          <w:color w:val="000000"/>
        </w:rPr>
        <w:t xml:space="preserve"> for Financial Institutions,</w:t>
      </w:r>
      <w:r w:rsidRPr="00096E6D">
        <w:rPr>
          <w:rFonts w:eastAsia="Times New Roman"/>
          <w:color w:val="000000"/>
        </w:rPr>
        <w:t xml:space="preserve"> </w:t>
      </w:r>
      <w:r>
        <w:rPr>
          <w:rFonts w:eastAsia="Times New Roman"/>
          <w:color w:val="000000"/>
        </w:rPr>
        <w:t xml:space="preserve">or the Paris Aligned Investment Initiative Net Zero Investment Framework. Choice among standards facilitates financial market participants’ transition planning, which should </w:t>
      </w:r>
      <w:proofErr w:type="gramStart"/>
      <w:r>
        <w:rPr>
          <w:rFonts w:eastAsia="Times New Roman"/>
          <w:color w:val="000000"/>
        </w:rPr>
        <w:t>take into account</w:t>
      </w:r>
      <w:proofErr w:type="gramEnd"/>
      <w:r>
        <w:rPr>
          <w:rFonts w:eastAsia="Times New Roman"/>
          <w:color w:val="000000"/>
        </w:rPr>
        <w:t xml:space="preserve"> their particular business models, geographic locations, and asset classes. To support this </w:t>
      </w:r>
      <w:r w:rsidRPr="00F04B8B">
        <w:rPr>
          <w:rFonts w:eastAsia="Times New Roman"/>
          <w:color w:val="000000"/>
        </w:rPr>
        <w:t xml:space="preserve">healthy variation in </w:t>
      </w:r>
      <w:r>
        <w:rPr>
          <w:rFonts w:eastAsia="Times New Roman"/>
          <w:color w:val="000000"/>
        </w:rPr>
        <w:t>target-setting</w:t>
      </w:r>
      <w:r w:rsidRPr="00F04B8B">
        <w:rPr>
          <w:rFonts w:eastAsia="Times New Roman"/>
          <w:color w:val="000000"/>
        </w:rPr>
        <w:t xml:space="preserve"> approaches</w:t>
      </w:r>
      <w:r>
        <w:rPr>
          <w:rFonts w:eastAsia="Times New Roman"/>
          <w:color w:val="000000"/>
        </w:rPr>
        <w:t>, we re</w:t>
      </w:r>
      <w:r w:rsidRPr="00803B24">
        <w:rPr>
          <w:rFonts w:eastAsia="Times New Roman"/>
          <w:color w:val="000000"/>
        </w:rPr>
        <w:t xml:space="preserve">commend the ESAs allow flexibilities for </w:t>
      </w:r>
      <w:r>
        <w:rPr>
          <w:rFonts w:eastAsia="Times New Roman"/>
          <w:color w:val="000000"/>
        </w:rPr>
        <w:t>financial market participants</w:t>
      </w:r>
      <w:r w:rsidRPr="00803B24">
        <w:rPr>
          <w:rFonts w:eastAsia="Times New Roman"/>
          <w:color w:val="000000"/>
        </w:rPr>
        <w:t xml:space="preserve"> to use </w:t>
      </w:r>
      <w:r>
        <w:rPr>
          <w:rFonts w:eastAsia="Times New Roman"/>
          <w:color w:val="000000"/>
        </w:rPr>
        <w:t>the</w:t>
      </w:r>
      <w:r w:rsidRPr="00803B24">
        <w:rPr>
          <w:rFonts w:eastAsia="Times New Roman"/>
          <w:color w:val="000000"/>
        </w:rPr>
        <w:t xml:space="preserve"> </w:t>
      </w:r>
      <w:r>
        <w:rPr>
          <w:rFonts w:eastAsia="Times New Roman"/>
          <w:color w:val="000000"/>
        </w:rPr>
        <w:t>appropriate standards for</w:t>
      </w:r>
      <w:r w:rsidRPr="00803B24">
        <w:rPr>
          <w:rFonts w:eastAsia="Times New Roman"/>
          <w:color w:val="000000"/>
        </w:rPr>
        <w:t xml:space="preserve"> their businesses</w:t>
      </w:r>
      <w:r>
        <w:rPr>
          <w:rFonts w:eastAsia="Times New Roman"/>
          <w:color w:val="000000"/>
        </w:rPr>
        <w:t>.</w:t>
      </w:r>
      <w:r w:rsidRPr="008A4B70">
        <w:rPr>
          <w:rFonts w:ascii="Calibri" w:hAnsi="Calibri" w:cs="Calibri"/>
          <w:color w:val="000000"/>
        </w:rPr>
        <w:t xml:space="preserve"> </w:t>
      </w:r>
    </w:p>
    <w:p w14:paraId="5D5A71BA" w14:textId="77777777" w:rsidR="00B93420" w:rsidRPr="00825F9C" w:rsidRDefault="00B93420" w:rsidP="00B93420">
      <w:pPr>
        <w:rPr>
          <w:rFonts w:eastAsia="Times New Roman"/>
          <w:color w:val="000000"/>
        </w:rPr>
      </w:pPr>
      <w:r w:rsidRPr="008A4B70">
        <w:rPr>
          <w:rFonts w:eastAsia="Times New Roman"/>
          <w:color w:val="000000"/>
        </w:rPr>
        <w:t>Imposing a single mandatory standard for GHG emissions reduction targets and restricting the use of other commonly</w:t>
      </w:r>
      <w:r>
        <w:rPr>
          <w:rFonts w:eastAsia="Times New Roman"/>
          <w:color w:val="000000"/>
        </w:rPr>
        <w:t xml:space="preserve"> </w:t>
      </w:r>
      <w:r w:rsidRPr="008A4B70">
        <w:rPr>
          <w:rFonts w:eastAsia="Times New Roman"/>
          <w:color w:val="000000"/>
        </w:rPr>
        <w:t xml:space="preserve">accepted approaches </w:t>
      </w:r>
      <w:r>
        <w:rPr>
          <w:rFonts w:eastAsia="Times New Roman"/>
          <w:color w:val="000000"/>
        </w:rPr>
        <w:t xml:space="preserve">would be at odds with the Level 1 text regarding Article 8, as well as the Commission’s recent direction that the SFDR should be viewed as a disclosure regime. </w:t>
      </w:r>
      <w:r>
        <w:rPr>
          <w:rFonts w:eastAsia="Times New Roman"/>
          <w:color w:val="000000"/>
        </w:rPr>
        <w:lastRenderedPageBreak/>
        <w:t>T</w:t>
      </w:r>
      <w:r w:rsidRPr="00D1430D">
        <w:rPr>
          <w:rFonts w:eastAsia="Times New Roman"/>
          <w:color w:val="000000"/>
        </w:rPr>
        <w:t xml:space="preserve">he SFDR </w:t>
      </w:r>
      <w:r>
        <w:rPr>
          <w:rFonts w:eastAsia="Times New Roman"/>
          <w:color w:val="000000"/>
        </w:rPr>
        <w:t>is</w:t>
      </w:r>
      <w:r w:rsidRPr="00D1430D">
        <w:rPr>
          <w:rFonts w:eastAsia="Times New Roman"/>
          <w:color w:val="000000"/>
        </w:rPr>
        <w:t xml:space="preserve"> intended to enhance reporting transparency of existing strategies.</w:t>
      </w:r>
      <w:r>
        <w:rPr>
          <w:rFonts w:eastAsia="Times New Roman"/>
          <w:color w:val="000000"/>
        </w:rPr>
        <w:t xml:space="preserve"> With respect to Article 8, the legislation is neutral in terms of product design and does not prescribe the </w:t>
      </w:r>
      <w:proofErr w:type="gramStart"/>
      <w:r>
        <w:rPr>
          <w:rFonts w:eastAsia="Times New Roman"/>
          <w:color w:val="000000"/>
        </w:rPr>
        <w:t>manner in which</w:t>
      </w:r>
      <w:proofErr w:type="gramEnd"/>
      <w:r>
        <w:rPr>
          <w:rFonts w:eastAsia="Times New Roman"/>
          <w:color w:val="000000"/>
        </w:rPr>
        <w:t xml:space="preserve"> GHG emissions reduction targets should be set or which metrics should be used. </w:t>
      </w:r>
    </w:p>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7E9C6274" w14:textId="77777777" w:rsidR="0036280B" w:rsidRDefault="0036280B" w:rsidP="0036280B">
      <w:pPr>
        <w:rPr>
          <w:rFonts w:eastAsia="Times New Roman"/>
          <w:color w:val="000000"/>
        </w:rPr>
      </w:pPr>
      <w:r w:rsidRPr="00082D18">
        <w:rPr>
          <w:rFonts w:eastAsia="Times New Roman"/>
          <w:color w:val="000000"/>
          <w:u w:val="single"/>
        </w:rPr>
        <w:t>The ESAs should contribute their assessment of the disclosure requirements and templates to the upcoming broader review of the SFDR Level 1 framework, rather than mak</w:t>
      </w:r>
      <w:r>
        <w:rPr>
          <w:rFonts w:eastAsia="Times New Roman"/>
          <w:color w:val="000000"/>
          <w:u w:val="single"/>
        </w:rPr>
        <w:t>e</w:t>
      </w:r>
      <w:r w:rsidRPr="00082D18">
        <w:rPr>
          <w:rFonts w:eastAsia="Times New Roman"/>
          <w:color w:val="000000"/>
          <w:u w:val="single"/>
        </w:rPr>
        <w:t xml:space="preserve"> changes to the templates at this time</w:t>
      </w:r>
      <w:r w:rsidRPr="00886BD6">
        <w:rPr>
          <w:rFonts w:eastAsia="Times New Roman"/>
          <w:color w:val="000000"/>
        </w:rPr>
        <w:t xml:space="preserve">. </w:t>
      </w:r>
      <w:r w:rsidRPr="00B05EF3">
        <w:rPr>
          <w:rFonts w:eastAsia="Times New Roman"/>
          <w:color w:val="000000"/>
        </w:rPr>
        <w:t xml:space="preserve">In general, we support layered disclosures and potentially a dashboard of key information. However, the inclusion of a dashboard </w:t>
      </w:r>
      <w:r>
        <w:rPr>
          <w:rFonts w:eastAsia="Times New Roman"/>
          <w:color w:val="000000"/>
        </w:rPr>
        <w:t xml:space="preserve">before an in-depth review of the SFDR disclosure requirements </w:t>
      </w:r>
      <w:r w:rsidRPr="00B05EF3">
        <w:rPr>
          <w:rFonts w:eastAsia="Times New Roman"/>
          <w:color w:val="000000"/>
        </w:rPr>
        <w:t xml:space="preserve">will not solve the problems identified with the current templates, which the proposed changes would amplify. </w:t>
      </w:r>
    </w:p>
    <w:p w14:paraId="5079E7BD" w14:textId="77777777" w:rsidR="0036280B" w:rsidRDefault="0036280B" w:rsidP="0036280B">
      <w:pPr>
        <w:rPr>
          <w:rFonts w:eastAsia="Times New Roman"/>
          <w:color w:val="000000"/>
        </w:rPr>
      </w:pPr>
      <w:r w:rsidRPr="00886BD6">
        <w:rPr>
          <w:rFonts w:eastAsia="Times New Roman"/>
          <w:color w:val="000000"/>
        </w:rPr>
        <w:lastRenderedPageBreak/>
        <w:t>The current disclosures are not fit for purpose</w:t>
      </w:r>
      <w:r>
        <w:rPr>
          <w:rFonts w:eastAsia="Times New Roman"/>
          <w:color w:val="000000"/>
        </w:rPr>
        <w:t xml:space="preserve">, and we believe changes to the SFDR Level 1 legislation are needed to simplify and streamline the disclosure requirements </w:t>
      </w:r>
      <w:proofErr w:type="gramStart"/>
      <w:r>
        <w:rPr>
          <w:rFonts w:eastAsia="Times New Roman"/>
          <w:color w:val="000000"/>
        </w:rPr>
        <w:t>in order to</w:t>
      </w:r>
      <w:proofErr w:type="gramEnd"/>
      <w:r>
        <w:rPr>
          <w:rFonts w:eastAsia="Times New Roman"/>
          <w:color w:val="000000"/>
        </w:rPr>
        <w:t xml:space="preserve"> make them more meaningful for retail investors. </w:t>
      </w:r>
      <w:r w:rsidRPr="00667321">
        <w:rPr>
          <w:rFonts w:eastAsia="Times New Roman"/>
          <w:color w:val="000000"/>
        </w:rPr>
        <w:t xml:space="preserve">Our understanding is that the overwhelming amount and complexity of information included in the disclosure templates is proving to be of negligible value to retail </w:t>
      </w:r>
      <w:r>
        <w:rPr>
          <w:rFonts w:eastAsia="Times New Roman"/>
          <w:color w:val="000000"/>
        </w:rPr>
        <w:t xml:space="preserve">and institutional </w:t>
      </w:r>
      <w:r w:rsidRPr="00667321">
        <w:rPr>
          <w:rFonts w:eastAsia="Times New Roman"/>
          <w:color w:val="000000"/>
        </w:rPr>
        <w:t>investors. Expanding disclosure requirements</w:t>
      </w:r>
      <w:r>
        <w:rPr>
          <w:rFonts w:eastAsia="Times New Roman"/>
          <w:color w:val="000000"/>
        </w:rPr>
        <w:t xml:space="preserve">, </w:t>
      </w:r>
      <w:r w:rsidRPr="00667321">
        <w:rPr>
          <w:rFonts w:eastAsia="Times New Roman"/>
          <w:color w:val="000000"/>
        </w:rPr>
        <w:t>making cosmetic changes to the disclosure templates</w:t>
      </w:r>
      <w:r>
        <w:rPr>
          <w:rFonts w:eastAsia="Times New Roman"/>
          <w:color w:val="000000"/>
        </w:rPr>
        <w:t>, or adding a dashboard</w:t>
      </w:r>
      <w:r w:rsidRPr="00667321">
        <w:rPr>
          <w:rFonts w:eastAsia="Times New Roman"/>
          <w:color w:val="000000"/>
        </w:rPr>
        <w:t xml:space="preserve"> at this </w:t>
      </w:r>
      <w:r>
        <w:rPr>
          <w:rFonts w:eastAsia="Times New Roman"/>
          <w:color w:val="000000"/>
        </w:rPr>
        <w:t>time</w:t>
      </w:r>
      <w:r w:rsidRPr="00667321">
        <w:rPr>
          <w:rFonts w:eastAsia="Times New Roman"/>
          <w:color w:val="000000"/>
        </w:rPr>
        <w:t xml:space="preserve"> will not improve disclosures for the benefit of investors</w:t>
      </w:r>
      <w:r>
        <w:rPr>
          <w:rFonts w:eastAsia="Times New Roman"/>
          <w:color w:val="000000"/>
        </w:rPr>
        <w:t xml:space="preserve">, but these changes would result in </w:t>
      </w:r>
      <w:r w:rsidRPr="00966E00">
        <w:rPr>
          <w:rFonts w:eastAsia="Times New Roman"/>
          <w:color w:val="000000"/>
        </w:rPr>
        <w:t xml:space="preserve">significant implementation costs for </w:t>
      </w:r>
      <w:r>
        <w:rPr>
          <w:rFonts w:eastAsia="Times New Roman"/>
          <w:color w:val="000000"/>
        </w:rPr>
        <w:t>financial market participant</w:t>
      </w:r>
      <w:r w:rsidRPr="00966E00">
        <w:rPr>
          <w:rFonts w:eastAsia="Times New Roman"/>
          <w:color w:val="000000"/>
        </w:rPr>
        <w:t xml:space="preserve">s. </w:t>
      </w:r>
    </w:p>
    <w:p w14:paraId="6FBC1134" w14:textId="77777777" w:rsidR="0036280B" w:rsidRPr="003D34AB" w:rsidRDefault="0036280B" w:rsidP="0036280B">
      <w:pPr>
        <w:rPr>
          <w:rFonts w:eastAsia="Times New Roman"/>
          <w:color w:val="000000"/>
        </w:rPr>
      </w:pPr>
      <w:r>
        <w:rPr>
          <w:rFonts w:eastAsia="Times New Roman"/>
          <w:color w:val="000000"/>
        </w:rPr>
        <w:t>I</w:t>
      </w:r>
      <w:r w:rsidRPr="00225B46">
        <w:rPr>
          <w:rFonts w:eastAsia="Times New Roman"/>
          <w:color w:val="000000"/>
        </w:rPr>
        <w:t>nconsistencies across the entire EU sustainable finance framework</w:t>
      </w:r>
      <w:r>
        <w:rPr>
          <w:rFonts w:eastAsia="Times New Roman"/>
          <w:color w:val="000000"/>
        </w:rPr>
        <w:t>, as noted in the ESMA Progress Report on Greenwashing [</w:t>
      </w:r>
      <w:hyperlink r:id="rId23" w:history="1">
        <w:r w:rsidRPr="00925930">
          <w:rPr>
            <w:rStyle w:val="Hyperlink"/>
            <w:rFonts w:eastAsia="Times New Roman"/>
          </w:rPr>
          <w:t>Link</w:t>
        </w:r>
      </w:hyperlink>
      <w:r>
        <w:rPr>
          <w:rFonts w:eastAsia="Times New Roman"/>
          <w:color w:val="000000"/>
        </w:rPr>
        <w:t>]</w:t>
      </w:r>
      <w:r w:rsidRPr="00225B46">
        <w:rPr>
          <w:rFonts w:eastAsia="Times New Roman"/>
          <w:color w:val="000000"/>
        </w:rPr>
        <w:t xml:space="preserve">, </w:t>
      </w:r>
      <w:r>
        <w:rPr>
          <w:rFonts w:eastAsia="Times New Roman"/>
          <w:color w:val="000000"/>
        </w:rPr>
        <w:t xml:space="preserve">exacerbate difficulties </w:t>
      </w:r>
      <w:r w:rsidRPr="00225B46">
        <w:rPr>
          <w:rFonts w:eastAsia="Times New Roman"/>
          <w:color w:val="000000"/>
        </w:rPr>
        <w:t xml:space="preserve">retail investors </w:t>
      </w:r>
      <w:r>
        <w:rPr>
          <w:rFonts w:eastAsia="Times New Roman"/>
          <w:color w:val="000000"/>
        </w:rPr>
        <w:t xml:space="preserve">have </w:t>
      </w:r>
      <w:r w:rsidRPr="00225B46">
        <w:rPr>
          <w:rFonts w:eastAsia="Times New Roman"/>
          <w:color w:val="000000"/>
        </w:rPr>
        <w:t xml:space="preserve">to </w:t>
      </w:r>
      <w:r>
        <w:rPr>
          <w:rFonts w:eastAsia="Times New Roman"/>
          <w:color w:val="000000"/>
        </w:rPr>
        <w:t>understanding the SFDR disclosure templates.</w:t>
      </w:r>
      <w:r w:rsidRPr="00225B46">
        <w:rPr>
          <w:rFonts w:eastAsia="Times New Roman"/>
          <w:color w:val="000000"/>
        </w:rPr>
        <w:t xml:space="preserve"> </w:t>
      </w:r>
      <w:r>
        <w:rPr>
          <w:rFonts w:eastAsia="Times New Roman"/>
          <w:color w:val="000000"/>
        </w:rPr>
        <w:t>R</w:t>
      </w:r>
      <w:r w:rsidRPr="00B15F75">
        <w:rPr>
          <w:rFonts w:eastAsia="Times New Roman"/>
          <w:color w:val="000000"/>
        </w:rPr>
        <w:t>esolv</w:t>
      </w:r>
      <w:r>
        <w:rPr>
          <w:rFonts w:eastAsia="Times New Roman"/>
          <w:color w:val="000000"/>
        </w:rPr>
        <w:t>ing</w:t>
      </w:r>
      <w:r w:rsidRPr="00B15F75">
        <w:rPr>
          <w:rFonts w:eastAsia="Times New Roman"/>
          <w:color w:val="000000"/>
        </w:rPr>
        <w:t xml:space="preserve"> the excessive length and complexity of disclosures </w:t>
      </w:r>
      <w:r>
        <w:rPr>
          <w:rFonts w:eastAsia="Times New Roman"/>
          <w:color w:val="000000"/>
        </w:rPr>
        <w:t>will require a better understanding of the types of information that are meaningful for retail investors</w:t>
      </w:r>
      <w:r w:rsidRPr="00365DC1">
        <w:rPr>
          <w:rFonts w:eastAsia="Times New Roman"/>
          <w:color w:val="000000"/>
        </w:rPr>
        <w:t>.</w:t>
      </w:r>
      <w:r w:rsidRPr="00A76B20">
        <w:t xml:space="preserve"> </w:t>
      </w:r>
      <w:r>
        <w:rPr>
          <w:rFonts w:eastAsia="Times New Roman"/>
          <w:color w:val="000000"/>
        </w:rPr>
        <w:t>We encourage the</w:t>
      </w:r>
      <w:r w:rsidRPr="00A76B20">
        <w:rPr>
          <w:rFonts w:eastAsia="Times New Roman"/>
          <w:color w:val="000000"/>
        </w:rPr>
        <w:t xml:space="preserve"> ESAs </w:t>
      </w:r>
      <w:r>
        <w:rPr>
          <w:rFonts w:eastAsia="Times New Roman"/>
          <w:color w:val="000000"/>
        </w:rPr>
        <w:t>to conduct comprehensive</w:t>
      </w:r>
      <w:r w:rsidRPr="00A76B20">
        <w:rPr>
          <w:rFonts w:eastAsia="Times New Roman"/>
          <w:color w:val="000000"/>
        </w:rPr>
        <w:t xml:space="preserve"> consumer testing with retail investors</w:t>
      </w:r>
      <w:r>
        <w:rPr>
          <w:rFonts w:eastAsia="Times New Roman"/>
          <w:color w:val="000000"/>
        </w:rPr>
        <w:t xml:space="preserve"> before proposing changes to disclosures aimed at retail investors</w:t>
      </w:r>
      <w:r w:rsidRPr="00A76B20">
        <w:rPr>
          <w:rFonts w:eastAsia="Times New Roman"/>
          <w:color w:val="000000"/>
        </w:rPr>
        <w:t xml:space="preserve">.  </w:t>
      </w:r>
    </w:p>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4CCDFEB7" w14:textId="77777777" w:rsidR="00913832" w:rsidRDefault="00913832" w:rsidP="00913832">
      <w:pPr>
        <w:rPr>
          <w:rFonts w:eastAsia="Times New Roman"/>
          <w:color w:val="000000"/>
        </w:rPr>
      </w:pPr>
      <w:r w:rsidRPr="00263323">
        <w:rPr>
          <w:rFonts w:eastAsia="Times New Roman"/>
          <w:color w:val="000000"/>
          <w:u w:val="single"/>
        </w:rPr>
        <w:t xml:space="preserve">As discussed in our response to Question 30, </w:t>
      </w:r>
      <w:bookmarkStart w:id="18" w:name="_Hlk136964315"/>
      <w:r w:rsidRPr="00263323">
        <w:rPr>
          <w:rFonts w:eastAsia="Times New Roman"/>
          <w:color w:val="000000"/>
          <w:u w:val="single"/>
        </w:rPr>
        <w:t>we recommend that the ESAs contribute their assessment of the current disclosure templates to the upcoming broader review of the SFDR Level 1 framework</w:t>
      </w:r>
      <w:bookmarkEnd w:id="18"/>
      <w:r>
        <w:rPr>
          <w:rFonts w:eastAsia="Times New Roman"/>
          <w:color w:val="000000"/>
        </w:rPr>
        <w:t>. Significant changes to the SFDR Level 1 legislation are needed</w:t>
      </w:r>
      <w:r w:rsidRPr="00EE4361">
        <w:rPr>
          <w:rFonts w:eastAsia="Times New Roman"/>
          <w:color w:val="000000"/>
        </w:rPr>
        <w:t xml:space="preserve"> to facilitate retail investors’ understanding of the SFDR disclosures.</w:t>
      </w:r>
      <w:r>
        <w:rPr>
          <w:rFonts w:eastAsia="Times New Roman"/>
          <w:color w:val="000000"/>
        </w:rPr>
        <w:t xml:space="preserve"> </w:t>
      </w:r>
      <w:r w:rsidRPr="00B32988">
        <w:rPr>
          <w:rFonts w:eastAsia="Times New Roman"/>
          <w:color w:val="000000"/>
        </w:rPr>
        <w:t xml:space="preserve">We acknowledge that the ESAs intend to conduct consumer testing on </w:t>
      </w:r>
      <w:r>
        <w:rPr>
          <w:rFonts w:eastAsia="Times New Roman"/>
          <w:color w:val="000000"/>
        </w:rPr>
        <w:t>potential</w:t>
      </w:r>
      <w:r w:rsidRPr="00B32988">
        <w:rPr>
          <w:rFonts w:eastAsia="Times New Roman"/>
          <w:color w:val="000000"/>
        </w:rPr>
        <w:t xml:space="preserve"> </w:t>
      </w:r>
      <w:proofErr w:type="gramStart"/>
      <w:r w:rsidRPr="00B32988">
        <w:rPr>
          <w:rFonts w:eastAsia="Times New Roman"/>
          <w:color w:val="000000"/>
        </w:rPr>
        <w:t>changes</w:t>
      </w:r>
      <w:r>
        <w:rPr>
          <w:rFonts w:eastAsia="Times New Roman"/>
          <w:color w:val="000000"/>
        </w:rPr>
        <w:t>, and</w:t>
      </w:r>
      <w:proofErr w:type="gramEnd"/>
      <w:r>
        <w:rPr>
          <w:rFonts w:eastAsia="Times New Roman"/>
          <w:color w:val="000000"/>
        </w:rPr>
        <w:t xml:space="preserve"> recommend this consumer testing also be used to inform the broader efforts to improve the SFDR disclosure requirements</w:t>
      </w:r>
      <w:r w:rsidRPr="00B32988">
        <w:rPr>
          <w:rFonts w:eastAsia="Times New Roman"/>
          <w:color w:val="000000"/>
        </w:rPr>
        <w:t xml:space="preserve">. </w:t>
      </w:r>
    </w:p>
    <w:p w14:paraId="15B1873A" w14:textId="77777777" w:rsidR="00913832" w:rsidRDefault="00913832" w:rsidP="00913832">
      <w:pPr>
        <w:rPr>
          <w:rFonts w:eastAsia="Times New Roman"/>
          <w:color w:val="000000"/>
        </w:rPr>
      </w:pPr>
      <w:r>
        <w:rPr>
          <w:rFonts w:eastAsia="Times New Roman"/>
          <w:color w:val="000000"/>
        </w:rPr>
        <w:lastRenderedPageBreak/>
        <w:t xml:space="preserve">However, given the </w:t>
      </w:r>
      <w:r w:rsidRPr="00BE30C3">
        <w:rPr>
          <w:rFonts w:eastAsia="Times New Roman"/>
          <w:color w:val="000000"/>
        </w:rPr>
        <w:t xml:space="preserve">long timeline anticipated for the review of the SFDR and improvements to the Level 1 legislation, we also offer support for </w:t>
      </w:r>
      <w:r>
        <w:rPr>
          <w:rFonts w:eastAsia="Times New Roman"/>
          <w:color w:val="000000"/>
        </w:rPr>
        <w:t xml:space="preserve">the following </w:t>
      </w:r>
      <w:r w:rsidRPr="00BE30C3">
        <w:rPr>
          <w:rFonts w:eastAsia="Times New Roman"/>
          <w:color w:val="000000"/>
        </w:rPr>
        <w:t xml:space="preserve">targeted changes to the RTS that are consistent with the Commission’s goals of simplifying and streamlining the disclosures for the benefit of retail investors, and would likely withstand any </w:t>
      </w:r>
      <w:r>
        <w:rPr>
          <w:rFonts w:eastAsia="Times New Roman"/>
          <w:color w:val="000000"/>
        </w:rPr>
        <w:t xml:space="preserve">future </w:t>
      </w:r>
      <w:r w:rsidRPr="00BE30C3">
        <w:rPr>
          <w:rFonts w:eastAsia="Times New Roman"/>
          <w:color w:val="000000"/>
        </w:rPr>
        <w:t>changes to the Level 1.</w:t>
      </w:r>
    </w:p>
    <w:p w14:paraId="569D8041" w14:textId="77777777" w:rsidR="00913832" w:rsidRPr="00480044" w:rsidRDefault="00913832" w:rsidP="00913832">
      <w:pPr>
        <w:pStyle w:val="ListParagraph"/>
        <w:numPr>
          <w:ilvl w:val="0"/>
          <w:numId w:val="44"/>
        </w:numPr>
        <w:spacing w:line="240" w:lineRule="auto"/>
        <w:rPr>
          <w:rFonts w:eastAsia="Times New Roman"/>
          <w:color w:val="000000"/>
        </w:rPr>
      </w:pPr>
      <w:r>
        <w:rPr>
          <w:rFonts w:eastAsia="Times New Roman"/>
          <w:color w:val="000000"/>
        </w:rPr>
        <w:t>Eliminate the asset allocation graph</w:t>
      </w:r>
      <w:r w:rsidRPr="00480044">
        <w:rPr>
          <w:rFonts w:eastAsia="Times New Roman"/>
          <w:color w:val="000000"/>
        </w:rPr>
        <w:t xml:space="preserve"> in the pre-contractual template</w:t>
      </w:r>
      <w:r>
        <w:rPr>
          <w:rFonts w:eastAsia="Times New Roman"/>
          <w:color w:val="000000"/>
        </w:rPr>
        <w:t>.</w:t>
      </w:r>
      <w:r w:rsidRPr="00480044">
        <w:rPr>
          <w:rFonts w:eastAsia="Times New Roman"/>
          <w:color w:val="000000"/>
        </w:rPr>
        <w:t xml:space="preserve"> </w:t>
      </w:r>
      <w:r>
        <w:rPr>
          <w:rFonts w:eastAsia="Times New Roman"/>
          <w:color w:val="000000"/>
        </w:rPr>
        <w:t>We agree with the ESAs’ belief that terminology used in the templates can be challenging for retail investors and in our view the asset allocation graph can cause investor confusion.</w:t>
      </w:r>
    </w:p>
    <w:p w14:paraId="734E22B0" w14:textId="77777777" w:rsidR="00913832" w:rsidRPr="005C07AE" w:rsidRDefault="00913832" w:rsidP="00913832">
      <w:pPr>
        <w:pStyle w:val="ListParagraph"/>
        <w:numPr>
          <w:ilvl w:val="0"/>
          <w:numId w:val="44"/>
        </w:numPr>
        <w:spacing w:line="240" w:lineRule="auto"/>
        <w:rPr>
          <w:rFonts w:eastAsia="Times New Roman"/>
          <w:color w:val="000000"/>
        </w:rPr>
      </w:pPr>
      <w:r>
        <w:rPr>
          <w:rFonts w:eastAsia="Times New Roman"/>
          <w:color w:val="000000"/>
        </w:rPr>
        <w:t>Eliminate requirements throughout the template to split sustainable investments between environmental and social objectives. P</w:t>
      </w:r>
      <w:r w:rsidRPr="005C07AE">
        <w:rPr>
          <w:rFonts w:eastAsia="Times New Roman"/>
          <w:color w:val="000000"/>
        </w:rPr>
        <w:t>resent</w:t>
      </w:r>
      <w:r>
        <w:rPr>
          <w:rFonts w:eastAsia="Times New Roman"/>
          <w:color w:val="000000"/>
        </w:rPr>
        <w:t xml:space="preserve">ing sustainable investments </w:t>
      </w:r>
      <w:r w:rsidRPr="005C07AE">
        <w:rPr>
          <w:rFonts w:eastAsia="Times New Roman"/>
          <w:color w:val="000000"/>
        </w:rPr>
        <w:t xml:space="preserve">as one aggregated figure </w:t>
      </w:r>
      <w:r w:rsidRPr="00800D90">
        <w:rPr>
          <w:rFonts w:eastAsia="Times New Roman"/>
          <w:color w:val="000000"/>
        </w:rPr>
        <w:t>would enhance retail investor understanding of the product</w:t>
      </w:r>
      <w:r>
        <w:rPr>
          <w:rFonts w:eastAsia="Times New Roman"/>
          <w:color w:val="000000"/>
        </w:rPr>
        <w:t>, and reflect the reality that investments occur at the issuer level and not the economic activity level</w:t>
      </w:r>
      <w:r w:rsidRPr="00800D90">
        <w:rPr>
          <w:rFonts w:eastAsia="Times New Roman"/>
          <w:color w:val="000000"/>
        </w:rPr>
        <w:t xml:space="preserve">. </w:t>
      </w:r>
      <w:r>
        <w:rPr>
          <w:rFonts w:eastAsia="Times New Roman"/>
          <w:color w:val="000000"/>
        </w:rPr>
        <w:t>It is</w:t>
      </w:r>
      <w:r w:rsidRPr="005C07AE">
        <w:rPr>
          <w:rFonts w:eastAsia="Times New Roman"/>
          <w:color w:val="000000"/>
        </w:rPr>
        <w:t xml:space="preserve"> challenging </w:t>
      </w:r>
      <w:r w:rsidRPr="00423B75">
        <w:rPr>
          <w:rFonts w:eastAsia="Times New Roman"/>
          <w:color w:val="000000"/>
        </w:rPr>
        <w:t>and, in some cases,</w:t>
      </w:r>
      <w:r w:rsidRPr="005C07AE">
        <w:rPr>
          <w:rFonts w:eastAsia="Times New Roman"/>
          <w:color w:val="000000"/>
        </w:rPr>
        <w:t xml:space="preserve"> not possible to </w:t>
      </w:r>
      <w:r>
        <w:rPr>
          <w:rFonts w:eastAsia="Times New Roman"/>
          <w:color w:val="000000"/>
        </w:rPr>
        <w:t xml:space="preserve">designate an investment as either environmental or social, </w:t>
      </w:r>
      <w:r w:rsidRPr="005C07AE">
        <w:rPr>
          <w:rFonts w:eastAsia="Times New Roman"/>
          <w:color w:val="000000"/>
        </w:rPr>
        <w:t>as issuers may pursue both</w:t>
      </w:r>
      <w:r>
        <w:rPr>
          <w:rFonts w:eastAsia="Times New Roman"/>
          <w:color w:val="000000"/>
        </w:rPr>
        <w:t xml:space="preserve"> activities</w:t>
      </w:r>
      <w:r w:rsidRPr="005C07AE">
        <w:rPr>
          <w:rFonts w:eastAsia="Times New Roman"/>
          <w:color w:val="000000"/>
        </w:rPr>
        <w:t>.</w:t>
      </w:r>
    </w:p>
    <w:p w14:paraId="1795BB6B" w14:textId="77777777" w:rsidR="00913832" w:rsidRPr="00314AC7" w:rsidRDefault="00913832" w:rsidP="00913832">
      <w:pPr>
        <w:pStyle w:val="ListParagraph"/>
        <w:numPr>
          <w:ilvl w:val="0"/>
          <w:numId w:val="44"/>
        </w:numPr>
        <w:spacing w:line="240" w:lineRule="auto"/>
        <w:rPr>
          <w:rFonts w:eastAsia="Times New Roman"/>
          <w:color w:val="000000"/>
        </w:rPr>
      </w:pPr>
      <w:r>
        <w:rPr>
          <w:rFonts w:eastAsia="Times New Roman"/>
          <w:color w:val="000000"/>
        </w:rPr>
        <w:t>Eliminate</w:t>
      </w:r>
      <w:r w:rsidRPr="00314AC7">
        <w:rPr>
          <w:rFonts w:eastAsia="Times New Roman"/>
          <w:color w:val="000000"/>
        </w:rPr>
        <w:t xml:space="preserve"> the requirement to produce two graphs associated with taxonomy</w:t>
      </w:r>
      <w:r>
        <w:rPr>
          <w:rFonts w:eastAsia="Times New Roman"/>
          <w:color w:val="000000"/>
        </w:rPr>
        <w:t xml:space="preserve"> </w:t>
      </w:r>
      <w:r w:rsidRPr="00314AC7">
        <w:rPr>
          <w:rFonts w:eastAsia="Times New Roman"/>
          <w:color w:val="000000"/>
        </w:rPr>
        <w:t>alignment (including sovereign and excluding sovereign)</w:t>
      </w:r>
      <w:r>
        <w:rPr>
          <w:rFonts w:eastAsia="Times New Roman"/>
          <w:color w:val="000000"/>
        </w:rPr>
        <w:t xml:space="preserve">. At this time, sovereigns are not able to be </w:t>
      </w:r>
      <w:r w:rsidRPr="00314AC7">
        <w:rPr>
          <w:rFonts w:eastAsia="Times New Roman"/>
          <w:color w:val="000000"/>
        </w:rPr>
        <w:t>assessed against the Taxonomy Regulation Technical Screening Criteria</w:t>
      </w:r>
      <w:r>
        <w:rPr>
          <w:rFonts w:eastAsia="Times New Roman"/>
          <w:color w:val="000000"/>
        </w:rPr>
        <w:t xml:space="preserve"> and the additional graph may result in more confusion than clarity for investors in financial products.</w:t>
      </w:r>
    </w:p>
    <w:p w14:paraId="6643A68D" w14:textId="77777777" w:rsidR="00913832" w:rsidRPr="00314AC7" w:rsidRDefault="00913832" w:rsidP="00913832">
      <w:pPr>
        <w:pStyle w:val="ListParagraph"/>
        <w:numPr>
          <w:ilvl w:val="0"/>
          <w:numId w:val="44"/>
        </w:numPr>
        <w:spacing w:line="240" w:lineRule="auto"/>
        <w:rPr>
          <w:rFonts w:eastAsia="Times New Roman"/>
          <w:color w:val="000000"/>
        </w:rPr>
      </w:pPr>
      <w:r>
        <w:rPr>
          <w:rFonts w:eastAsia="Times New Roman"/>
          <w:color w:val="000000"/>
        </w:rPr>
        <w:t xml:space="preserve">Eliminate </w:t>
      </w:r>
      <w:r w:rsidRPr="00314AC7">
        <w:rPr>
          <w:rFonts w:eastAsia="Times New Roman"/>
          <w:color w:val="000000"/>
        </w:rPr>
        <w:t xml:space="preserve">the </w:t>
      </w:r>
      <w:r>
        <w:rPr>
          <w:rFonts w:eastAsia="Times New Roman"/>
          <w:color w:val="000000"/>
        </w:rPr>
        <w:t>calculation of</w:t>
      </w:r>
      <w:r w:rsidRPr="00314AC7">
        <w:rPr>
          <w:rFonts w:eastAsia="Times New Roman"/>
          <w:color w:val="000000"/>
        </w:rPr>
        <w:t xml:space="preserve"> Taxonomy-alignment using OPEX at product-level to promote greater consistency</w:t>
      </w:r>
      <w:r>
        <w:rPr>
          <w:rFonts w:eastAsia="Times New Roman"/>
          <w:color w:val="000000"/>
        </w:rPr>
        <w:t>, as n</w:t>
      </w:r>
      <w:r w:rsidRPr="00314AC7">
        <w:rPr>
          <w:rFonts w:eastAsia="Times New Roman"/>
          <w:color w:val="000000"/>
        </w:rPr>
        <w:t xml:space="preserve">o corresponding requirement exists for financial undertakings within </w:t>
      </w:r>
      <w:r>
        <w:rPr>
          <w:rFonts w:eastAsia="Times New Roman"/>
          <w:color w:val="000000"/>
        </w:rPr>
        <w:t xml:space="preserve">the </w:t>
      </w:r>
      <w:r w:rsidRPr="00314AC7">
        <w:rPr>
          <w:rFonts w:eastAsia="Times New Roman"/>
          <w:color w:val="000000"/>
        </w:rPr>
        <w:t>Article 8 Delegated Act</w:t>
      </w:r>
      <w:r>
        <w:rPr>
          <w:rFonts w:eastAsia="Times New Roman"/>
          <w:color w:val="000000"/>
        </w:rPr>
        <w:t>.</w:t>
      </w:r>
    </w:p>
    <w:p w14:paraId="4C594F48" w14:textId="77777777" w:rsidR="00913832" w:rsidRPr="00314AC7" w:rsidRDefault="00913832" w:rsidP="00913832">
      <w:pPr>
        <w:pStyle w:val="ListParagraph"/>
        <w:numPr>
          <w:ilvl w:val="0"/>
          <w:numId w:val="44"/>
        </w:numPr>
        <w:spacing w:line="240" w:lineRule="auto"/>
        <w:rPr>
          <w:rFonts w:eastAsia="Times New Roman"/>
          <w:color w:val="000000"/>
        </w:rPr>
      </w:pPr>
      <w:r w:rsidRPr="00314AC7">
        <w:rPr>
          <w:rFonts w:eastAsia="Times New Roman"/>
          <w:color w:val="000000"/>
        </w:rPr>
        <w:t xml:space="preserve">Eliminate the </w:t>
      </w:r>
      <w:r>
        <w:rPr>
          <w:rFonts w:eastAsia="Times New Roman"/>
          <w:color w:val="000000"/>
        </w:rPr>
        <w:t>requirement</w:t>
      </w:r>
      <w:r w:rsidRPr="00314AC7">
        <w:rPr>
          <w:rFonts w:eastAsia="Times New Roman"/>
          <w:color w:val="000000"/>
        </w:rPr>
        <w:t xml:space="preserve"> to provide an explanation for the use of CAPEX/OPEX to measure taxonomy-alignment</w:t>
      </w:r>
      <w:r>
        <w:rPr>
          <w:rFonts w:eastAsia="Times New Roman"/>
          <w:color w:val="000000"/>
        </w:rPr>
        <w:t>, even in cases where turnover is selected.</w:t>
      </w:r>
    </w:p>
    <w:p w14:paraId="194351C1" w14:textId="77777777" w:rsidR="00913832" w:rsidRDefault="00913832" w:rsidP="00913832">
      <w:pPr>
        <w:pStyle w:val="ListParagraph"/>
        <w:numPr>
          <w:ilvl w:val="0"/>
          <w:numId w:val="44"/>
        </w:numPr>
        <w:spacing w:line="240" w:lineRule="auto"/>
        <w:rPr>
          <w:rFonts w:eastAsia="Times New Roman"/>
          <w:color w:val="000000"/>
        </w:rPr>
      </w:pPr>
      <w:r>
        <w:rPr>
          <w:rFonts w:eastAsia="Times New Roman"/>
          <w:color w:val="000000"/>
        </w:rPr>
        <w:t>Eliminate disclosure of</w:t>
      </w:r>
      <w:r w:rsidRPr="00314AC7">
        <w:rPr>
          <w:rFonts w:eastAsia="Times New Roman"/>
          <w:color w:val="000000"/>
        </w:rPr>
        <w:t xml:space="preserve"> enabling and transitional activities separately within the pre-contractual template</w:t>
      </w:r>
      <w:r>
        <w:rPr>
          <w:rFonts w:eastAsia="Times New Roman"/>
          <w:color w:val="000000"/>
        </w:rPr>
        <w:t xml:space="preserve">. </w:t>
      </w:r>
    </w:p>
    <w:p w14:paraId="46A40F5C" w14:textId="77777777" w:rsidR="00913832" w:rsidRPr="000A2F26" w:rsidRDefault="00913832" w:rsidP="00913832">
      <w:pPr>
        <w:rPr>
          <w:rFonts w:eastAsia="Times New Roman"/>
          <w:color w:val="000000"/>
        </w:rPr>
      </w:pPr>
      <w:r w:rsidRPr="000A2F26">
        <w:rPr>
          <w:rFonts w:eastAsia="Times New Roman"/>
          <w:color w:val="000000"/>
        </w:rPr>
        <w:t xml:space="preserve">Should the ESAs move forward with changes to </w:t>
      </w:r>
      <w:r>
        <w:rPr>
          <w:rFonts w:eastAsia="Times New Roman"/>
          <w:color w:val="000000"/>
        </w:rPr>
        <w:t>the reporting templates at this time</w:t>
      </w:r>
      <w:r w:rsidRPr="000A2F26">
        <w:rPr>
          <w:rFonts w:eastAsia="Times New Roman"/>
          <w:color w:val="000000"/>
        </w:rPr>
        <w:t xml:space="preserve">, it is important to provide financial market participants with adequate time to implement them. We recommend a transitional period of at least 12 months </w:t>
      </w:r>
      <w:r>
        <w:rPr>
          <w:rFonts w:eastAsia="Times New Roman"/>
          <w:color w:val="000000"/>
        </w:rPr>
        <w:t>for</w:t>
      </w:r>
      <w:r w:rsidRPr="000A2F26">
        <w:rPr>
          <w:rFonts w:eastAsia="Times New Roman"/>
          <w:color w:val="000000"/>
        </w:rPr>
        <w:t xml:space="preserve"> precontractual </w:t>
      </w:r>
      <w:r>
        <w:rPr>
          <w:rFonts w:eastAsia="Times New Roman"/>
          <w:color w:val="000000"/>
        </w:rPr>
        <w:t>reporting templates</w:t>
      </w:r>
      <w:r w:rsidRPr="000A2F26">
        <w:rPr>
          <w:rFonts w:eastAsia="Times New Roman"/>
          <w:color w:val="000000"/>
        </w:rPr>
        <w:t xml:space="preserve">, and an additional 12 months </w:t>
      </w:r>
      <w:r>
        <w:rPr>
          <w:rFonts w:eastAsia="Times New Roman"/>
          <w:color w:val="000000"/>
        </w:rPr>
        <w:t>to implement changes to</w:t>
      </w:r>
      <w:r w:rsidRPr="000A2F26">
        <w:rPr>
          <w:rFonts w:eastAsia="Times New Roman"/>
          <w:color w:val="000000"/>
        </w:rPr>
        <w:t xml:space="preserve"> the periodic reporting templates.</w:t>
      </w:r>
    </w:p>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234E32DB" w14:textId="77777777" w:rsidR="00A4047A" w:rsidRDefault="00A4047A" w:rsidP="00A4047A">
      <w:pPr>
        <w:rPr>
          <w:rFonts w:eastAsia="Times New Roman"/>
          <w:color w:val="000000"/>
        </w:rPr>
      </w:pPr>
      <w:r w:rsidRPr="005C07AE">
        <w:rPr>
          <w:rFonts w:eastAsia="Times New Roman"/>
          <w:color w:val="000000"/>
          <w:u w:val="single"/>
        </w:rPr>
        <w:t xml:space="preserve">As we note in our response to Question 32, the ESAs should eliminate the asset allocation </w:t>
      </w:r>
      <w:r>
        <w:rPr>
          <w:rFonts w:eastAsia="Times New Roman"/>
          <w:color w:val="000000"/>
          <w:u w:val="single"/>
        </w:rPr>
        <w:t>graph</w:t>
      </w:r>
      <w:r w:rsidRPr="005C07AE">
        <w:rPr>
          <w:rFonts w:eastAsia="Times New Roman"/>
          <w:color w:val="000000"/>
          <w:u w:val="single"/>
        </w:rPr>
        <w:t xml:space="preserve"> in the pre-contractual template</w:t>
      </w:r>
      <w:r>
        <w:rPr>
          <w:rFonts w:eastAsia="Times New Roman"/>
          <w:color w:val="000000"/>
        </w:rPr>
        <w:t>. The removal of this graph should not, however, be dependent on the addition of a dashboard to the disclosure template. The ESAs should be identifying ways to simplify and streamline the existing templates without adding layers or complexity to the current reporting requirements. In our view, eliminating the asset allocation graph would facilitate retail investors’ understanding of the product disclosures.</w:t>
      </w:r>
    </w:p>
    <w:p w14:paraId="6599A667" w14:textId="77777777" w:rsidR="009C41BB" w:rsidRDefault="009C41BB" w:rsidP="009C41BB">
      <w:r>
        <w:lastRenderedPageBreak/>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4D8ABF4D" w14:textId="77777777" w:rsidR="00D7620C" w:rsidRDefault="00D7620C" w:rsidP="00D7620C">
      <w:pPr>
        <w:rPr>
          <w:rFonts w:eastAsia="Times New Roman"/>
          <w:color w:val="000000"/>
        </w:rPr>
      </w:pPr>
      <w:r w:rsidRPr="002822CC">
        <w:rPr>
          <w:rFonts w:eastAsia="Times New Roman"/>
          <w:color w:val="000000"/>
          <w:u w:val="single"/>
        </w:rPr>
        <w:t xml:space="preserve">The ESAs should conduct consumer testing on extendable </w:t>
      </w:r>
      <w:proofErr w:type="gramStart"/>
      <w:r w:rsidRPr="002822CC">
        <w:rPr>
          <w:rFonts w:eastAsia="Times New Roman"/>
          <w:color w:val="000000"/>
          <w:u w:val="single"/>
        </w:rPr>
        <w:t>disclosures</w:t>
      </w:r>
      <w:r>
        <w:rPr>
          <w:rFonts w:eastAsia="Times New Roman"/>
          <w:color w:val="000000"/>
          <w:u w:val="single"/>
        </w:rPr>
        <w:t>, and</w:t>
      </w:r>
      <w:proofErr w:type="gramEnd"/>
      <w:r>
        <w:rPr>
          <w:rFonts w:eastAsia="Times New Roman"/>
          <w:color w:val="000000"/>
          <w:u w:val="single"/>
        </w:rPr>
        <w:t xml:space="preserve"> contribute relevant findings to</w:t>
      </w:r>
      <w:r w:rsidRPr="00263323">
        <w:rPr>
          <w:rFonts w:eastAsia="Times New Roman"/>
          <w:color w:val="000000"/>
          <w:u w:val="single"/>
        </w:rPr>
        <w:t xml:space="preserve"> the </w:t>
      </w:r>
      <w:r>
        <w:rPr>
          <w:rFonts w:eastAsia="Times New Roman"/>
          <w:color w:val="000000"/>
          <w:u w:val="single"/>
        </w:rPr>
        <w:t>European Commission to inform the review of</w:t>
      </w:r>
      <w:r w:rsidRPr="00263323">
        <w:rPr>
          <w:rFonts w:eastAsia="Times New Roman"/>
          <w:color w:val="000000"/>
          <w:u w:val="single"/>
        </w:rPr>
        <w:t xml:space="preserve"> the SFDR disclosure requirements</w:t>
      </w:r>
      <w:r w:rsidRPr="002822CC">
        <w:rPr>
          <w:rFonts w:eastAsia="Times New Roman"/>
          <w:color w:val="000000"/>
          <w:u w:val="single"/>
        </w:rPr>
        <w:t>.</w:t>
      </w:r>
      <w:r>
        <w:rPr>
          <w:rFonts w:eastAsia="Times New Roman"/>
          <w:color w:val="000000"/>
        </w:rPr>
        <w:t xml:space="preserve"> In general, we support a disclosure approach that permits the layering of information, for example with the first layer containing general/key information and the second layer containing descriptive/additional information and links to external sources. In our view, a less prescriptive disclosure regime that fosters the use of digital disclosure will facilitate more innovative disclosure to the benefit of retail investors. It is helpful that the European Commission has proposed in its Retail Investment Strategy to move to a digital-as-default principle of disclosures to investors, which would allow flexibility in testing disclosures in an electronically extendable manner. We would caution the ESAs against looking at the SFDR in isolation and instead suggest examining extendable disclosures as part of a more holistic review of all disclosures to investors.</w:t>
      </w:r>
    </w:p>
    <w:p w14:paraId="5ED9DE6A" w14:textId="77777777" w:rsidR="00D7620C" w:rsidRDefault="00D7620C" w:rsidP="00D7620C">
      <w:pPr>
        <w:rPr>
          <w:rFonts w:eastAsia="Times New Roman"/>
          <w:color w:val="000000"/>
        </w:rPr>
      </w:pPr>
      <w:r>
        <w:rPr>
          <w:rFonts w:eastAsia="Times New Roman"/>
          <w:color w:val="000000"/>
        </w:rPr>
        <w:t xml:space="preserve">As we note in our response to Question 30, above, we believe changes to the SFDR Level 1 legislation are needed to simplify and streamline the disclosure requirements </w:t>
      </w:r>
      <w:proofErr w:type="gramStart"/>
      <w:r>
        <w:rPr>
          <w:rFonts w:eastAsia="Times New Roman"/>
          <w:color w:val="000000"/>
        </w:rPr>
        <w:t>in order to</w:t>
      </w:r>
      <w:proofErr w:type="gramEnd"/>
      <w:r>
        <w:rPr>
          <w:rFonts w:eastAsia="Times New Roman"/>
          <w:color w:val="000000"/>
        </w:rPr>
        <w:t xml:space="preserve"> make them more meaningful for investors. Introducing a</w:t>
      </w:r>
      <w:r w:rsidRPr="008300B7">
        <w:rPr>
          <w:rFonts w:eastAsia="Times New Roman"/>
          <w:color w:val="000000"/>
        </w:rPr>
        <w:t xml:space="preserve"> dashboard</w:t>
      </w:r>
      <w:r>
        <w:rPr>
          <w:rFonts w:eastAsia="Times New Roman"/>
          <w:color w:val="000000"/>
        </w:rPr>
        <w:t xml:space="preserve"> or layered disclosure for the templates at this time would be merely cosmetic</w:t>
      </w:r>
      <w:r w:rsidRPr="008300B7">
        <w:rPr>
          <w:rFonts w:eastAsia="Times New Roman"/>
          <w:color w:val="000000"/>
        </w:rPr>
        <w:t xml:space="preserve">, </w:t>
      </w:r>
      <w:r>
        <w:rPr>
          <w:rFonts w:eastAsia="Times New Roman"/>
          <w:color w:val="000000"/>
        </w:rPr>
        <w:t>since</w:t>
      </w:r>
      <w:r w:rsidRPr="008300B7">
        <w:rPr>
          <w:rFonts w:eastAsia="Times New Roman"/>
          <w:color w:val="000000"/>
        </w:rPr>
        <w:t xml:space="preserve"> the SFDR disclosure requirements remain extremely complex and are unlikely to be understood by retail investors.</w:t>
      </w:r>
    </w:p>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4CC88FA6" w14:textId="4432DB6C" w:rsidR="006D0A30" w:rsidRDefault="006D0A30" w:rsidP="006D0A30">
      <w:pPr>
        <w:rPr>
          <w:rFonts w:eastAsia="Times New Roman"/>
          <w:color w:val="000000"/>
        </w:rPr>
      </w:pPr>
      <w:r w:rsidRPr="003E33C2">
        <w:rPr>
          <w:rFonts w:eastAsia="Times New Roman"/>
          <w:color w:val="000000"/>
          <w:u w:val="single"/>
        </w:rPr>
        <w:lastRenderedPageBreak/>
        <w:t xml:space="preserve">We welcome the use of the term “estimates” in place of “equivalent information,” but </w:t>
      </w:r>
      <w:r w:rsidR="00524E0F">
        <w:rPr>
          <w:rFonts w:eastAsia="Times New Roman"/>
          <w:color w:val="000000"/>
          <w:u w:val="single"/>
        </w:rPr>
        <w:t xml:space="preserve">at this time </w:t>
      </w:r>
      <w:r w:rsidRPr="003E33C2">
        <w:rPr>
          <w:rFonts w:eastAsia="Times New Roman"/>
          <w:color w:val="000000"/>
          <w:u w:val="single"/>
        </w:rPr>
        <w:t>the ESAs should not set out rigid criteria on what can be accepted as estimates</w:t>
      </w:r>
      <w:r>
        <w:rPr>
          <w:rFonts w:eastAsia="Times New Roman"/>
          <w:color w:val="000000"/>
        </w:rPr>
        <w:t xml:space="preserve">. </w:t>
      </w:r>
      <w:r w:rsidRPr="002D36DB">
        <w:rPr>
          <w:rFonts w:eastAsia="Times New Roman"/>
          <w:color w:val="000000"/>
        </w:rPr>
        <w:t>Despite</w:t>
      </w:r>
      <w:r>
        <w:rPr>
          <w:rFonts w:eastAsia="Times New Roman"/>
          <w:color w:val="000000"/>
        </w:rPr>
        <w:t xml:space="preserve"> ongoing</w:t>
      </w:r>
      <w:r w:rsidRPr="002D36DB">
        <w:rPr>
          <w:rFonts w:eastAsia="Times New Roman"/>
          <w:color w:val="000000"/>
        </w:rPr>
        <w:t xml:space="preserve"> initiatives in </w:t>
      </w:r>
      <w:r>
        <w:rPr>
          <w:rFonts w:eastAsia="Times New Roman"/>
          <w:color w:val="000000"/>
        </w:rPr>
        <w:t xml:space="preserve">multiple jurisdictions intent on </w:t>
      </w:r>
      <w:r w:rsidRPr="002D36DB">
        <w:rPr>
          <w:rFonts w:eastAsia="Times New Roman"/>
          <w:color w:val="000000"/>
        </w:rPr>
        <w:t xml:space="preserve">improving corporate disclosures, it will take several years before </w:t>
      </w:r>
      <w:r>
        <w:rPr>
          <w:rFonts w:eastAsia="Times New Roman"/>
          <w:color w:val="000000"/>
        </w:rPr>
        <w:t>these frameworks result in</w:t>
      </w:r>
      <w:r w:rsidRPr="002D36DB">
        <w:rPr>
          <w:rFonts w:eastAsia="Times New Roman"/>
          <w:color w:val="000000"/>
        </w:rPr>
        <w:t xml:space="preserve"> actual improvements </w:t>
      </w:r>
      <w:r>
        <w:rPr>
          <w:rFonts w:eastAsia="Times New Roman"/>
          <w:color w:val="000000"/>
        </w:rPr>
        <w:t>to</w:t>
      </w:r>
      <w:r w:rsidRPr="002D36DB">
        <w:rPr>
          <w:rFonts w:eastAsia="Times New Roman"/>
          <w:color w:val="000000"/>
        </w:rPr>
        <w:t xml:space="preserve"> data availability</w:t>
      </w:r>
      <w:r>
        <w:rPr>
          <w:rFonts w:eastAsia="Times New Roman"/>
          <w:color w:val="000000"/>
        </w:rPr>
        <w:t xml:space="preserve"> and reliability</w:t>
      </w:r>
      <w:r w:rsidRPr="002D36DB">
        <w:rPr>
          <w:rFonts w:eastAsia="Times New Roman"/>
          <w:color w:val="000000"/>
        </w:rPr>
        <w:t xml:space="preserve">. In the meantime, </w:t>
      </w:r>
      <w:r>
        <w:rPr>
          <w:rFonts w:eastAsia="Times New Roman"/>
          <w:color w:val="000000"/>
        </w:rPr>
        <w:t>financial market participants will</w:t>
      </w:r>
      <w:r w:rsidRPr="002D36DB">
        <w:rPr>
          <w:rFonts w:eastAsia="Times New Roman"/>
          <w:color w:val="000000"/>
        </w:rPr>
        <w:t xml:space="preserve"> need to </w:t>
      </w:r>
      <w:r>
        <w:rPr>
          <w:rFonts w:eastAsia="Times New Roman"/>
          <w:color w:val="000000"/>
        </w:rPr>
        <w:t xml:space="preserve">utilize </w:t>
      </w:r>
      <w:r w:rsidRPr="002D36DB">
        <w:rPr>
          <w:rFonts w:eastAsia="Times New Roman"/>
          <w:color w:val="000000"/>
        </w:rPr>
        <w:t xml:space="preserve">estimates </w:t>
      </w:r>
      <w:proofErr w:type="gramStart"/>
      <w:r w:rsidRPr="002D36DB">
        <w:rPr>
          <w:rFonts w:eastAsia="Times New Roman"/>
          <w:color w:val="000000"/>
        </w:rPr>
        <w:t>in order to</w:t>
      </w:r>
      <w:proofErr w:type="gramEnd"/>
      <w:r w:rsidRPr="002D36DB">
        <w:rPr>
          <w:rFonts w:eastAsia="Times New Roman"/>
          <w:color w:val="000000"/>
        </w:rPr>
        <w:t xml:space="preserve"> </w:t>
      </w:r>
      <w:proofErr w:type="spellStart"/>
      <w:r w:rsidRPr="002D36DB">
        <w:rPr>
          <w:rFonts w:eastAsia="Times New Roman"/>
          <w:color w:val="000000"/>
        </w:rPr>
        <w:t>fulfill</w:t>
      </w:r>
      <w:proofErr w:type="spellEnd"/>
      <w:r w:rsidRPr="002D36DB">
        <w:rPr>
          <w:rFonts w:eastAsia="Times New Roman"/>
          <w:color w:val="000000"/>
        </w:rPr>
        <w:t xml:space="preserve"> their </w:t>
      </w:r>
      <w:r>
        <w:rPr>
          <w:rFonts w:eastAsia="Times New Roman"/>
          <w:color w:val="000000"/>
        </w:rPr>
        <w:t xml:space="preserve">SFDR </w:t>
      </w:r>
      <w:r w:rsidRPr="002D36DB">
        <w:rPr>
          <w:rFonts w:eastAsia="Times New Roman"/>
          <w:color w:val="000000"/>
        </w:rPr>
        <w:t xml:space="preserve">disclosure obligations. We recommend that the ESAs </w:t>
      </w:r>
      <w:r>
        <w:rPr>
          <w:rFonts w:eastAsia="Times New Roman"/>
          <w:color w:val="000000"/>
        </w:rPr>
        <w:t>acknowledge</w:t>
      </w:r>
      <w:r w:rsidRPr="002D36DB">
        <w:rPr>
          <w:rFonts w:eastAsia="Times New Roman"/>
          <w:color w:val="000000"/>
        </w:rPr>
        <w:t xml:space="preserve"> </w:t>
      </w:r>
      <w:r>
        <w:rPr>
          <w:rFonts w:eastAsia="Times New Roman"/>
          <w:color w:val="000000"/>
        </w:rPr>
        <w:t>prevailing data gaps</w:t>
      </w:r>
      <w:r w:rsidRPr="002D36DB">
        <w:rPr>
          <w:rFonts w:eastAsia="Times New Roman"/>
          <w:color w:val="000000"/>
        </w:rPr>
        <w:t xml:space="preserve"> and </w:t>
      </w:r>
      <w:r>
        <w:rPr>
          <w:rFonts w:eastAsia="Times New Roman"/>
          <w:color w:val="000000"/>
        </w:rPr>
        <w:t>fully assess</w:t>
      </w:r>
      <w:r w:rsidRPr="002D36DB">
        <w:rPr>
          <w:rFonts w:eastAsia="Times New Roman"/>
          <w:color w:val="000000"/>
        </w:rPr>
        <w:t xml:space="preserve"> the availability</w:t>
      </w:r>
      <w:r>
        <w:rPr>
          <w:rFonts w:eastAsia="Times New Roman"/>
          <w:color w:val="000000"/>
        </w:rPr>
        <w:t xml:space="preserve"> of information publicly reported by issuers </w:t>
      </w:r>
      <w:r w:rsidRPr="002D36DB">
        <w:rPr>
          <w:rFonts w:eastAsia="Times New Roman"/>
          <w:color w:val="000000"/>
        </w:rPr>
        <w:t xml:space="preserve">before </w:t>
      </w:r>
      <w:r>
        <w:rPr>
          <w:rFonts w:eastAsia="Times New Roman"/>
          <w:color w:val="000000"/>
        </w:rPr>
        <w:t xml:space="preserve">considering criteria for what estimates may be used to </w:t>
      </w:r>
      <w:proofErr w:type="spellStart"/>
      <w:r>
        <w:rPr>
          <w:rFonts w:eastAsia="Times New Roman"/>
          <w:color w:val="000000"/>
        </w:rPr>
        <w:t>fulfill</w:t>
      </w:r>
      <w:proofErr w:type="spellEnd"/>
      <w:r>
        <w:rPr>
          <w:rFonts w:eastAsia="Times New Roman"/>
          <w:color w:val="000000"/>
        </w:rPr>
        <w:t xml:space="preserve"> SFDR disclosure obligations</w:t>
      </w:r>
      <w:r w:rsidRPr="002D36DB">
        <w:rPr>
          <w:rFonts w:eastAsia="Times New Roman"/>
          <w:color w:val="000000"/>
        </w:rPr>
        <w:t xml:space="preserve">.  </w:t>
      </w:r>
    </w:p>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lastRenderedPageBreak/>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49E96A63" w14:textId="77777777" w:rsidR="006A1622" w:rsidRDefault="006A1622" w:rsidP="006A1622">
      <w:pPr>
        <w:rPr>
          <w:rFonts w:eastAsia="Times New Roman"/>
          <w:color w:val="000000"/>
        </w:rPr>
      </w:pPr>
      <w:r w:rsidRPr="00BD041C">
        <w:rPr>
          <w:rFonts w:eastAsia="Times New Roman"/>
          <w:color w:val="000000"/>
          <w:u w:val="single"/>
        </w:rPr>
        <w:t>We support machine readability as a general principle to enhance digital disclosure over time and the layering of information</w:t>
      </w:r>
      <w:r>
        <w:rPr>
          <w:rFonts w:eastAsia="Times New Roman"/>
          <w:color w:val="000000"/>
        </w:rPr>
        <w:t>, though we note that presenting numerical data in a machine-readable format presents fewer challenges than presenting qualitative information contained in text fields</w:t>
      </w:r>
      <w:r w:rsidRPr="008B6650">
        <w:rPr>
          <w:rFonts w:eastAsia="Times New Roman"/>
          <w:color w:val="000000"/>
        </w:rPr>
        <w:t xml:space="preserve">. </w:t>
      </w:r>
    </w:p>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24"/>
      <w:headerReference w:type="default" r:id="rId25"/>
      <w:footerReference w:type="even" r:id="rId26"/>
      <w:footerReference w:type="default" r:id="rId27"/>
      <w:headerReference w:type="first" r:id="rId28"/>
      <w:footerReference w:type="first" r:id="rId29"/>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EF93" w14:textId="77777777" w:rsidR="00D860AF" w:rsidRDefault="00D860AF" w:rsidP="00707738">
      <w:pPr>
        <w:spacing w:after="0" w:line="240" w:lineRule="auto"/>
      </w:pPr>
      <w:r>
        <w:separator/>
      </w:r>
    </w:p>
  </w:endnote>
  <w:endnote w:type="continuationSeparator" w:id="0">
    <w:p w14:paraId="19F2CDF7" w14:textId="77777777" w:rsidR="00D860AF" w:rsidRDefault="00D860AF"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DB0E" w14:textId="77777777" w:rsidR="00D860AF" w:rsidRDefault="00D860AF" w:rsidP="00707738">
      <w:pPr>
        <w:spacing w:after="0" w:line="240" w:lineRule="auto"/>
      </w:pPr>
      <w:r>
        <w:separator/>
      </w:r>
    </w:p>
  </w:footnote>
  <w:footnote w:type="continuationSeparator" w:id="0">
    <w:p w14:paraId="03359687" w14:textId="77777777" w:rsidR="00D860AF" w:rsidRDefault="00D860AF"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7C0B2F"/>
    <w:multiLevelType w:val="hybridMultilevel"/>
    <w:tmpl w:val="7AEA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E2DF3"/>
    <w:multiLevelType w:val="hybridMultilevel"/>
    <w:tmpl w:val="89F0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31"/>
  </w:num>
  <w:num w:numId="6" w16cid:durableId="1277104421">
    <w:abstractNumId w:val="33"/>
  </w:num>
  <w:num w:numId="7" w16cid:durableId="242104871">
    <w:abstractNumId w:val="20"/>
  </w:num>
  <w:num w:numId="8" w16cid:durableId="522284696">
    <w:abstractNumId w:val="12"/>
  </w:num>
  <w:num w:numId="9" w16cid:durableId="1250770362">
    <w:abstractNumId w:val="8"/>
  </w:num>
  <w:num w:numId="10" w16cid:durableId="1358701701">
    <w:abstractNumId w:val="37"/>
  </w:num>
  <w:num w:numId="11" w16cid:durableId="1625037795">
    <w:abstractNumId w:val="21"/>
  </w:num>
  <w:num w:numId="12" w16cid:durableId="61487579">
    <w:abstractNumId w:val="42"/>
  </w:num>
  <w:num w:numId="13" w16cid:durableId="856233915">
    <w:abstractNumId w:val="16"/>
  </w:num>
  <w:num w:numId="14" w16cid:durableId="1381858278">
    <w:abstractNumId w:val="35"/>
  </w:num>
  <w:num w:numId="15" w16cid:durableId="402408764">
    <w:abstractNumId w:val="3"/>
  </w:num>
  <w:num w:numId="16" w16cid:durableId="1085760005">
    <w:abstractNumId w:val="30"/>
  </w:num>
  <w:num w:numId="17" w16cid:durableId="633215943">
    <w:abstractNumId w:val="5"/>
  </w:num>
  <w:num w:numId="18" w16cid:durableId="2020691353">
    <w:abstractNumId w:val="25"/>
  </w:num>
  <w:num w:numId="19" w16cid:durableId="1500385072">
    <w:abstractNumId w:val="10"/>
  </w:num>
  <w:num w:numId="20" w16cid:durableId="1520046844">
    <w:abstractNumId w:val="40"/>
  </w:num>
  <w:num w:numId="21" w16cid:durableId="748115910">
    <w:abstractNumId w:val="4"/>
  </w:num>
  <w:num w:numId="22" w16cid:durableId="717703608">
    <w:abstractNumId w:val="36"/>
  </w:num>
  <w:num w:numId="23" w16cid:durableId="600113171">
    <w:abstractNumId w:val="14"/>
  </w:num>
  <w:num w:numId="24" w16cid:durableId="241523878">
    <w:abstractNumId w:val="38"/>
  </w:num>
  <w:num w:numId="25" w16cid:durableId="80297080">
    <w:abstractNumId w:val="9"/>
  </w:num>
  <w:num w:numId="26" w16cid:durableId="576936923">
    <w:abstractNumId w:val="39"/>
  </w:num>
  <w:num w:numId="27" w16cid:durableId="379136238">
    <w:abstractNumId w:val="19"/>
  </w:num>
  <w:num w:numId="28" w16cid:durableId="1234242114">
    <w:abstractNumId w:val="17"/>
  </w:num>
  <w:num w:numId="29" w16cid:durableId="6490979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4"/>
  </w:num>
  <w:num w:numId="37" w16cid:durableId="860432523">
    <w:abstractNumId w:val="26"/>
  </w:num>
  <w:num w:numId="38" w16cid:durableId="1880386777">
    <w:abstractNumId w:val="24"/>
  </w:num>
  <w:num w:numId="39" w16cid:durableId="140314737">
    <w:abstractNumId w:val="6"/>
  </w:num>
  <w:num w:numId="40" w16cid:durableId="399055937">
    <w:abstractNumId w:val="32"/>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8929762">
    <w:abstractNumId w:val="29"/>
  </w:num>
  <w:num w:numId="44" w16cid:durableId="9468885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C9D"/>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653FE"/>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50DF"/>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6118"/>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0F1C"/>
    <w:rsid w:val="002724C2"/>
    <w:rsid w:val="002742CC"/>
    <w:rsid w:val="00275A87"/>
    <w:rsid w:val="00276971"/>
    <w:rsid w:val="00276D48"/>
    <w:rsid w:val="00281EC6"/>
    <w:rsid w:val="00284B77"/>
    <w:rsid w:val="00285AAD"/>
    <w:rsid w:val="00286684"/>
    <w:rsid w:val="00294F4A"/>
    <w:rsid w:val="00297997"/>
    <w:rsid w:val="002A3A96"/>
    <w:rsid w:val="002A52F1"/>
    <w:rsid w:val="002B15C0"/>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123A"/>
    <w:rsid w:val="00302124"/>
    <w:rsid w:val="0030341A"/>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280B"/>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4E0F"/>
    <w:rsid w:val="00526261"/>
    <w:rsid w:val="00526B2E"/>
    <w:rsid w:val="00526FAE"/>
    <w:rsid w:val="00534E5F"/>
    <w:rsid w:val="005375B9"/>
    <w:rsid w:val="00537DC3"/>
    <w:rsid w:val="00540C34"/>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1622"/>
    <w:rsid w:val="006A23E6"/>
    <w:rsid w:val="006A56A1"/>
    <w:rsid w:val="006A6429"/>
    <w:rsid w:val="006B095A"/>
    <w:rsid w:val="006B3515"/>
    <w:rsid w:val="006B656A"/>
    <w:rsid w:val="006C4483"/>
    <w:rsid w:val="006C4FB1"/>
    <w:rsid w:val="006C523F"/>
    <w:rsid w:val="006C642C"/>
    <w:rsid w:val="006D0A30"/>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1547C"/>
    <w:rsid w:val="00722336"/>
    <w:rsid w:val="00724DAA"/>
    <w:rsid w:val="00726DD9"/>
    <w:rsid w:val="007317EE"/>
    <w:rsid w:val="00733747"/>
    <w:rsid w:val="00733B83"/>
    <w:rsid w:val="007368E9"/>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90E92"/>
    <w:rsid w:val="008A4900"/>
    <w:rsid w:val="008A62FE"/>
    <w:rsid w:val="008A6C4F"/>
    <w:rsid w:val="008A70F0"/>
    <w:rsid w:val="008B3621"/>
    <w:rsid w:val="008B3F2E"/>
    <w:rsid w:val="008B5E48"/>
    <w:rsid w:val="008C3EE4"/>
    <w:rsid w:val="008C6CED"/>
    <w:rsid w:val="008C7273"/>
    <w:rsid w:val="008C754D"/>
    <w:rsid w:val="008D0372"/>
    <w:rsid w:val="008D0B39"/>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832"/>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47A"/>
    <w:rsid w:val="00A409B8"/>
    <w:rsid w:val="00A41B8D"/>
    <w:rsid w:val="00A423ED"/>
    <w:rsid w:val="00A43398"/>
    <w:rsid w:val="00A443ED"/>
    <w:rsid w:val="00A466B1"/>
    <w:rsid w:val="00A509B8"/>
    <w:rsid w:val="00A520DD"/>
    <w:rsid w:val="00A54E20"/>
    <w:rsid w:val="00A62138"/>
    <w:rsid w:val="00A66D7D"/>
    <w:rsid w:val="00A73E4E"/>
    <w:rsid w:val="00A773FB"/>
    <w:rsid w:val="00A8089C"/>
    <w:rsid w:val="00A80C70"/>
    <w:rsid w:val="00A80FCD"/>
    <w:rsid w:val="00A822CD"/>
    <w:rsid w:val="00A8348C"/>
    <w:rsid w:val="00A83ED5"/>
    <w:rsid w:val="00A9023A"/>
    <w:rsid w:val="00A92500"/>
    <w:rsid w:val="00A93CD1"/>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4EA1"/>
    <w:rsid w:val="00B0621B"/>
    <w:rsid w:val="00B067E8"/>
    <w:rsid w:val="00B0736D"/>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1C10"/>
    <w:rsid w:val="00B93420"/>
    <w:rsid w:val="00B93E4A"/>
    <w:rsid w:val="00B95F6B"/>
    <w:rsid w:val="00B9720A"/>
    <w:rsid w:val="00BA02A0"/>
    <w:rsid w:val="00BA0488"/>
    <w:rsid w:val="00BA3D80"/>
    <w:rsid w:val="00BA60BB"/>
    <w:rsid w:val="00BA7DAC"/>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5B6"/>
    <w:rsid w:val="00BE6794"/>
    <w:rsid w:val="00BE79CD"/>
    <w:rsid w:val="00BF1308"/>
    <w:rsid w:val="00BF4812"/>
    <w:rsid w:val="00BF4A3D"/>
    <w:rsid w:val="00BF5BCA"/>
    <w:rsid w:val="00C036D3"/>
    <w:rsid w:val="00C03E79"/>
    <w:rsid w:val="00C06541"/>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4DD0"/>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620C"/>
    <w:rsid w:val="00D77B76"/>
    <w:rsid w:val="00D81C73"/>
    <w:rsid w:val="00D82D32"/>
    <w:rsid w:val="00D8367C"/>
    <w:rsid w:val="00D860AF"/>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45C76"/>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2D8E"/>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56FE6"/>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310"/>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hyperlink" Target="https://www.esma.europa.eu/sites/default/files/2023-06/ESMA30-1668416927-2498_Progress_Report_ESMA_response_to_COM_RfI_on_greenwashing_risk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ma.europa.eu/sites/default/files/2023-04/C_2023_2281_F1_COMMISSION_DECISION_EN_V2_P1_2603069.PDF" TargetMode="Externa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hyperlink" Target="https://www.ici.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ci.org/iciglobal" TargetMode="External"/><Relationship Id="rId20" Type="http://schemas.openxmlformats.org/officeDocument/2006/relationships/hyperlink" Target="https://ec.europa.eu/commission/presscorner/detail/en/SPEECH_22_752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sma.europa.eu/sites/default/files/2023-04/JC_2023_09_Joint_consultation_paper_on_review_of_SFDR_Delegated_Regulation.pdf" TargetMode="External"/><Relationship Id="rId23" Type="http://schemas.openxmlformats.org/officeDocument/2006/relationships/hyperlink" Target="https://www.esma.europa.eu/sites/default/files/2023-06/ESMA30-1668416927-2498_Progress_Report_ESMA_response_to_COM_RfI_on_greenwashing_risks.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sma.europa.eu/sites/default/files/library/mandate_to_esas_on_pai_pro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hyperlink" Target="https://www.esma.europa.eu/sites/default/files/library/jc_2022_62_jc_sfdr_qas.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ed230f-8abb-4f0d-b690-03297d16ff9b" xsi:nil="true"/>
    <lcf76f155ced4ddcb4097134ff3c332f xmlns="08ddd1c4-1125-434b-a7f1-9cf145a5f5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4F13F118B5B4CB3CA32CFB3F54FC5" ma:contentTypeVersion="18" ma:contentTypeDescription="Create a new document." ma:contentTypeScope="" ma:versionID="19668543aa488ae5fcf159fb6c5c67db">
  <xsd:schema xmlns:xsd="http://www.w3.org/2001/XMLSchema" xmlns:xs="http://www.w3.org/2001/XMLSchema" xmlns:p="http://schemas.microsoft.com/office/2006/metadata/properties" xmlns:ns2="08ddd1c4-1125-434b-a7f1-9cf145a5f504" xmlns:ns3="52ed230f-8abb-4f0d-b690-03297d16ff9b" targetNamespace="http://schemas.microsoft.com/office/2006/metadata/properties" ma:root="true" ma:fieldsID="eaac09376094c5f1bd4c07b109c240d1" ns2:_="" ns3:_="">
    <xsd:import namespace="08ddd1c4-1125-434b-a7f1-9cf145a5f504"/>
    <xsd:import namespace="52ed230f-8abb-4f0d-b690-03297d16ff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dd1c4-1125-434b-a7f1-9cf145a5f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b69897-bd5a-45c4-a9d5-4f4ec2d6f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ed230f-8abb-4f0d-b690-03297d16ff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fca0a6-c38f-43fc-977b-2043183f69d3}" ma:internalName="TaxCatchAll" ma:showField="CatchAllData" ma:web="52ed230f-8abb-4f0d-b690-03297d16f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52ed230f-8abb-4f0d-b690-03297d16ff9b"/>
    <ds:schemaRef ds:uri="08ddd1c4-1125-434b-a7f1-9cf145a5f504"/>
  </ds:schemaRefs>
</ds:datastoreItem>
</file>

<file path=customXml/itemProps3.xml><?xml version="1.0" encoding="utf-8"?>
<ds:datastoreItem xmlns:ds="http://schemas.openxmlformats.org/officeDocument/2006/customXml" ds:itemID="{C8074861-E552-460B-8B97-23DB9DA7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dd1c4-1125-434b-a7f1-9cf145a5f504"/>
    <ds:schemaRef ds:uri="52ed230f-8abb-4f0d-b690-03297d16f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25</Pages>
  <Words>8107</Words>
  <Characters>46212</Characters>
  <Application>Microsoft Office Word</Application>
  <DocSecurity>0</DocSecurity>
  <Lines>385</Lines>
  <Paragraphs>108</Paragraphs>
  <ScaleCrop>false</ScaleCrop>
  <Company>HP</Company>
  <LinksUpToDate>false</LinksUpToDate>
  <CharactersWithSpaces>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Lance, Elizabeth</cp:lastModifiedBy>
  <cp:revision>2</cp:revision>
  <cp:lastPrinted>2022-02-14T13:26:00Z</cp:lastPrinted>
  <dcterms:created xsi:type="dcterms:W3CDTF">2023-07-04T09:39:00Z</dcterms:created>
  <dcterms:modified xsi:type="dcterms:W3CDTF">2023-07-04T09:39:00Z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0x01010014E4F13F118B5B4CB3CA32CFB3F54FC5</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