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Lienhypertexte"/>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B973E2"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i/>
              <w:iCs/>
              <w:color w:val="808080"/>
              <w:szCs w:val="20"/>
              <w:lang w:val="en-US"/>
            </w:rPr>
            <w:id w:val="651570699"/>
            <w:text/>
          </w:sdtPr>
          <w:sdtContent>
            <w:tc>
              <w:tcPr>
                <w:tcW w:w="5595" w:type="dxa"/>
                <w:shd w:val="clear" w:color="auto" w:fill="auto"/>
                <w:vAlign w:val="center"/>
              </w:tcPr>
              <w:p w14:paraId="2D662032" w14:textId="3AE3BC91" w:rsidR="005418F4" w:rsidRPr="00B973E2" w:rsidRDefault="00B973E2" w:rsidP="005418F4">
                <w:pPr>
                  <w:spacing w:after="250"/>
                  <w:rPr>
                    <w:rFonts w:ascii="Arial" w:eastAsiaTheme="minorEastAsia" w:hAnsi="Arial" w:cs="Arial"/>
                    <w:color w:val="808080"/>
                    <w:szCs w:val="20"/>
                    <w:lang w:val="en-US"/>
                  </w:rPr>
                </w:pPr>
                <w:proofErr w:type="spellStart"/>
                <w:r w:rsidRPr="00B973E2">
                  <w:rPr>
                    <w:rFonts w:ascii="Arial" w:eastAsiaTheme="minorEastAsia" w:hAnsi="Arial" w:cs="Arial"/>
                    <w:i/>
                    <w:iCs/>
                    <w:color w:val="808080"/>
                    <w:szCs w:val="20"/>
                    <w:lang w:val="en-US"/>
                  </w:rPr>
                  <w:t>Observatoire</w:t>
                </w:r>
                <w:proofErr w:type="spellEnd"/>
                <w:r w:rsidRPr="00B973E2">
                  <w:rPr>
                    <w:rFonts w:ascii="Arial" w:eastAsiaTheme="minorEastAsia" w:hAnsi="Arial" w:cs="Arial"/>
                    <w:i/>
                    <w:iCs/>
                    <w:color w:val="808080"/>
                    <w:szCs w:val="20"/>
                    <w:lang w:val="en-US"/>
                  </w:rPr>
                  <w:t xml:space="preserve"> de </w:t>
                </w:r>
                <w:proofErr w:type="spellStart"/>
                <w:r w:rsidRPr="00B973E2">
                  <w:rPr>
                    <w:rFonts w:ascii="Arial" w:eastAsiaTheme="minorEastAsia" w:hAnsi="Arial" w:cs="Arial"/>
                    <w:i/>
                    <w:iCs/>
                    <w:color w:val="808080"/>
                    <w:szCs w:val="20"/>
                    <w:lang w:val="en-US"/>
                  </w:rPr>
                  <w:t>l’Immobilier</w:t>
                </w:r>
                <w:proofErr w:type="spellEnd"/>
                <w:r w:rsidRPr="00B973E2">
                  <w:rPr>
                    <w:rFonts w:ascii="Arial" w:eastAsiaTheme="minorEastAsia" w:hAnsi="Arial" w:cs="Arial"/>
                    <w:i/>
                    <w:iCs/>
                    <w:color w:val="808080"/>
                    <w:szCs w:val="20"/>
                    <w:lang w:val="en-US"/>
                  </w:rPr>
                  <w:t xml:space="preserve"> Durable – The French Green Building</w:t>
                </w:r>
                <w:r>
                  <w:rPr>
                    <w:rFonts w:ascii="Arial" w:eastAsiaTheme="minorEastAsia" w:hAnsi="Arial" w:cs="Arial"/>
                    <w:i/>
                    <w:iCs/>
                    <w:color w:val="808080"/>
                    <w:szCs w:val="20"/>
                    <w:lang w:val="en-US"/>
                  </w:rPr>
                  <w:t xml:space="preserve"> Observatory</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0F746D78"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F05AC">
                  <w:rPr>
                    <w:rFonts w:ascii="Arial" w:eastAsiaTheme="minorEastAsia" w:hAnsi="Arial" w:cs="Arial"/>
                    <w:color w:val="1A1A1A" w:themeColor="background1" w:themeShade="1A"/>
                    <w:szCs w:val="20"/>
                  </w:rPr>
                  <w:t>Audit/Legal/Individual</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Content>
            <w:tc>
              <w:tcPr>
                <w:tcW w:w="5595" w:type="dxa"/>
                <w:shd w:val="clear" w:color="auto" w:fill="auto"/>
                <w:vAlign w:val="center"/>
              </w:tcPr>
              <w:p w14:paraId="67C0DEAE" w14:textId="737E1CC8" w:rsidR="005418F4" w:rsidRPr="005418F4" w:rsidRDefault="00B973E2"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377513B0" w:rsidR="005418F4" w:rsidRPr="005418F4" w:rsidRDefault="00B973E2"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France</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4A55641A" w14:textId="1DFE558D" w:rsidR="009C41BB" w:rsidRDefault="009C41BB" w:rsidP="009C41BB">
      <w:permStart w:id="1348034591" w:edGrp="everyone"/>
      <w:r>
        <w:t>TYPE YOUR TEXT HERE</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xml:space="preserve">: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w:t>
      </w:r>
      <w:r>
        <w:lastRenderedPageBreak/>
        <w:t>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FAD8D0C" w14:textId="484AD938" w:rsidR="008E5D62" w:rsidRDefault="008E5D62" w:rsidP="008E5D62">
      <w:bookmarkStart w:id="6" w:name="_Hlk138771849"/>
      <w:permStart w:id="887372501" w:edGrp="everyone"/>
      <w:r w:rsidRPr="008E5D62">
        <w:t>No. Applying social PAIs to financial real estate companies w</w:t>
      </w:r>
      <w:r w:rsidR="00FF05AC">
        <w:t>ould</w:t>
      </w:r>
      <w:r w:rsidRPr="008E5D62">
        <w:t xml:space="preserve"> require additional collection and reporting work, which will be tedious and of little use given that numerous regulations on social and governance issues already apply. The SFDR Regulation and the European Taxonomy already make the objective of sustainable investment conditional on minimum guarantees, </w:t>
      </w:r>
      <w:proofErr w:type="gramStart"/>
      <w:r w:rsidRPr="008E5D62">
        <w:t>i.e.</w:t>
      </w:r>
      <w:proofErr w:type="gramEnd"/>
      <w:r w:rsidRPr="008E5D62">
        <w:t xml:space="preserve"> good governance practices. In France, article 173-VI of the law of 17 August 2015 on the energy transition for green growth imposes transparency obligations on reporting investors regarding the inclusion of criteria </w:t>
      </w:r>
      <w:r w:rsidRPr="008E5D62">
        <w:lastRenderedPageBreak/>
        <w:t xml:space="preserve">relating to social and governance objectives in investment strategies. </w:t>
      </w:r>
      <w:proofErr w:type="gramStart"/>
      <w:r w:rsidRPr="008E5D62">
        <w:t>In order to</w:t>
      </w:r>
      <w:proofErr w:type="gramEnd"/>
      <w:r w:rsidRPr="008E5D62">
        <w:t xml:space="preserve"> comply with this regulation, the following information may be reported by investors: the impact of investments on the localities in which they are made, gender parity and the remuneration policy of managers, particularly for management companies. Finally, Article 29 of the French Energy and Climate Change Act imposes greater transparency requirements on financial real estate companies in terms of social issues and governance</w:t>
      </w:r>
      <w:r w:rsidR="001F371C" w:rsidRPr="001F371C">
        <w:t>.</w:t>
      </w:r>
      <w:r>
        <w:t xml:space="preserve"> Requiring social PAIs at the level of the property company would be an additional requirement compared with traditional financial companies. In order not to create a difference in treatment with property management companies, it is essential to retain only environmental PAIs. Property assets are inert assets.</w:t>
      </w:r>
    </w:p>
    <w:p w14:paraId="13CBEF29" w14:textId="6008C918" w:rsidR="009C41BB" w:rsidRDefault="008E5D62" w:rsidP="008E5D62">
      <w:r>
        <w:t>Finally, in the case where asset management is delegated to an external service provider such as a property manager, this is also of little relevance, given that the integration of social and governance issues is already in place via contracts, which include good governance criteria.</w:t>
      </w:r>
    </w:p>
    <w:bookmarkEnd w:id="6"/>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7"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7"/>
    <w:p w14:paraId="7DF73432" w14:textId="77777777" w:rsidR="009C41BB" w:rsidRDefault="009C41BB" w:rsidP="009C41BB">
      <w:r>
        <w:t>&lt;ESMA_QUESTION_SFDR_7&gt;</w:t>
      </w:r>
    </w:p>
    <w:p w14:paraId="0F9A5495" w14:textId="6E9959E9" w:rsidR="009C41BB" w:rsidRDefault="008E5D62" w:rsidP="009C41BB">
      <w:permStart w:id="1335120249" w:edGrp="everyone"/>
      <w:r w:rsidRPr="008E5D62">
        <w:t xml:space="preserve">Yes. An adjustment along these lines is </w:t>
      </w:r>
      <w:proofErr w:type="gramStart"/>
      <w:r w:rsidRPr="008E5D62">
        <w:t>appropriate, and</w:t>
      </w:r>
      <w:proofErr w:type="gramEnd"/>
      <w:r w:rsidRPr="008E5D62">
        <w:t xml:space="preserve"> would bring about greater harmonisation between the European Taxonomy and the SFDR Regulation. Would it be possible to pursue this harmonisation effort by including, in addition to the EPC, the possibility of choosing the top 30% as the threshold for demonstrating energy efficiency for SFDR IAPs? Indeed, the Top 30% is the DNSH criterion for Climate Change Mitigation for activity 7.7 Acquisition and ownership of buildings for the Adaptation to Climate Change </w:t>
      </w:r>
      <w:proofErr w:type="spellStart"/>
      <w:r w:rsidRPr="008E5D62">
        <w:t>obejctive</w:t>
      </w:r>
      <w:proofErr w:type="spellEnd"/>
      <w:r w:rsidRPr="008E5D62">
        <w:t>. Introducing the possibility of choosing the Top 30% to verify the energy efficiency of an asset for the energy efficiency PAI of the SFDR regulation would be very useful for certain European countries that do not have an EPC class. Indeed, the German non-residential EPC does not include a class but only a continuous energy scale. Finally, EPCs are not very comparable across Europe. A class A residential EPC in the Netherlands corresponds to a class C residential EPC in France. On this subject, see our study "Standardising European EPCs; a crucial step for the energy transition in the building sector"</w:t>
      </w:r>
      <w:r w:rsidR="007757A3" w:rsidRPr="007757A3">
        <w:t>.</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8" w:name="_Hlk131609837"/>
      <w:r>
        <w:t>: Do you see any challenges in the interaction between the definition ‘enterprise value’ and ‘current value of investment’ for the calculation of the PAI indicators?</w:t>
      </w:r>
    </w:p>
    <w:bookmarkEnd w:id="8"/>
    <w:p w14:paraId="0563F3C0" w14:textId="77777777" w:rsidR="009C41BB" w:rsidRDefault="009C41BB" w:rsidP="009C41BB">
      <w:r>
        <w:t>&lt;ESMA_QUESTION_SFDR_8&gt;</w:t>
      </w:r>
    </w:p>
    <w:p w14:paraId="668ACE9C" w14:textId="77777777" w:rsidR="009C41BB" w:rsidRDefault="009C41BB" w:rsidP="009C41BB">
      <w:permStart w:id="1288714632" w:edGrp="everyone"/>
      <w:r>
        <w:lastRenderedPageBreak/>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9" w:name="_Hlk131609838"/>
      <w:r>
        <w:t xml:space="preserve">: Do you have any comments or proposed adjustments to the new formulae suggested in Annex I?  </w:t>
      </w:r>
    </w:p>
    <w:bookmarkEnd w:id="9"/>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10"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10"/>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1" w:name="_Hlk131609841"/>
      <w:r>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Default="009C41BB" w:rsidP="009C41BB">
      <w:r>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lastRenderedPageBreak/>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77777777" w:rsidR="009C41BB" w:rsidRDefault="009C41BB" w:rsidP="009C41BB">
      <w:permStart w:id="1426525783" w:edGrp="everyone"/>
      <w:r>
        <w:t>TYPE YOUR TEXT HERE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DDA6D60" w14:textId="77777777" w:rsidR="009C41BB" w:rsidRDefault="009C41BB" w:rsidP="009C41BB">
      <w:permStart w:id="791154279" w:edGrp="everyone"/>
      <w:r>
        <w:t>TYPE YOUR TEXT HERE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bookmarkStart w:id="12" w:name="_Hlk138690078"/>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bookmarkEnd w:id="12"/>
    <w:p w14:paraId="75983884" w14:textId="77777777" w:rsidR="009C41BB" w:rsidRDefault="009C41BB" w:rsidP="009C41BB">
      <w:r>
        <w:t>&lt;ESMA_QUESTION_SFDR_18&gt;</w:t>
      </w:r>
    </w:p>
    <w:p w14:paraId="6BBD22C7" w14:textId="382D4F74" w:rsidR="009C41BB" w:rsidRDefault="008E5D62" w:rsidP="009C41BB">
      <w:permStart w:id="984368250" w:edGrp="everyone"/>
      <w:r w:rsidRPr="008E5D62">
        <w:t>No. For the real estate sector, the two mandatory PAIs are exposure to fossil fuels and the proportion of inefficient assets (</w:t>
      </w:r>
      <w:proofErr w:type="gramStart"/>
      <w:r w:rsidRPr="008E5D62">
        <w:t>i.e.</w:t>
      </w:r>
      <w:proofErr w:type="gramEnd"/>
      <w:r w:rsidRPr="008E5D62">
        <w:t xml:space="preserve"> less than or equal to C). Asking for thresholds is likely to be particularly difficult for the share of inefficient assets. A fund with a non-energy sustainable investment objective could be forced to dispose of certain non-energy efficient assets, or to invest in energy renovation, when its sustainable investment objective is quite different (for example, preserving biodiversity). The status quo is less likely to destabilise Article 9 funds with strategies other than improving the energy performance of property assets.</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lastRenderedPageBreak/>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516EAF0B" w:rsidR="009C41BB" w:rsidRDefault="007757A3" w:rsidP="009C41BB">
      <w:permStart w:id="2084635173" w:edGrp="everyone"/>
      <w:r>
        <w:t xml:space="preserve">Yes, the </w:t>
      </w:r>
      <w:proofErr w:type="spellStart"/>
      <w:proofErr w:type="gramStart"/>
      <w:r>
        <w:t>informations</w:t>
      </w:r>
      <w:proofErr w:type="spellEnd"/>
      <w:proofErr w:type="gramEnd"/>
      <w:r>
        <w:t xml:space="preserve"> asked seem relevant.</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xml:space="preserve">: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w:t>
      </w:r>
      <w:r>
        <w:lastRenderedPageBreak/>
        <w:t>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07B6C1B3" w:rsidR="009C41BB" w:rsidRDefault="008E5D62" w:rsidP="009C41BB">
      <w:permStart w:id="1572164812" w:edGrp="everyone"/>
      <w:r w:rsidRPr="008E5D62">
        <w:t xml:space="preserve">No. Asking that the objective be pursued across 100% of the portfolio is not relevant to the property sector. Real estate funds have a liquidity pocket, which cannot be aligned with any ESG objective. It would be more appropriate for the objective to relate solely to property assets. This would give an ESG objective for 100% of real estate assets, and the players would then specify what percentage real estate assets correspond to in their total. </w:t>
      </w:r>
      <w:proofErr w:type="gramStart"/>
      <w:r w:rsidRPr="008E5D62">
        <w:t>Generally speaking, it</w:t>
      </w:r>
      <w:proofErr w:type="gramEnd"/>
      <w:r w:rsidRPr="008E5D62">
        <w:t xml:space="preserve"> would be simpler if all the ESG indicators, characteristics and objectives were required for the property portfolio only.</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w:t>
      </w:r>
      <w:r>
        <w:lastRenderedPageBreak/>
        <w:t xml:space="preserve">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484F8923" w:rsidR="009C41BB" w:rsidRDefault="008E5D62" w:rsidP="009C41BB">
      <w:bookmarkStart w:id="13" w:name="_Hlk138772016"/>
      <w:permStart w:id="1542225393" w:edGrp="everyone"/>
      <w:r>
        <w:t xml:space="preserve">Yes. </w:t>
      </w:r>
      <w:r w:rsidR="00045FC9">
        <w:t>W</w:t>
      </w:r>
      <w:r w:rsidR="00045FC9" w:rsidRPr="00045FC9">
        <w:t xml:space="preserve">e find that putting the summary first gives all the quantitative information right from the start. It's very clear for professionals. However, this template is still not very accessible to the </w:t>
      </w:r>
      <w:proofErr w:type="gramStart"/>
      <w:r w:rsidR="00045FC9" w:rsidRPr="00045FC9">
        <w:t>general public</w:t>
      </w:r>
      <w:proofErr w:type="gramEnd"/>
      <w:r w:rsidR="00045FC9" w:rsidRPr="00045FC9">
        <w:t>.</w:t>
      </w:r>
    </w:p>
    <w:bookmarkEnd w:id="13"/>
    <w:permEnd w:id="1542225393"/>
    <w:p w14:paraId="3CC109DF" w14:textId="77777777" w:rsidR="009C41BB" w:rsidRDefault="009C41BB" w:rsidP="009C41BB">
      <w:r>
        <w:lastRenderedPageBreak/>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2F1F9FED" w:rsidR="009C41BB" w:rsidRDefault="009F4E96" w:rsidP="009C41BB">
      <w:permStart w:id="1422073065" w:edGrp="everyone"/>
      <w:r>
        <w:t>No, the dashboard already indicates the asset allocation.</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lastRenderedPageBreak/>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lastRenderedPageBreak/>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lastRenderedPageBreak/>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3419" w14:textId="77777777" w:rsidR="00C967C9" w:rsidRDefault="00C967C9" w:rsidP="00707738">
      <w:pPr>
        <w:spacing w:after="0" w:line="240" w:lineRule="auto"/>
      </w:pPr>
      <w:r>
        <w:separator/>
      </w:r>
    </w:p>
  </w:endnote>
  <w:endnote w:type="continuationSeparator" w:id="0">
    <w:p w14:paraId="130149F3" w14:textId="77777777" w:rsidR="00C967C9" w:rsidRDefault="00C967C9"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Pieddepage"/>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4144" w14:textId="77777777" w:rsidR="00C967C9" w:rsidRDefault="00C967C9" w:rsidP="00707738">
      <w:pPr>
        <w:spacing w:after="0" w:line="240" w:lineRule="auto"/>
      </w:pPr>
      <w:r>
        <w:separator/>
      </w:r>
    </w:p>
  </w:footnote>
  <w:footnote w:type="continuationSeparator" w:id="0">
    <w:p w14:paraId="5133D5E1" w14:textId="77777777" w:rsidR="00C967C9" w:rsidRDefault="00C967C9" w:rsidP="00707738">
      <w:pPr>
        <w:spacing w:after="0" w:line="240" w:lineRule="auto"/>
      </w:pPr>
      <w:r>
        <w:continuationSeparator/>
      </w:r>
    </w:p>
  </w:footnote>
  <w:footnote w:id="1">
    <w:p w14:paraId="5BF82E71" w14:textId="77777777" w:rsidR="009C41BB" w:rsidRDefault="009C41BB" w:rsidP="009C41BB">
      <w:pPr>
        <w:pStyle w:val="Notedebasdepage"/>
      </w:pPr>
      <w:r>
        <w:rPr>
          <w:rStyle w:val="Appelnotedebasdep"/>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En-tte"/>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644" w:hanging="360"/>
      </w:pPr>
    </w:lvl>
    <w:lvl w:ilvl="1" w:tplc="08090017">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45FC9"/>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71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053E"/>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57A3"/>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5D62"/>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E96"/>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2056"/>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973E2"/>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967C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57E2"/>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34A4"/>
    <w:rsid w:val="00F63F39"/>
    <w:rsid w:val="00F65CBF"/>
    <w:rsid w:val="00F714DB"/>
    <w:rsid w:val="00F73457"/>
    <w:rsid w:val="00F74076"/>
    <w:rsid w:val="00F75823"/>
    <w:rsid w:val="00F75BD5"/>
    <w:rsid w:val="00F7785F"/>
    <w:rsid w:val="00F80196"/>
    <w:rsid w:val="00F8055A"/>
    <w:rsid w:val="00F871C8"/>
    <w:rsid w:val="00F87743"/>
    <w:rsid w:val="00F90DA1"/>
    <w:rsid w:val="00F91BA1"/>
    <w:rsid w:val="00F9382E"/>
    <w:rsid w:val="00F94191"/>
    <w:rsid w:val="00F94B5B"/>
    <w:rsid w:val="00F966F6"/>
    <w:rsid w:val="00FA0141"/>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3EF4"/>
    <w:rsid w:val="00FE62C5"/>
    <w:rsid w:val="00FE74CC"/>
    <w:rsid w:val="00FF052F"/>
    <w:rsid w:val="00FF05AC"/>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7738"/>
    <w:pPr>
      <w:tabs>
        <w:tab w:val="center" w:pos="4513"/>
        <w:tab w:val="right" w:pos="9026"/>
      </w:tabs>
      <w:spacing w:after="0" w:line="240" w:lineRule="auto"/>
    </w:pPr>
  </w:style>
  <w:style w:type="character" w:customStyle="1" w:styleId="En-tteCar">
    <w:name w:val="En-tête Car"/>
    <w:basedOn w:val="Policepardfaut"/>
    <w:link w:val="En-tte"/>
    <w:uiPriority w:val="99"/>
    <w:rsid w:val="00707738"/>
  </w:style>
  <w:style w:type="paragraph" w:styleId="Pieddepage">
    <w:name w:val="footer"/>
    <w:basedOn w:val="Normal"/>
    <w:link w:val="PieddepageCar"/>
    <w:uiPriority w:val="99"/>
    <w:unhideWhenUsed/>
    <w:rsid w:val="0070773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07738"/>
  </w:style>
  <w:style w:type="paragraph" w:styleId="Textedebulles">
    <w:name w:val="Balloon Text"/>
    <w:basedOn w:val="Normal"/>
    <w:link w:val="TextedebullesCar"/>
    <w:uiPriority w:val="99"/>
    <w:semiHidden/>
    <w:unhideWhenUsed/>
    <w:rsid w:val="007077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7738"/>
    <w:rPr>
      <w:rFonts w:ascii="Tahoma" w:hAnsi="Tahoma" w:cs="Tahoma"/>
      <w:sz w:val="16"/>
      <w:szCs w:val="16"/>
    </w:rPr>
  </w:style>
  <w:style w:type="table" w:styleId="Grilledutableau">
    <w:name w:val="Table Grid"/>
    <w:basedOn w:val="Tableau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61F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1F7C"/>
    <w:rPr>
      <w:sz w:val="20"/>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basedOn w:val="Policepardfau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Paragraphedeliste">
    <w:name w:val="List Paragraph"/>
    <w:aliases w:val="Paragraphe EI,Paragraphe de liste1,EC,List Paragraph_Sections,Dot pt,List Paragraph1,Colorful List - Accent 11,No Spacing1,List Paragraph Char Char Char,Indicator Text,Numbered Para 1,Bullet 1,F5 List Paragraph,Bullet Points,3"/>
    <w:basedOn w:val="Normal"/>
    <w:link w:val="ParagraphedelisteCar"/>
    <w:uiPriority w:val="34"/>
    <w:qFormat/>
    <w:rsid w:val="008057FF"/>
    <w:pPr>
      <w:ind w:left="720"/>
      <w:contextualSpacing/>
    </w:pPr>
  </w:style>
  <w:style w:type="character" w:styleId="Marquedecommentaire">
    <w:name w:val="annotation reference"/>
    <w:basedOn w:val="Policepardfaut"/>
    <w:uiPriority w:val="99"/>
    <w:semiHidden/>
    <w:unhideWhenUsed/>
    <w:rsid w:val="009A3551"/>
    <w:rPr>
      <w:sz w:val="16"/>
      <w:szCs w:val="16"/>
    </w:rPr>
  </w:style>
  <w:style w:type="paragraph" w:styleId="Commentaire">
    <w:name w:val="annotation text"/>
    <w:basedOn w:val="Normal"/>
    <w:link w:val="CommentaireCar"/>
    <w:uiPriority w:val="99"/>
    <w:unhideWhenUsed/>
    <w:rsid w:val="009A3551"/>
    <w:pPr>
      <w:spacing w:line="240" w:lineRule="auto"/>
    </w:pPr>
    <w:rPr>
      <w:sz w:val="20"/>
      <w:szCs w:val="20"/>
    </w:rPr>
  </w:style>
  <w:style w:type="character" w:customStyle="1" w:styleId="CommentaireCar">
    <w:name w:val="Commentaire Car"/>
    <w:basedOn w:val="Policepardfaut"/>
    <w:link w:val="Commentaire"/>
    <w:uiPriority w:val="99"/>
    <w:rsid w:val="009A3551"/>
    <w:rPr>
      <w:sz w:val="20"/>
      <w:szCs w:val="20"/>
    </w:rPr>
  </w:style>
  <w:style w:type="paragraph" w:styleId="Objetducommentaire">
    <w:name w:val="annotation subject"/>
    <w:basedOn w:val="Commentaire"/>
    <w:next w:val="Commentaire"/>
    <w:link w:val="ObjetducommentaireCar"/>
    <w:uiPriority w:val="99"/>
    <w:semiHidden/>
    <w:unhideWhenUsed/>
    <w:rsid w:val="009A3551"/>
    <w:rPr>
      <w:b/>
      <w:bCs/>
    </w:rPr>
  </w:style>
  <w:style w:type="character" w:customStyle="1" w:styleId="ObjetducommentaireCar">
    <w:name w:val="Objet du commentaire Car"/>
    <w:basedOn w:val="CommentaireCar"/>
    <w:link w:val="Objetducommentaire"/>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ParagraphedelisteCar">
    <w:name w:val="Paragraphe de liste Car"/>
    <w:aliases w:val="Paragraphe EI Car,Paragraphe de liste1 Car,EC Car,List Paragraph_Sections Car,Dot pt Car,List Paragraph1 Car,Colorful List - Accent 11 Car,No Spacing1 Car,List Paragraph Char Char Char Car,Indicator Text Car,Numbered Para 1 Car"/>
    <w:basedOn w:val="Policepardfaut"/>
    <w:link w:val="Paragraphedeliste"/>
    <w:uiPriority w:val="34"/>
    <w:qFormat/>
    <w:locked/>
    <w:rsid w:val="00D36E67"/>
  </w:style>
  <w:style w:type="paragraph" w:styleId="Titre">
    <w:name w:val="Title"/>
    <w:basedOn w:val="Normal"/>
    <w:next w:val="Normal"/>
    <w:link w:val="TitreC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reCar">
    <w:name w:val="Titre Car"/>
    <w:basedOn w:val="Policepardfaut"/>
    <w:link w:val="Titr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vision">
    <w:name w:val="Revision"/>
    <w:hidden/>
    <w:uiPriority w:val="99"/>
    <w:semiHidden/>
    <w:rsid w:val="00D1763F"/>
    <w:pPr>
      <w:spacing w:after="0" w:line="240" w:lineRule="auto"/>
    </w:pPr>
  </w:style>
  <w:style w:type="character" w:styleId="Lienhypertextesuivivisit">
    <w:name w:val="FollowedHyperlink"/>
    <w:basedOn w:val="Policepardfau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Policepardfau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Policepardfau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Policepardfaut"/>
    <w:link w:val="HeaderFoot"/>
    <w:rsid w:val="005418F4"/>
    <w:rPr>
      <w:rFonts w:ascii="Arial" w:eastAsiaTheme="minorEastAsia" w:hAnsi="Arial" w:cs="Arial"/>
      <w:color w:val="001B4F"/>
      <w:sz w:val="16"/>
      <w:szCs w:val="16"/>
    </w:rPr>
  </w:style>
  <w:style w:type="character" w:styleId="Mentionnonrsolue">
    <w:name w:val="Unresolved Mention"/>
    <w:basedOn w:val="Policepardfau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Policepardfau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2.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5.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JC ESAs letter 2023</Template>
  <TotalTime>150</TotalTime>
  <Pages>1</Pages>
  <Words>3210</Words>
  <Characters>17661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Claire Meunier</cp:lastModifiedBy>
  <cp:revision>7</cp:revision>
  <cp:lastPrinted>2022-02-14T13:26:00Z</cp:lastPrinted>
  <dcterms:created xsi:type="dcterms:W3CDTF">2023-06-26T13:39:00Z</dcterms:created>
  <dcterms:modified xsi:type="dcterms:W3CDTF">2023-06-29T16:48:00Z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