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Collegamentoipertestual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Collegamentoipertestual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Collegamentoipertestual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1E629C50" w:rsidR="005418F4" w:rsidRPr="005418F4" w:rsidRDefault="00BD136D" w:rsidP="005418F4">
                <w:pPr>
                  <w:spacing w:after="250"/>
                  <w:rPr>
                    <w:rFonts w:ascii="Arial" w:eastAsiaTheme="minorEastAsia" w:hAnsi="Arial" w:cs="Arial"/>
                    <w:color w:val="808080"/>
                    <w:szCs w:val="20"/>
                  </w:rPr>
                </w:pPr>
                <w:r>
                  <w:rPr>
                    <w:rFonts w:ascii="Arial" w:eastAsiaTheme="minorEastAsia" w:hAnsi="Arial" w:cs="Arial"/>
                    <w:color w:val="808080"/>
                    <w:szCs w:val="20"/>
                  </w:rPr>
                  <w:t>Italian Banking Association</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2B411404" w:rsidR="005418F4" w:rsidRPr="005418F4" w:rsidRDefault="009C034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D136D">
                  <w:rPr>
                    <w:rFonts w:ascii="Arial" w:eastAsiaTheme="minorEastAsia" w:hAnsi="Arial" w:cs="Arial"/>
                    <w:color w:val="1A1A1A" w:themeColor="background1" w:themeShade="1A"/>
                    <w:szCs w:val="20"/>
                  </w:rPr>
                  <w:t>Banking sector</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71B24C0A" w:rsidR="005418F4" w:rsidRPr="005418F4" w:rsidRDefault="00BD136D"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06F01FDD" w:rsidR="005418F4" w:rsidRPr="005418F4" w:rsidRDefault="00BD136D"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Italy</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34D326D2" w14:textId="13F6A8FF" w:rsidR="003870CD" w:rsidRDefault="009C41BB" w:rsidP="009C41BB">
      <w:r>
        <w:t>&lt;ESMA_QUESTION_SFDR_1</w:t>
      </w:r>
      <w:r w:rsidR="00F5441A">
        <w:t>&gt;</w:t>
      </w:r>
    </w:p>
    <w:p w14:paraId="38FDF3EC" w14:textId="77777777" w:rsidR="00F5441A" w:rsidRDefault="00F5441A" w:rsidP="00F5441A">
      <w:pPr>
        <w:jc w:val="both"/>
      </w:pPr>
      <w:permStart w:id="5929778" w:edGrp="everyone"/>
      <w:r>
        <w:t>In principle, we agree with the proposal to extend the list of social PAI indicators with a view to achieving greater alignment between SFDR and Taxonomy.</w:t>
      </w:r>
    </w:p>
    <w:p w14:paraId="0183670D" w14:textId="77777777" w:rsidR="00F5441A" w:rsidRDefault="00F5441A" w:rsidP="00F5441A">
      <w:pPr>
        <w:jc w:val="both"/>
      </w:pPr>
      <w:r>
        <w:t>However, we must remember that the availability of information from info providers is still scarce. We also doubt whether it is difficult to calculate these new indicators, given that this requires information on companies, which are the last link in the chain. Only when information on companies will be available with non-financial reporting and, therefore, when the CSRD will make it mandatory.</w:t>
      </w:r>
    </w:p>
    <w:p w14:paraId="291507AF" w14:textId="77777777" w:rsidR="00F5441A" w:rsidRDefault="00F5441A" w:rsidP="00F5441A">
      <w:pPr>
        <w:jc w:val="both"/>
      </w:pPr>
      <w:r>
        <w:t>Where it is possible to find information in non-financial reporting according to international standards, it is possible to calculate PAI, otherwise it is difficult to find the information and therefore procedures for calculating PAI. The approach can only be bottom-up.</w:t>
      </w:r>
    </w:p>
    <w:p w14:paraId="26D493A0" w14:textId="77777777" w:rsidR="00F5441A" w:rsidRDefault="00F5441A" w:rsidP="00F5441A">
      <w:pPr>
        <w:jc w:val="both"/>
      </w:pPr>
      <w:r>
        <w:t>Therefore, considering that the first CSRD report will refer to 2024 and published in 2025, the application of these changes cannot take place before 2025. It would be better to postpone it to 2026 or later, according to the ESRS applications’ phase in envisaged by the Commission (currently under consultation).</w:t>
      </w:r>
    </w:p>
    <w:p w14:paraId="4430384E" w14:textId="77777777" w:rsidR="00F5441A" w:rsidRDefault="00F5441A" w:rsidP="00F5441A">
      <w:pPr>
        <w:jc w:val="both"/>
      </w:pPr>
      <w:r>
        <w:t>In addition, we have two concerns.</w:t>
      </w:r>
    </w:p>
    <w:p w14:paraId="08ECDBFF" w14:textId="77777777" w:rsidR="00F5441A" w:rsidRDefault="00F5441A" w:rsidP="00F5441A">
      <w:pPr>
        <w:jc w:val="both"/>
      </w:pPr>
      <w:r>
        <w:t>The first one relates to the fact that it would remain in any case difficult to retrieve data for non-CSRD investments because:</w:t>
      </w:r>
    </w:p>
    <w:p w14:paraId="01C084BB" w14:textId="65888E63" w:rsidR="00F5441A" w:rsidRDefault="00F5441A" w:rsidP="007F299C">
      <w:pPr>
        <w:pStyle w:val="Paragrafoelenco"/>
        <w:numPr>
          <w:ilvl w:val="0"/>
          <w:numId w:val="53"/>
        </w:numPr>
        <w:ind w:left="714" w:hanging="357"/>
        <w:jc w:val="both"/>
      </w:pPr>
      <w:r>
        <w:lastRenderedPageBreak/>
        <w:t>investments with a social objective are often linked to investments in developing countries and therefore they are likely to be non-</w:t>
      </w:r>
      <w:proofErr w:type="gramStart"/>
      <w:r>
        <w:t>CSRD;</w:t>
      </w:r>
      <w:proofErr w:type="gramEnd"/>
    </w:p>
    <w:p w14:paraId="51B0AB29" w14:textId="29BB9368" w:rsidR="00F5441A" w:rsidRDefault="00F5441A" w:rsidP="007F299C">
      <w:pPr>
        <w:pStyle w:val="Paragrafoelenco"/>
        <w:numPr>
          <w:ilvl w:val="0"/>
          <w:numId w:val="53"/>
        </w:numPr>
        <w:ind w:left="714" w:hanging="357"/>
        <w:jc w:val="both"/>
      </w:pPr>
      <w:r>
        <w:t>not all companies will have to report according to CSRD.</w:t>
      </w:r>
    </w:p>
    <w:p w14:paraId="05F79A80" w14:textId="236D9630" w:rsidR="00F5441A" w:rsidRDefault="00F5441A" w:rsidP="009C41BB">
      <w:r>
        <w:t>The second one relates to the fact that as far as the Social Taxonomy is developed there will be not objective and homogenous data to be used to calculate and analyse social PAI indicators.</w:t>
      </w:r>
    </w:p>
    <w:permEnd w:id="5929778"/>
    <w:p w14:paraId="48EE2711" w14:textId="3A435808" w:rsidR="009C41BB" w:rsidRDefault="009C41BB" w:rsidP="004A30BF">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2C307CD9" w:rsidR="009C41BB" w:rsidRDefault="007B2DA9" w:rsidP="007B2DA9">
      <w:pPr>
        <w:jc w:val="both"/>
      </w:pPr>
      <w:permStart w:id="1140268191" w:edGrp="everyone"/>
      <w:r w:rsidRPr="007B2DA9">
        <w:t>It is difficult to hypothesize other social PAI indicators in the absence of the Social Taxonomy. A reference can be provided by the ESRS “social”, according to the phase in envisaged by the Commission (currently under consultation).</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Pr="005F5FB0" w:rsidRDefault="009C41BB" w:rsidP="009C41BB">
      <w:pPr>
        <w:rPr>
          <w:lang w:val="it-IT"/>
        </w:rPr>
      </w:pPr>
      <w:r w:rsidRPr="005F5FB0">
        <w:rPr>
          <w:lang w:val="it-IT"/>
        </w:rPr>
        <w:t>&lt;ESMA_QUESTION_SFDR_3&gt;</w:t>
      </w:r>
    </w:p>
    <w:p w14:paraId="14E83516" w14:textId="0339CDD0" w:rsidR="00333605" w:rsidRPr="005F5FB0" w:rsidRDefault="00333605" w:rsidP="00333605">
      <w:pPr>
        <w:autoSpaceDE w:val="0"/>
        <w:autoSpaceDN w:val="0"/>
        <w:adjustRightInd w:val="0"/>
        <w:jc w:val="both"/>
        <w:rPr>
          <w:rFonts w:ascii="Calibri" w:hAnsi="Calibri" w:cs="Calibri"/>
          <w:bCs/>
          <w:lang w:val="it-IT"/>
        </w:rPr>
      </w:pPr>
      <w:permStart w:id="1930569352" w:edGrp="everyone"/>
      <w:r w:rsidRPr="005F5FB0">
        <w:rPr>
          <w:rFonts w:ascii="Calibri" w:hAnsi="Calibri" w:cs="Calibri"/>
          <w:bCs/>
          <w:lang w:val="it-IT"/>
        </w:rPr>
        <w:t>N.A.</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Pr="005F5FB0" w:rsidRDefault="009C41BB" w:rsidP="009C41BB">
      <w:pPr>
        <w:rPr>
          <w:lang w:val="it-IT"/>
        </w:rPr>
      </w:pPr>
      <w:r w:rsidRPr="005F5FB0">
        <w:rPr>
          <w:lang w:val="it-IT"/>
        </w:rPr>
        <w:t>&lt;ESMA_QUESTION_SFDR_4&gt;</w:t>
      </w:r>
    </w:p>
    <w:p w14:paraId="191F2CF6" w14:textId="2AD048A9" w:rsidR="009C41BB" w:rsidRPr="005F5FB0" w:rsidRDefault="00333605" w:rsidP="009C41BB">
      <w:pPr>
        <w:rPr>
          <w:lang w:val="it-IT"/>
        </w:rPr>
      </w:pPr>
      <w:permStart w:id="2056993415" w:edGrp="everyone"/>
      <w:r w:rsidRPr="005F5FB0">
        <w:rPr>
          <w:lang w:val="it-IT"/>
        </w:rPr>
        <w:t>N.A.</w:t>
      </w:r>
    </w:p>
    <w:permEnd w:id="2056993415"/>
    <w:p w14:paraId="5C0CA950" w14:textId="77777777" w:rsidR="009C41BB" w:rsidRPr="006009C0" w:rsidRDefault="009C41BB" w:rsidP="009C41BB">
      <w:pPr>
        <w:rPr>
          <w:lang w:val="it-IT"/>
        </w:rPr>
      </w:pPr>
      <w:r w:rsidRPr="006009C0">
        <w:rPr>
          <w:lang w:val="it-IT"/>
        </w:rPr>
        <w:t>&lt;ESMA_QUESTION_SFDR_4&gt;</w:t>
      </w:r>
    </w:p>
    <w:p w14:paraId="6CC85AFF" w14:textId="77777777" w:rsidR="009C41BB" w:rsidRPr="006009C0" w:rsidRDefault="009C41BB" w:rsidP="009C41BB">
      <w:pPr>
        <w:rPr>
          <w:lang w:val="it-IT"/>
        </w:rPr>
      </w:pPr>
    </w:p>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13DF3467" w14:textId="06206BBB" w:rsidR="00333605" w:rsidRPr="00333605" w:rsidRDefault="00333605" w:rsidP="00C75AFB">
      <w:pPr>
        <w:jc w:val="both"/>
        <w:rPr>
          <w:lang w:val="en-US"/>
        </w:rPr>
      </w:pPr>
      <w:permStart w:id="452221127" w:edGrp="everyone"/>
      <w:r w:rsidRPr="00333605">
        <w:rPr>
          <w:lang w:val="en-US"/>
        </w:rPr>
        <w:t xml:space="preserve">We agree with the ESAs' proposal to replace the UN Global Compact (UN GC) principles, particularly as regards PAI indicators #10 and #11 (respectively Violation of the UN Global Compact principles and OECD Guidelines for Multinational Enterprises and Lack of compliance processes and mechanisms to monitor compliance to the </w:t>
      </w:r>
      <w:proofErr w:type="gramStart"/>
      <w:r w:rsidRPr="00333605">
        <w:rPr>
          <w:lang w:val="en-US"/>
        </w:rPr>
        <w:t>aforementioned principles</w:t>
      </w:r>
      <w:proofErr w:type="gramEnd"/>
      <w:r w:rsidRPr="00333605">
        <w:rPr>
          <w:lang w:val="en-US"/>
        </w:rPr>
        <w:t>) with the UN Guiding Principles (UN GPs) and Rights at Work and the International Bill of Human Rights.</w:t>
      </w:r>
    </w:p>
    <w:p w14:paraId="5122D058" w14:textId="77777777" w:rsidR="00333605" w:rsidRPr="00333605" w:rsidRDefault="00333605" w:rsidP="00C75AFB">
      <w:pPr>
        <w:jc w:val="both"/>
        <w:rPr>
          <w:lang w:val="en-US"/>
        </w:rPr>
      </w:pPr>
      <w:r w:rsidRPr="00333605">
        <w:rPr>
          <w:lang w:val="en-US"/>
        </w:rPr>
        <w:t xml:space="preserve">We share the need to strengthen consistency with the EU Taxonomy Regulation, Art. 18, </w:t>
      </w:r>
      <w:proofErr w:type="gramStart"/>
      <w:r w:rsidRPr="00333605">
        <w:rPr>
          <w:lang w:val="en-US"/>
        </w:rPr>
        <w:t>with regard to</w:t>
      </w:r>
      <w:proofErr w:type="gramEnd"/>
      <w:r w:rsidRPr="00333605">
        <w:rPr>
          <w:lang w:val="en-US"/>
        </w:rPr>
        <w:t xml:space="preserve"> the minimum safeguard criteria that an economic activity must comply with in order to be classified as "environmentally sustainable".</w:t>
      </w:r>
    </w:p>
    <w:p w14:paraId="6C18469F" w14:textId="77777777" w:rsidR="00333605" w:rsidRPr="00333605" w:rsidRDefault="00333605" w:rsidP="00C75AFB">
      <w:pPr>
        <w:jc w:val="both"/>
        <w:rPr>
          <w:lang w:val="en-US"/>
        </w:rPr>
      </w:pPr>
      <w:r w:rsidRPr="00333605">
        <w:rPr>
          <w:lang w:val="en-US"/>
        </w:rPr>
        <w:t>Although the UN GPs have a narrower scope than the UN GC, focusing more on Human Rights, it is believed that some of the issues such as Environment and Corruption are adequately covered by the OECD Guidelines for Multinational Enterprises.</w:t>
      </w:r>
    </w:p>
    <w:p w14:paraId="7100C321" w14:textId="24D18FB8" w:rsidR="009C41BB" w:rsidRDefault="00333605" w:rsidP="00C75AFB">
      <w:pPr>
        <w:jc w:val="both"/>
      </w:pPr>
      <w:r w:rsidRPr="00333605">
        <w:rPr>
          <w:lang w:val="en-US"/>
        </w:rPr>
        <w:t xml:space="preserve">Whilst the UN GC reaches out directly to the business community on what priorities broader policy and strategic objectives should incorporate on a voluntary basis, the UN Guiding Principles focus on how to ensure a narrower set of priorities are </w:t>
      </w:r>
      <w:proofErr w:type="gramStart"/>
      <w:r w:rsidRPr="00333605">
        <w:rPr>
          <w:lang w:val="en-US"/>
        </w:rPr>
        <w:t>actually fulfilled</w:t>
      </w:r>
      <w:proofErr w:type="gramEnd"/>
      <w:r w:rsidRPr="00333605">
        <w:rPr>
          <w:lang w:val="en-US"/>
        </w:rPr>
        <w:t xml:space="preserve">. The UN GPs aim to fill lacunae which had not previously been properly addressed in practice and provide valuable direction and practical steps for those private sector </w:t>
      </w:r>
      <w:proofErr w:type="spellStart"/>
      <w:r w:rsidRPr="00333605">
        <w:rPr>
          <w:lang w:val="en-US"/>
        </w:rPr>
        <w:t>organisations</w:t>
      </w:r>
      <w:proofErr w:type="spellEnd"/>
      <w:r w:rsidRPr="00333605">
        <w:rPr>
          <w:lang w:val="en-US"/>
        </w:rPr>
        <w:t xml:space="preserve"> seeking to avoid being complicit in human rights abuses.</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35C126C8" w:rsidR="009C41BB" w:rsidRDefault="00DE0872" w:rsidP="00DE0872">
      <w:pPr>
        <w:jc w:val="both"/>
      </w:pPr>
      <w:permStart w:id="887372501" w:edGrp="everyone"/>
      <w:r w:rsidRPr="00DE0872">
        <w:t>Given the difficulty to collect data and information needed for the calculation of PAI indicators on social matters related to real estate assets, we support the solution to include those PAI indicators in the Annex I, Table III, so that FMPs can take advantage of the opt-in possibility.</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lastRenderedPageBreak/>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Pr="005F5FB0" w:rsidRDefault="009C41BB" w:rsidP="009C41BB">
      <w:pPr>
        <w:rPr>
          <w:lang w:val="it-IT"/>
        </w:rPr>
      </w:pPr>
      <w:r w:rsidRPr="005F5FB0">
        <w:rPr>
          <w:lang w:val="it-IT"/>
        </w:rPr>
        <w:t>&lt;ESMA_QUESTION_SFDR_7&gt;</w:t>
      </w:r>
    </w:p>
    <w:p w14:paraId="0F9A5495" w14:textId="168354D2" w:rsidR="009C41BB" w:rsidRPr="005F5FB0" w:rsidRDefault="003441B0" w:rsidP="00E00CD0">
      <w:pPr>
        <w:jc w:val="both"/>
        <w:rPr>
          <w:lang w:val="it-IT"/>
        </w:rPr>
      </w:pPr>
      <w:permStart w:id="1335120249" w:edGrp="everyone"/>
      <w:r w:rsidRPr="005F5FB0">
        <w:rPr>
          <w:rFonts w:cstheme="minorHAnsi"/>
          <w:bCs/>
          <w:lang w:val="it-IT"/>
        </w:rPr>
        <w:t>N.A.</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45FA82C0" w14:textId="79246184" w:rsidR="003441B0" w:rsidRPr="003441B0" w:rsidRDefault="003441B0" w:rsidP="003441B0">
      <w:pPr>
        <w:jc w:val="both"/>
        <w:rPr>
          <w:lang w:val="en-US"/>
        </w:rPr>
      </w:pPr>
      <w:permStart w:id="1288714632" w:edGrp="everyone"/>
      <w:r w:rsidRPr="003441B0">
        <w:rPr>
          <w:lang w:val="en-US"/>
        </w:rPr>
        <w:t>Currently, the definition of ‘current value of investment’ exposed in Annex I seems to be applying only to investee. It should be evaluated the provision of further details on how to practically calculate this value for each exposure (investees, sovereign issuers, real estate) and asset class (equity, debt, treasuries).</w:t>
      </w:r>
    </w:p>
    <w:p w14:paraId="09359FA4" w14:textId="77777777" w:rsidR="003441B0" w:rsidRPr="003441B0" w:rsidRDefault="003441B0" w:rsidP="003441B0">
      <w:pPr>
        <w:jc w:val="both"/>
        <w:rPr>
          <w:lang w:val="en-US"/>
        </w:rPr>
      </w:pPr>
      <w:r w:rsidRPr="003441B0">
        <w:rPr>
          <w:lang w:val="en-US"/>
        </w:rPr>
        <w:t>Moreover, we highlight that the use of the current value of the investment, calculated as the price of the individual investment at the end of the financial year multiplied by the quantity of investments, partially avoids the PAI under/overevaluation risk related to the market performance in the reference year. However, the use of the market value of the investment would represent the following advantages:</w:t>
      </w:r>
    </w:p>
    <w:p w14:paraId="693A1AC3" w14:textId="77777777" w:rsidR="003441B0" w:rsidRPr="003441B0" w:rsidRDefault="003441B0" w:rsidP="003441B0">
      <w:pPr>
        <w:rPr>
          <w:lang w:val="en-US"/>
        </w:rPr>
      </w:pPr>
      <w:r w:rsidRPr="003441B0">
        <w:rPr>
          <w:lang w:val="en-US"/>
        </w:rPr>
        <w:t>•</w:t>
      </w:r>
      <w:r w:rsidRPr="003441B0">
        <w:rPr>
          <w:lang w:val="en-US"/>
        </w:rPr>
        <w:tab/>
        <w:t xml:space="preserve">the use of a single methodology for different asset classes and exposure </w:t>
      </w:r>
      <w:proofErr w:type="gramStart"/>
      <w:r w:rsidRPr="003441B0">
        <w:rPr>
          <w:lang w:val="en-US"/>
        </w:rPr>
        <w:t>categories;</w:t>
      </w:r>
      <w:proofErr w:type="gramEnd"/>
    </w:p>
    <w:p w14:paraId="75218FEA" w14:textId="77777777" w:rsidR="003441B0" w:rsidRPr="003441B0" w:rsidRDefault="003441B0" w:rsidP="003441B0">
      <w:pPr>
        <w:ind w:left="720" w:hanging="720"/>
        <w:rPr>
          <w:lang w:val="en-US"/>
        </w:rPr>
      </w:pPr>
      <w:r w:rsidRPr="003441B0">
        <w:rPr>
          <w:lang w:val="en-US"/>
        </w:rPr>
        <w:t>•</w:t>
      </w:r>
      <w:r w:rsidRPr="003441B0">
        <w:rPr>
          <w:lang w:val="en-US"/>
        </w:rPr>
        <w:tab/>
        <w:t>less significant differences between PAI indicators’ values during the reference period aimed to monitoring and managing, and those published in the PAI Statement.</w:t>
      </w:r>
    </w:p>
    <w:p w14:paraId="668ACE9C" w14:textId="239B057C" w:rsidR="009C41BB" w:rsidRDefault="003441B0" w:rsidP="003441B0">
      <w:pPr>
        <w:jc w:val="both"/>
      </w:pPr>
      <w:r w:rsidRPr="003441B0">
        <w:rPr>
          <w:lang w:val="en-US"/>
        </w:rPr>
        <w:t xml:space="preserve">We also highlight that, </w:t>
      </w:r>
      <w:proofErr w:type="gramStart"/>
      <w:r w:rsidRPr="003441B0">
        <w:rPr>
          <w:lang w:val="en-US"/>
        </w:rPr>
        <w:t>due to the fact that</w:t>
      </w:r>
      <w:proofErr w:type="gramEnd"/>
      <w:r w:rsidRPr="003441B0">
        <w:rPr>
          <w:lang w:val="en-US"/>
        </w:rPr>
        <w:t xml:space="preserve"> companies’ financial year can be different from the reference period of the PAI Statement, the PAI under/overevaluation risk cannot be completely avoided.</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73D795BD" w14:textId="77777777" w:rsidR="0020086D" w:rsidRDefault="0020086D" w:rsidP="0020086D">
      <w:permStart w:id="2059607147" w:edGrp="everyone"/>
      <w:r>
        <w:t>To have greater clarity on the indicator formulas, please consider including in Annex I:</w:t>
      </w:r>
    </w:p>
    <w:p w14:paraId="30987955" w14:textId="06744B26" w:rsidR="0020086D" w:rsidRPr="0020086D" w:rsidRDefault="0020086D" w:rsidP="0020086D">
      <w:pPr>
        <w:pStyle w:val="Paragrafoelenco"/>
        <w:numPr>
          <w:ilvl w:val="0"/>
          <w:numId w:val="43"/>
        </w:numPr>
        <w:spacing w:line="240" w:lineRule="auto"/>
        <w:jc w:val="both"/>
        <w:rPr>
          <w:rFonts w:cstheme="minorHAnsi"/>
          <w:bCs/>
        </w:rPr>
      </w:pPr>
      <w:r w:rsidRPr="0020086D">
        <w:rPr>
          <w:rFonts w:cstheme="minorHAnsi"/>
          <w:bCs/>
        </w:rPr>
        <w:lastRenderedPageBreak/>
        <w:t>both formulas necessary to calculate the metrics based on the indicator "Hazardous waste and radioactive waste ratio"</w:t>
      </w:r>
    </w:p>
    <w:p w14:paraId="4D5F1AA0" w14:textId="6EBDE0C6" w:rsidR="009C41BB" w:rsidRDefault="0020086D" w:rsidP="0020086D">
      <w:pPr>
        <w:pStyle w:val="Paragrafoelenco"/>
        <w:numPr>
          <w:ilvl w:val="0"/>
          <w:numId w:val="43"/>
        </w:numPr>
        <w:spacing w:line="240" w:lineRule="auto"/>
        <w:jc w:val="both"/>
      </w:pPr>
      <w:r w:rsidRPr="0020086D">
        <w:rPr>
          <w:rFonts w:cstheme="minorHAnsi"/>
          <w:bCs/>
        </w:rPr>
        <w:t>the formulas</w:t>
      </w:r>
      <w:r>
        <w:t xml:space="preserve"> for the remaining indicators in Table III.</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02210DC4" w:rsidR="009C41BB" w:rsidRDefault="00A07E36" w:rsidP="009C41BB">
      <w:permStart w:id="1591695117" w:edGrp="everyone"/>
      <w:r>
        <w:rPr>
          <w:lang w:val="en-US"/>
        </w:rPr>
        <w:t>P</w:t>
      </w:r>
      <w:r w:rsidRPr="00952CCF">
        <w:rPr>
          <w:lang w:val="en-US"/>
        </w:rPr>
        <w:t>lease see answer to question no.</w:t>
      </w:r>
      <w:r>
        <w:rPr>
          <w:lang w:val="en-US"/>
        </w:rPr>
        <w:t xml:space="preserve"> 9.</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2BCCBFEE" w:rsidR="009C41BB" w:rsidRPr="00FC3CBA" w:rsidRDefault="00A6109F" w:rsidP="00FC3CBA">
      <w:pPr>
        <w:jc w:val="both"/>
        <w:rPr>
          <w:rFonts w:cstheme="minorHAnsi"/>
        </w:rPr>
      </w:pPr>
      <w:permStart w:id="1653823566" w:edGrp="everyone"/>
      <w:r w:rsidRPr="00A6109F">
        <w:rPr>
          <w:rFonts w:cstheme="minorHAnsi"/>
        </w:rPr>
        <w:t>To deal with the volume of data needed and the necessity to automate the data treatment and management, it is common to rely on specialised info-providers. This mandatory disclosure could be misleading for a non-professional investor that, for example, could interpret as negative a low value and therefore could inopportunely give a negative assessment of the information provided.</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60928730" w14:textId="77777777" w:rsidR="00C06476" w:rsidRDefault="00C06476" w:rsidP="00C06476">
      <w:pPr>
        <w:jc w:val="both"/>
      </w:pPr>
      <w:permStart w:id="684359195" w:edGrp="everyone"/>
      <w:r>
        <w:t xml:space="preserve">We agree that this approach is relevant for most </w:t>
      </w:r>
      <w:proofErr w:type="gramStart"/>
      <w:r>
        <w:t>PAIs</w:t>
      </w:r>
      <w:proofErr w:type="gramEnd"/>
      <w:r>
        <w:t xml:space="preserve"> but we consider that this proposal is not logical for all the PAIs. </w:t>
      </w:r>
    </w:p>
    <w:p w14:paraId="2484B5CB" w14:textId="77777777" w:rsidR="00C06476" w:rsidRDefault="00C06476" w:rsidP="00C06476">
      <w:pPr>
        <w:jc w:val="both"/>
      </w:pPr>
      <w:r>
        <w:t>As an illustration, if there is a gender pay gap of 20% for 50% of the portfolio and 50% cash, it's not the same at all to have a gender pay gap of 10% for 100% of the portfolio.</w:t>
      </w:r>
    </w:p>
    <w:p w14:paraId="16797F57" w14:textId="77777777" w:rsidR="00C06476" w:rsidRDefault="00C06476" w:rsidP="00C06476">
      <w:pPr>
        <w:jc w:val="both"/>
      </w:pPr>
      <w:r>
        <w:lastRenderedPageBreak/>
        <w:t>The first approach proposed in consultation (‘all investments’ covering all the investments made by the financial market participant) could potentially lead to a low comparability, both with regard to the performance of a single FMP over time and between different FMPs; moreover, from our initial analysis, it seems to lead to lower values than the second (‘All investments’ covering investments in the particular type of entity or real estate asset causing the adverse impact). Although the approach that focuses PAI calculations on the relevant categories of exposures (investee, supranational and supranational companies, real estate assets) leads to greater calculation complexity for MFPs (due to a multiplication of PAIs) and potentially higher values (therefore negative for the FMP), a series of advantages can be identified that could also lead to a greater transparency and comprehensibility of the indicators to the Market. In particular:</w:t>
      </w:r>
    </w:p>
    <w:p w14:paraId="4E16EB05" w14:textId="2F8D3F75" w:rsidR="00C06476" w:rsidRDefault="00C06476" w:rsidP="00C06476">
      <w:pPr>
        <w:pStyle w:val="Paragrafoelenco"/>
        <w:numPr>
          <w:ilvl w:val="1"/>
          <w:numId w:val="43"/>
        </w:numPr>
        <w:ind w:left="714" w:hanging="357"/>
        <w:jc w:val="both"/>
      </w:pPr>
      <w:r>
        <w:t>consistency between the numerator and the denominator of the formula is ensured without diluting the values of the PAI indicator, considering investments for which it is not relevant to the denominator (for example, including in the denominator investments in sovereign and supranational securities for indicators applicable to investments in investee companies</w:t>
      </w:r>
      <w:proofErr w:type="gramStart"/>
      <w:r>
        <w:t>);</w:t>
      </w:r>
      <w:proofErr w:type="gramEnd"/>
    </w:p>
    <w:p w14:paraId="6043046B" w14:textId="733BCB05" w:rsidR="00C06476" w:rsidRDefault="00C06476" w:rsidP="00C06476">
      <w:pPr>
        <w:pStyle w:val="Paragrafoelenco"/>
        <w:numPr>
          <w:ilvl w:val="1"/>
          <w:numId w:val="43"/>
        </w:numPr>
        <w:ind w:left="714" w:hanging="357"/>
        <w:jc w:val="both"/>
      </w:pPr>
      <w:r>
        <w:t>the significance of the PAI indicators is preserved. For example, the indicators "gender pay gap" and "gender diversity in management and supervisory bodies" represent respectively the weighted average of the percentage difference in pay between men and women and the percentage of men on the boards of directors of FMP investee companies. If investments in sovereign issuers were also included in the denominator (for which these indicators are not relevant and therefore would not be included in the numerator), the reported value would lose its meaning and, other things being equal, would be inferior.</w:t>
      </w:r>
    </w:p>
    <w:p w14:paraId="4A84C19D" w14:textId="77777777" w:rsidR="00C06476" w:rsidRDefault="00C06476" w:rsidP="00C06476">
      <w:pPr>
        <w:jc w:val="both"/>
      </w:pPr>
      <w:r>
        <w:t>Therefore, while monitoring PAI calculated on all assets can give an overview of the macro trends of asset managers and at, aggregate level, give indication of the evolution of the financial system, calculating Pai at asset class level can give a more meaningful indication of the actual effort made by the various FMPs to curb PAIs.</w:t>
      </w:r>
    </w:p>
    <w:p w14:paraId="070CBD69" w14:textId="62B0FCC9" w:rsidR="009C41BB" w:rsidRDefault="00C06476" w:rsidP="00C06476">
      <w:pPr>
        <w:jc w:val="both"/>
      </w:pPr>
      <w:r>
        <w:t>As a result, it would be more relevant to have a more targeted and differentiated approach depending on the nature of the PAI.</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354CA7DD" w14:textId="77777777" w:rsidR="006659A4" w:rsidRDefault="006659A4" w:rsidP="006659A4">
      <w:pPr>
        <w:jc w:val="both"/>
      </w:pPr>
      <w:permStart w:id="1426525783" w:edGrp="everyone"/>
      <w:r>
        <w:t xml:space="preserve">We welcome the purpose of aligning to CSRD ESRS and the proposal to include information on the value chains of investee companies only where readily available, </w:t>
      </w:r>
      <w:proofErr w:type="gramStart"/>
      <w:r>
        <w:t>in order to</w:t>
      </w:r>
      <w:proofErr w:type="gramEnd"/>
      <w:r>
        <w:t xml:space="preserve"> avoid excessive efforts in the collection of such information. However, it should also be noted that the inclusion of information on the value chains of the investee companies could make it more difficult to compare the values </w:t>
      </w:r>
      <w:r>
        <w:lastRenderedPageBreak/>
        <w:t>reported among the MFPs as the availability of this information for each individual investee company would depend on:</w:t>
      </w:r>
    </w:p>
    <w:p w14:paraId="58D08899" w14:textId="1A35CD70" w:rsidR="006659A4" w:rsidRDefault="006659A4" w:rsidP="006659A4">
      <w:pPr>
        <w:pStyle w:val="Paragrafoelenco"/>
        <w:numPr>
          <w:ilvl w:val="1"/>
          <w:numId w:val="43"/>
        </w:numPr>
        <w:ind w:left="714" w:hanging="357"/>
        <w:jc w:val="both"/>
      </w:pPr>
      <w:r>
        <w:t xml:space="preserve">the type of company in the portfolio (subject/not subject to CSRD, with </w:t>
      </w:r>
      <w:proofErr w:type="gramStart"/>
      <w:r>
        <w:t>more or less 250</w:t>
      </w:r>
      <w:proofErr w:type="gramEnd"/>
      <w:r>
        <w:t xml:space="preserve"> employees, etc.).</w:t>
      </w:r>
    </w:p>
    <w:p w14:paraId="07B8A78C" w14:textId="2F73B2DA" w:rsidR="009C41BB" w:rsidRDefault="006659A4" w:rsidP="006659A4">
      <w:pPr>
        <w:pStyle w:val="Paragrafoelenco"/>
        <w:numPr>
          <w:ilvl w:val="1"/>
          <w:numId w:val="43"/>
        </w:numPr>
        <w:ind w:left="714" w:hanging="357"/>
        <w:jc w:val="both"/>
      </w:pPr>
      <w:r>
        <w:t xml:space="preserve">for certain mandatory indicators, whether the information is relevant </w:t>
      </w:r>
      <w:proofErr w:type="gramStart"/>
      <w:r>
        <w:t>on the basis of</w:t>
      </w:r>
      <w:proofErr w:type="gramEnd"/>
      <w:r>
        <w:t xml:space="preserve"> the materiality assessment of the investee.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B87C380" w:rsidR="009C41BB" w:rsidRDefault="00617E96" w:rsidP="00617E96">
      <w:pPr>
        <w:jc w:val="both"/>
      </w:pPr>
      <w:permStart w:id="1609050593" w:edGrp="everyone"/>
      <w:r w:rsidRPr="00617E96">
        <w:t xml:space="preserve">To ensure clarity and avoid different interpretative approach by FMPs, we deem necessary further guidance on how derivatives without investee companies as underlying asset - therefore, for example derivatives on indexes and commodities, credit indexes, sovereign </w:t>
      </w:r>
      <w:proofErr w:type="gramStart"/>
      <w:r w:rsidRPr="00617E96">
        <w:t>issuers</w:t>
      </w:r>
      <w:proofErr w:type="gramEnd"/>
      <w:r w:rsidRPr="00617E96">
        <w:t xml:space="preserve"> or supranational entities - should be treated in formulas for the calculation of PAI. Without this clarification, we propose the solution to temporarily exclude derivatives both from numerator and denominator of the formulas.</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77941745" w14:textId="77777777" w:rsidR="001B674B" w:rsidRDefault="001B674B" w:rsidP="001B674B">
      <w:pPr>
        <w:jc w:val="both"/>
      </w:pPr>
      <w:permStart w:id="8979202" w:edGrp="everyone"/>
      <w:r>
        <w:t xml:space="preserve">In principle, we agree with the objective sought by the proposed amendments to improve the comparability of PAI data by clarifying the way they are calculated and, therefore, the composition of the relevant numerators and denominators. We highlight the need to explicitly indicate that the proposed approach should be applied to all asset classes (for example, corporate bonds) and not only to equity and sovereign exposures, </w:t>
      </w:r>
      <w:proofErr w:type="gramStart"/>
      <w:r>
        <w:t>in order to</w:t>
      </w:r>
      <w:proofErr w:type="gramEnd"/>
      <w:r>
        <w:t xml:space="preserve"> avoid possible different interpretations or doubts by FMP.</w:t>
      </w:r>
    </w:p>
    <w:p w14:paraId="14A8C247" w14:textId="48612DF9" w:rsidR="009C41BB" w:rsidRDefault="001B674B" w:rsidP="001B674B">
      <w:pPr>
        <w:jc w:val="both"/>
      </w:pPr>
      <w:r>
        <w:t xml:space="preserve">However, it is difficult </w:t>
      </w:r>
      <w:proofErr w:type="gramStart"/>
      <w:r>
        <w:t>at the moment</w:t>
      </w:r>
      <w:proofErr w:type="gramEnd"/>
      <w:r>
        <w:t xml:space="preserve"> to carefully assess the impacts.</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lastRenderedPageBreak/>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603C9599" w:rsidR="009C41BB" w:rsidRDefault="00447BED" w:rsidP="009C41BB">
      <w:permStart w:id="1228814638" w:edGrp="everyone"/>
      <w:r>
        <w:t>Please see answer to question no. 15.</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203816">
      <w:pPr>
        <w:jc w:val="both"/>
      </w:pPr>
      <w:r>
        <w:t>&lt;ESMA_QUESTION_SFDR_17&gt;</w:t>
      </w:r>
    </w:p>
    <w:p w14:paraId="7BFCC0D3" w14:textId="77777777" w:rsidR="00203816" w:rsidRDefault="00203816" w:rsidP="00203816">
      <w:pPr>
        <w:jc w:val="both"/>
      </w:pPr>
      <w:permStart w:id="791154279" w:edGrp="everyone"/>
      <w:r>
        <w:t xml:space="preserve">It should be noted that the approach to DNSH should </w:t>
      </w:r>
      <w:proofErr w:type="gramStart"/>
      <w:r>
        <w:t>take into account</w:t>
      </w:r>
      <w:proofErr w:type="gramEnd"/>
      <w:r>
        <w:t xml:space="preserve"> the following aspects:</w:t>
      </w:r>
    </w:p>
    <w:p w14:paraId="2A7E5198" w14:textId="58E3583B" w:rsidR="00203816" w:rsidRDefault="00203816" w:rsidP="00203816">
      <w:pPr>
        <w:pStyle w:val="Paragrafoelenco"/>
        <w:numPr>
          <w:ilvl w:val="1"/>
          <w:numId w:val="43"/>
        </w:numPr>
        <w:ind w:left="714" w:hanging="357"/>
        <w:jc w:val="both"/>
      </w:pPr>
      <w:r>
        <w:t xml:space="preserve">the need for methodological guidance by the European authorities or legislator to ensure consistency at European </w:t>
      </w:r>
      <w:proofErr w:type="gramStart"/>
      <w:r>
        <w:t>level;</w:t>
      </w:r>
      <w:proofErr w:type="gramEnd"/>
    </w:p>
    <w:p w14:paraId="4B0D0045" w14:textId="663C5A0E" w:rsidR="00203816" w:rsidRDefault="00203816" w:rsidP="00203816">
      <w:pPr>
        <w:pStyle w:val="Paragrafoelenco"/>
        <w:numPr>
          <w:ilvl w:val="1"/>
          <w:numId w:val="43"/>
        </w:numPr>
        <w:ind w:left="714" w:hanging="357"/>
        <w:jc w:val="both"/>
      </w:pPr>
      <w:r>
        <w:t xml:space="preserve">the definition of a methodology with "dynamic" criteria enabling financial products to make sustainable investments in a wide range of environmental or social objectives, </w:t>
      </w:r>
      <w:proofErr w:type="gramStart"/>
      <w:r>
        <w:t>in order to</w:t>
      </w:r>
      <w:proofErr w:type="gramEnd"/>
      <w:r>
        <w:t xml:space="preserve"> maintain adequate levels of investment stability and diversification. </w:t>
      </w:r>
    </w:p>
    <w:p w14:paraId="7DDA6D60" w14:textId="6C0A8DC4" w:rsidR="009C41BB" w:rsidRDefault="00203816" w:rsidP="00203816">
      <w:pPr>
        <w:jc w:val="both"/>
      </w:pPr>
      <w:r>
        <w:t>On the contrary, the definition of "static" criteria could excessively restrict the universe of investable assets, undermining compliance with stability and diversification parameters and, consequently, the profitability of the products themselves. In this regard, for example, the use of quantitative criteria allowing the monitoring of the development of the values of the PAI indicators could be preferred, rather than based on predetermined and fixed PAI indicator values.</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0632924A" w14:textId="77777777" w:rsidR="00051472" w:rsidRDefault="00051472" w:rsidP="00051472">
      <w:pPr>
        <w:jc w:val="both"/>
      </w:pPr>
      <w:permStart w:id="984368250" w:edGrp="everyone"/>
      <w:r>
        <w:t xml:space="preserve">It should be noted that sustainable investments consist of three elements: a substantial contribution to an environmental or social objective; compliance with the DNSH criteria; compliance with good governance practices by the company benefiting from the investments. In this regard, adequate information on those elements should be provided to the customer as part of the information on products classified under Articles 8 or 9 of the SFDR. However, it should be considered that the mere exposure of quantitative thresholds or values assumed by PAI indicators for the purpose of meeting </w:t>
      </w:r>
      <w:r>
        <w:lastRenderedPageBreak/>
        <w:t>the DNSH criteria may not be easily understood by the customer. Therefore, appropriate information could consist of a description of the methodology applied (in practice) to assess compliance with the DNSH criteria.</w:t>
      </w:r>
    </w:p>
    <w:p w14:paraId="1CB53989" w14:textId="61643233" w:rsidR="00051472" w:rsidRDefault="00051472" w:rsidP="00051472">
      <w:pPr>
        <w:jc w:val="both"/>
      </w:pPr>
      <w:r>
        <w:t>Moreover</w:t>
      </w:r>
      <w:r w:rsidR="009E3F73">
        <w:t>,</w:t>
      </w:r>
      <w:r>
        <w:t xml:space="preserve"> we underline that it would be very difficult for FMPs to define on their own reasonable quantitative thresholds for PAI indicators for DNSH purposes across the various economic sectors</w:t>
      </w:r>
      <w:r w:rsidR="00AF7A82">
        <w:t>.</w:t>
      </w:r>
    </w:p>
    <w:p w14:paraId="6BBD22C7" w14:textId="06463B07" w:rsidR="009C41BB" w:rsidRDefault="00051472" w:rsidP="00051472">
      <w:pPr>
        <w:jc w:val="both"/>
      </w:pPr>
      <w:r>
        <w:t>Due to the above-mentioned difficulty this option would neither reduce greenwashing risks nor increase comparability.</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050C0366" w14:textId="77777777" w:rsidR="00D104AF" w:rsidRDefault="00D104AF" w:rsidP="00976691">
      <w:pPr>
        <w:jc w:val="both"/>
      </w:pPr>
      <w:permStart w:id="403253184" w:edGrp="everyone"/>
      <w:r>
        <w:t xml:space="preserve">Allowing companies aligned to the EU Taxonomy to benefit from an “automatic pass” of the SI environmental DNSH would be welcome, as they have already been subject to the application of even more stringent DNSH criteria than those provided for in Article 2, No. 12 of the SFDR (i.e., application of PAI indicators). However, in light of the difference between DNSH notions in the SFDR and the Taxonomy we do not see how a </w:t>
      </w:r>
      <w:proofErr w:type="gramStart"/>
      <w:r>
        <w:t>safe-</w:t>
      </w:r>
      <w:proofErr w:type="spellStart"/>
      <w:r>
        <w:t>harbor</w:t>
      </w:r>
      <w:proofErr w:type="spellEnd"/>
      <w:proofErr w:type="gramEnd"/>
      <w:r>
        <w:t xml:space="preserve"> would work in practice and how it can be of more than limited assistance in demonstrating compliance with DNSH.</w:t>
      </w:r>
    </w:p>
    <w:p w14:paraId="2B56913B" w14:textId="77777777" w:rsidR="00D104AF" w:rsidRDefault="00D104AF" w:rsidP="00976691">
      <w:pPr>
        <w:jc w:val="both"/>
      </w:pPr>
      <w:r>
        <w:t>Practical implementation seems to bring lots of complexity and potentially limited usefulness:</w:t>
      </w:r>
    </w:p>
    <w:p w14:paraId="330E403A" w14:textId="5E78F6C3" w:rsidR="00D104AF" w:rsidRDefault="00D104AF" w:rsidP="00976691">
      <w:pPr>
        <w:pStyle w:val="Paragrafoelenco"/>
        <w:numPr>
          <w:ilvl w:val="1"/>
          <w:numId w:val="43"/>
        </w:numPr>
        <w:ind w:left="714" w:hanging="357"/>
        <w:jc w:val="both"/>
      </w:pPr>
      <w:r>
        <w:t xml:space="preserve">EU Taxonomy DNSH applies at activity level and SI DNSH applies at issuer level. Does it mean that only companies with 100% of their activities aligned to the EU taxonomy could benefit from this safe harbour? This would be extremely </w:t>
      </w:r>
      <w:proofErr w:type="gramStart"/>
      <w:r>
        <w:t>limited;</w:t>
      </w:r>
      <w:proofErr w:type="gramEnd"/>
      <w:r>
        <w:t xml:space="preserve"> </w:t>
      </w:r>
    </w:p>
    <w:p w14:paraId="44C2C8F6" w14:textId="6E29AE00" w:rsidR="00D104AF" w:rsidRDefault="00D104AF" w:rsidP="00976691">
      <w:pPr>
        <w:pStyle w:val="Paragrafoelenco"/>
        <w:numPr>
          <w:ilvl w:val="1"/>
          <w:numId w:val="43"/>
        </w:numPr>
        <w:ind w:left="714" w:hanging="357"/>
        <w:jc w:val="both"/>
      </w:pPr>
      <w:r>
        <w:t xml:space="preserve">SFDR DNSH is based on controversies, governance score and exclusions and is not </w:t>
      </w:r>
      <w:proofErr w:type="spellStart"/>
      <w:r>
        <w:t>splitted</w:t>
      </w:r>
      <w:proofErr w:type="spellEnd"/>
      <w:r>
        <w:t xml:space="preserve"> between a social and environmental </w:t>
      </w:r>
      <w:proofErr w:type="gramStart"/>
      <w:r>
        <w:t>DNSH;</w:t>
      </w:r>
      <w:proofErr w:type="gramEnd"/>
    </w:p>
    <w:p w14:paraId="7FA461AD" w14:textId="0932647E" w:rsidR="00D104AF" w:rsidRDefault="00D104AF" w:rsidP="00976691">
      <w:pPr>
        <w:pStyle w:val="Paragrafoelenco"/>
        <w:numPr>
          <w:ilvl w:val="1"/>
          <w:numId w:val="43"/>
        </w:numPr>
        <w:ind w:left="714" w:hanging="357"/>
        <w:jc w:val="both"/>
      </w:pPr>
      <w:r>
        <w:t>what about a safe harbour for social DNSH? Since the social objective of the EU taxonomy have not been defined yet, companies could not benefit from a safe harbour on Social DNSH.</w:t>
      </w:r>
    </w:p>
    <w:p w14:paraId="78C93EB3" w14:textId="30CC14F5" w:rsidR="009C41BB" w:rsidRDefault="00D104AF" w:rsidP="00976691">
      <w:pPr>
        <w:jc w:val="both"/>
      </w:pPr>
      <w:r>
        <w:t>We see risk of exacerbating confusion that would likely raise questions (especially by retail clients about complex and possibly conflicting regulatory terms that would however be the responsibility of financial market participants to explain).</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lastRenderedPageBreak/>
        <w:t>&lt;ESMA_QUESTION_SFDR_20&gt;</w:t>
      </w:r>
    </w:p>
    <w:p w14:paraId="7D2EF975" w14:textId="77777777" w:rsidR="00D96405" w:rsidRDefault="00D96405" w:rsidP="00D96405">
      <w:pPr>
        <w:jc w:val="both"/>
      </w:pPr>
      <w:permStart w:id="10765956" w:edGrp="everyone"/>
      <w:r>
        <w:t xml:space="preserve">In our opinion, it is a priority to revise the first level discipline of SFDR </w:t>
      </w:r>
      <w:proofErr w:type="gramStart"/>
      <w:r>
        <w:t>in order to</w:t>
      </w:r>
      <w:proofErr w:type="gramEnd"/>
      <w:r>
        <w:t xml:space="preserve"> achieve greater alignment with the Taxonomy. This should be the regulatory option to prioritize.</w:t>
      </w:r>
    </w:p>
    <w:p w14:paraId="3B17A6A8" w14:textId="77777777" w:rsidR="00D96405" w:rsidRDefault="00D96405" w:rsidP="00D96405">
      <w:pPr>
        <w:jc w:val="both"/>
      </w:pPr>
      <w:r>
        <w:t>In this revision, the following elements should be considered:</w:t>
      </w:r>
    </w:p>
    <w:p w14:paraId="15615F23" w14:textId="14FC224F" w:rsidR="00D96405" w:rsidRDefault="00D96405" w:rsidP="00D96405">
      <w:pPr>
        <w:pStyle w:val="Paragrafoelenco"/>
        <w:numPr>
          <w:ilvl w:val="1"/>
          <w:numId w:val="43"/>
        </w:numPr>
        <w:ind w:left="714" w:hanging="357"/>
        <w:jc w:val="both"/>
      </w:pPr>
      <w:r>
        <w:t xml:space="preserve">the detailed regulatory framework of the EU Taxonomy that defines precisely the environmental </w:t>
      </w:r>
      <w:proofErr w:type="gramStart"/>
      <w:r>
        <w:t>objectives;</w:t>
      </w:r>
      <w:proofErr w:type="gramEnd"/>
    </w:p>
    <w:p w14:paraId="538B8EF7" w14:textId="1A701C06" w:rsidR="00D96405" w:rsidRDefault="00D96405" w:rsidP="00D96405">
      <w:pPr>
        <w:pStyle w:val="Paragrafoelenco"/>
        <w:numPr>
          <w:ilvl w:val="1"/>
          <w:numId w:val="43"/>
        </w:numPr>
        <w:ind w:left="714" w:hanging="357"/>
        <w:jc w:val="both"/>
      </w:pPr>
      <w:r>
        <w:t xml:space="preserve">which economic activities contribute to these objectives and under which </w:t>
      </w:r>
      <w:proofErr w:type="gramStart"/>
      <w:r>
        <w:t>conditions;</w:t>
      </w:r>
      <w:proofErr w:type="gramEnd"/>
    </w:p>
    <w:p w14:paraId="2BF87DFC" w14:textId="43319121" w:rsidR="00D96405" w:rsidRDefault="00D96405" w:rsidP="00D96405">
      <w:pPr>
        <w:pStyle w:val="Paragrafoelenco"/>
        <w:numPr>
          <w:ilvl w:val="1"/>
          <w:numId w:val="43"/>
        </w:numPr>
        <w:ind w:left="714" w:hanging="357"/>
        <w:jc w:val="both"/>
      </w:pPr>
      <w:r>
        <w:t xml:space="preserve">the DNSH compliance </w:t>
      </w:r>
      <w:proofErr w:type="gramStart"/>
      <w:r>
        <w:t>conditions;</w:t>
      </w:r>
      <w:proofErr w:type="gramEnd"/>
    </w:p>
    <w:p w14:paraId="770607BB" w14:textId="0A8CC77F" w:rsidR="00D96405" w:rsidRDefault="00D96405" w:rsidP="00D96405">
      <w:pPr>
        <w:pStyle w:val="Paragrafoelenco"/>
        <w:numPr>
          <w:ilvl w:val="1"/>
          <w:numId w:val="43"/>
        </w:numPr>
        <w:ind w:left="714" w:hanging="357"/>
        <w:jc w:val="both"/>
      </w:pPr>
      <w:r>
        <w:t xml:space="preserve">which international conventions, treaties and principles must be respected from the social and good governance point of </w:t>
      </w:r>
      <w:proofErr w:type="gramStart"/>
      <w:r>
        <w:t>view;</w:t>
      </w:r>
      <w:proofErr w:type="gramEnd"/>
    </w:p>
    <w:p w14:paraId="01E16D6A" w14:textId="74ED7DC3" w:rsidR="009C41BB" w:rsidRDefault="00D96405" w:rsidP="00D96405">
      <w:pPr>
        <w:pStyle w:val="Paragrafoelenco"/>
        <w:numPr>
          <w:ilvl w:val="1"/>
          <w:numId w:val="43"/>
        </w:numPr>
        <w:ind w:left="714" w:hanging="357"/>
        <w:jc w:val="both"/>
      </w:pPr>
      <w:r>
        <w:t>the practical issues that could arise in the application of EU DNSH taxonomy to sustainable investments.</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473D561C" w:rsidR="009C41BB" w:rsidRDefault="009D006B" w:rsidP="009C41BB">
      <w:permStart w:id="1098926409" w:edGrp="everyone"/>
      <w:r>
        <w:t>Please s</w:t>
      </w:r>
      <w:r w:rsidRPr="009D006B">
        <w:t xml:space="preserve">ee answer to </w:t>
      </w:r>
      <w:r w:rsidR="00D06FCA">
        <w:t xml:space="preserve">question no. </w:t>
      </w:r>
      <w:r w:rsidRPr="009D006B">
        <w:t>20.</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62EFFC66" w:rsidR="009C41BB" w:rsidRDefault="00D42AC7" w:rsidP="00D42AC7">
      <w:pPr>
        <w:jc w:val="both"/>
      </w:pPr>
      <w:permStart w:id="2084635173" w:edGrp="everyone"/>
      <w:r w:rsidRPr="00D42AC7">
        <w:t xml:space="preserve">It should be noted that the inclusion of highly detailed information on greenhouse gas emission reduction targets (GHG) can be difficult for investors to understand due to the high technicality of the topic. </w:t>
      </w:r>
      <w:proofErr w:type="gramStart"/>
      <w:r w:rsidRPr="00D42AC7">
        <w:t>In particular, it</w:t>
      </w:r>
      <w:proofErr w:type="gramEnd"/>
      <w:r w:rsidRPr="00D42AC7">
        <w:t xml:space="preserve"> should be considered that the indication of the objective and the description of how it is to be achieved can be understandable to the investor, while the table with its highly detailed information may require a very complex work for the FMP without any beneficial benefit to the investor.</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lastRenderedPageBreak/>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642A3004" w:rsidR="009C41BB" w:rsidRDefault="00400B7C" w:rsidP="00400B7C">
      <w:pPr>
        <w:jc w:val="both"/>
      </w:pPr>
      <w:permStart w:id="762907966" w:edGrp="everyone"/>
      <w:r w:rsidRPr="00400B7C">
        <w:t>The benchmark hyperlink can be a useful facilitation. As it regards the risk of confusion between the products referred to in Article 9, paragraph 3, and all other products referred to in Article 8 or 9, potential misunderstandings could only arise if FMPs use investment strategies specifically aimed at reducing greenhouse gas emissions.</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4D4DD8CA" w:rsidR="009C41BB" w:rsidRDefault="00504735" w:rsidP="00504735">
      <w:pPr>
        <w:jc w:val="both"/>
      </w:pPr>
      <w:permStart w:id="1536640680" w:edGrp="everyone"/>
      <w:r w:rsidRPr="00504735">
        <w:t>This distinction allows to grasp the peculiarities of two different investment strategies. Any complexity could be related to cases where the two objectives are pursued together, without a predefined allocation of investment shares allocated to one or the other, and to the client’s understanding of the difference.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0C79EC25" w:rsidR="009C41BB" w:rsidRDefault="00B50A0F" w:rsidP="00085113">
      <w:pPr>
        <w:jc w:val="both"/>
      </w:pPr>
      <w:permStart w:id="1824523423" w:edGrp="everyone"/>
      <w:r>
        <w:t>N.A.</w:t>
      </w:r>
    </w:p>
    <w:permEnd w:id="1824523423"/>
    <w:p w14:paraId="1B2A7DBF" w14:textId="77777777" w:rsidR="009C41BB" w:rsidRDefault="009C41BB" w:rsidP="009C41BB">
      <w:r>
        <w:lastRenderedPageBreak/>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D3295E5" w:rsidR="009C41BB" w:rsidRDefault="00B50A0F" w:rsidP="009C41BB">
      <w:permStart w:id="1572164812" w:edGrp="everyone"/>
      <w:r>
        <w:t>N.A.</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2A1B93DD" w:rsidR="009C41BB" w:rsidRDefault="00F558A7" w:rsidP="00F558A7">
      <w:pPr>
        <w:jc w:val="both"/>
      </w:pPr>
      <w:permStart w:id="324808106" w:edGrp="everyone"/>
      <w:r w:rsidRPr="00F558A7">
        <w:t>Before supplementing the reporting requirements for models by linking them to the requirements within the CSRD, it would be appropriate to await the full entry into force of the second level of the regulatory framework.</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6EE859BB" w:rsidR="009C41BB" w:rsidRDefault="006C657E" w:rsidP="006C657E">
      <w:pPr>
        <w:jc w:val="both"/>
      </w:pPr>
      <w:permStart w:id="1690654287" w:edGrp="everyone"/>
      <w:r w:rsidRPr="006C657E">
        <w:t>Before supplementing the reporting requirements for models by linking them to the requirements within the CSRD, it would be appropriate to await the full entry into force of the second level of the regulatory framework.</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lastRenderedPageBreak/>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1B791121" w:rsidR="009C41BB" w:rsidRDefault="00A00CAB" w:rsidP="00A00CAB">
      <w:pPr>
        <w:jc w:val="both"/>
      </w:pPr>
      <w:permStart w:id="811147857" w:edGrp="everyone"/>
      <w:r w:rsidRPr="00A00CAB">
        <w:t xml:space="preserve">Product objectives are primarily focused on investors interests and needs, which are not always in line with entity wide ESG commitments and may vary over time. Therefore, such disclosure may not accurately represent the reasons why an entity has </w:t>
      </w:r>
      <w:proofErr w:type="gramStart"/>
      <w:r w:rsidRPr="00A00CAB">
        <w:t>entered into</w:t>
      </w:r>
      <w:proofErr w:type="gramEnd"/>
      <w:r w:rsidRPr="00A00CAB">
        <w:t xml:space="preserve"> certain commitments and the products follow certain investment strategies.</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6C5230ED" w14:textId="4FF6C43C" w:rsidR="003D66CF" w:rsidRDefault="003D66CF" w:rsidP="003D66CF">
      <w:pPr>
        <w:jc w:val="both"/>
      </w:pPr>
      <w:permStart w:id="1542225393" w:edGrp="everyone"/>
      <w:r>
        <w:t>We understand the rationale under the proposal of introducing a</w:t>
      </w:r>
      <w:r w:rsidR="0034182D">
        <w:t xml:space="preserve"> </w:t>
      </w:r>
      <w:r>
        <w:t xml:space="preserve">dashboard on the key information, combined with the visual icons, but we are </w:t>
      </w:r>
      <w:proofErr w:type="spellStart"/>
      <w:r>
        <w:t>skeptical</w:t>
      </w:r>
      <w:proofErr w:type="spellEnd"/>
      <w:r>
        <w:t xml:space="preserve"> about </w:t>
      </w:r>
      <w:proofErr w:type="gramStart"/>
      <w:r>
        <w:t>it</w:t>
      </w:r>
      <w:proofErr w:type="gramEnd"/>
      <w:r>
        <w:t xml:space="preserve"> effectiveness.</w:t>
      </w:r>
    </w:p>
    <w:p w14:paraId="364E4211" w14:textId="71010A58" w:rsidR="003D66CF" w:rsidRDefault="003D66CF" w:rsidP="003D66CF">
      <w:pPr>
        <w:jc w:val="both"/>
      </w:pPr>
      <w:r>
        <w:t>The new version of the dashboard does not seem to provide greater clarity for the following reasons:</w:t>
      </w:r>
    </w:p>
    <w:p w14:paraId="7349590B" w14:textId="34EEB8E0" w:rsidR="003D66CF" w:rsidRDefault="003D66CF" w:rsidP="003D66CF">
      <w:pPr>
        <w:pStyle w:val="Paragrafoelenco"/>
        <w:numPr>
          <w:ilvl w:val="1"/>
          <w:numId w:val="43"/>
        </w:numPr>
        <w:ind w:left="714" w:hanging="357"/>
        <w:jc w:val="both"/>
      </w:pPr>
      <w:r>
        <w:t xml:space="preserve">the new representation contains much more information (for example, percentage of investments promoting environmental or social characteristics; consideration of PAI at product level; reduction of greenhouse gas emissions - reintroduction), with the risk of inducing investors to believe that the reading of this is exhaustive to the detriment of a greater information offer derived from the reading of the whole </w:t>
      </w:r>
      <w:proofErr w:type="gramStart"/>
      <w:r>
        <w:t>document;</w:t>
      </w:r>
      <w:proofErr w:type="gramEnd"/>
    </w:p>
    <w:p w14:paraId="5FE9F727" w14:textId="45372E89" w:rsidR="003D66CF" w:rsidRDefault="003D66CF" w:rsidP="003D66CF">
      <w:pPr>
        <w:pStyle w:val="Paragrafoelenco"/>
        <w:numPr>
          <w:ilvl w:val="1"/>
          <w:numId w:val="43"/>
        </w:numPr>
        <w:ind w:left="714" w:hanging="357"/>
        <w:jc w:val="both"/>
      </w:pPr>
      <w:r>
        <w:t>the first line of the dashboard, containing the indication of the promoted environmental or social characteristics and the corresponding percentage of investments, can be disproportionately sized considering the possibility of using up to 250 characters (spaces included). Moreover, this description would end up being repeated in the text of the first question "What are the environmental and/or social characteristics of this product?</w:t>
      </w:r>
      <w:proofErr w:type="gramStart"/>
      <w:r>
        <w:t>";</w:t>
      </w:r>
      <w:proofErr w:type="gramEnd"/>
    </w:p>
    <w:p w14:paraId="2DBB6C42" w14:textId="03FEE894" w:rsidR="003D66CF" w:rsidRDefault="003D66CF" w:rsidP="003D66CF">
      <w:pPr>
        <w:pStyle w:val="Paragrafoelenco"/>
        <w:numPr>
          <w:ilvl w:val="1"/>
          <w:numId w:val="43"/>
        </w:numPr>
        <w:ind w:left="714" w:hanging="357"/>
        <w:jc w:val="both"/>
      </w:pPr>
      <w:r>
        <w:t>the inclusion in the dashboard of information on the percentage of investments planned by the financial product has removed the immediate understanding of the overall relationship between the different types of investments (that is sustainable investments belonging to the set of investments with environmental or social characteristics), also due to the elimination of the asset allocation tree, which is also easy to read for investors.</w:t>
      </w:r>
    </w:p>
    <w:p w14:paraId="0032ED2A" w14:textId="2D357A8A" w:rsidR="009C41BB" w:rsidRDefault="003D66CF" w:rsidP="003D66CF">
      <w:pPr>
        <w:jc w:val="both"/>
      </w:pPr>
      <w:r>
        <w:lastRenderedPageBreak/>
        <w:t>Due to these drawbacks, we find no point in facing additional process and IT costs for the implementation of a new dashboard format.</w:t>
      </w:r>
    </w:p>
    <w:permEnd w:id="1542225393"/>
    <w:p w14:paraId="3CC109DF" w14:textId="77777777" w:rsidR="009C41BB" w:rsidRDefault="009C41BB" w:rsidP="003D66CF">
      <w:pPr>
        <w:jc w:val="both"/>
      </w:pPr>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Pr="005F5FB0" w:rsidRDefault="009C41BB" w:rsidP="009C41BB">
      <w:pPr>
        <w:rPr>
          <w:lang w:val="it-IT"/>
        </w:rPr>
      </w:pPr>
      <w:r w:rsidRPr="005F5FB0">
        <w:rPr>
          <w:lang w:val="it-IT"/>
        </w:rPr>
        <w:t>&lt;ESMA_QUESTION_SFDR_31&gt;</w:t>
      </w:r>
    </w:p>
    <w:p w14:paraId="4A991AED" w14:textId="0A07ABD7" w:rsidR="009C41BB" w:rsidRPr="005F5FB0" w:rsidRDefault="002D3FA5" w:rsidP="00E058CF">
      <w:pPr>
        <w:jc w:val="both"/>
        <w:rPr>
          <w:lang w:val="it-IT"/>
        </w:rPr>
      </w:pPr>
      <w:permStart w:id="782583199" w:edGrp="everyone"/>
      <w:r w:rsidRPr="005F5FB0">
        <w:rPr>
          <w:lang w:val="it-IT"/>
        </w:rPr>
        <w:t>N.A.</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Pr="005F5FB0" w:rsidRDefault="009C41BB" w:rsidP="009C41BB">
      <w:pPr>
        <w:rPr>
          <w:lang w:val="it-IT"/>
        </w:rPr>
      </w:pPr>
      <w:r w:rsidRPr="005F5FB0">
        <w:rPr>
          <w:lang w:val="it-IT"/>
        </w:rPr>
        <w:t>&lt;ESMA_QUESTION_SFDR_32&gt;</w:t>
      </w:r>
    </w:p>
    <w:p w14:paraId="0E7D78E9" w14:textId="76DA1683" w:rsidR="009C41BB" w:rsidRPr="005F5FB0" w:rsidRDefault="002D3FA5" w:rsidP="009C41BB">
      <w:pPr>
        <w:rPr>
          <w:lang w:val="it-IT"/>
        </w:rPr>
      </w:pPr>
      <w:permStart w:id="1403335001" w:edGrp="everyone"/>
      <w:r w:rsidRPr="005F5FB0">
        <w:rPr>
          <w:lang w:val="it-IT"/>
        </w:rPr>
        <w:t>N.A.</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52104DEF" w:rsidR="009C41BB" w:rsidRDefault="002D3FA5" w:rsidP="002D3FA5">
      <w:pPr>
        <w:jc w:val="both"/>
      </w:pPr>
      <w:permStart w:id="1422073065" w:edGrp="everyone"/>
      <w:r w:rsidRPr="002D3FA5">
        <w:t>The investment tree could be a useful tool to understand the breakdown of the entire portfolio of financial product assets and the relationship between different types of investments (such as sub-assemblies). In contrast, the dashboard does not provide a complete view of the entire asset portfolio of the financial product. Therefore, unless the dashboard is reviewed, the investment tree, which is also easy to read for the customer, could be kept.</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lastRenderedPageBreak/>
        <w:t>&lt;ESMA_QUESTION_SFDR_34&gt;</w:t>
      </w:r>
    </w:p>
    <w:p w14:paraId="03CAE5B1" w14:textId="77777777" w:rsidR="0065408F" w:rsidRDefault="0065408F" w:rsidP="0065408F">
      <w:pPr>
        <w:jc w:val="both"/>
      </w:pPr>
      <w:permStart w:id="335090742" w:edGrp="everyone"/>
      <w:r>
        <w:t>The use of colours does not provide significant added value from the information point of view:</w:t>
      </w:r>
    </w:p>
    <w:p w14:paraId="19DA6CF4" w14:textId="0B49694B" w:rsidR="0065408F" w:rsidRDefault="0065408F" w:rsidP="0065408F">
      <w:pPr>
        <w:pStyle w:val="Paragrafoelenco"/>
        <w:numPr>
          <w:ilvl w:val="1"/>
          <w:numId w:val="43"/>
        </w:numPr>
        <w:ind w:left="714" w:hanging="357"/>
        <w:jc w:val="both"/>
      </w:pPr>
      <w:r>
        <w:t>the colours are relevant only for two parts of the templates, i.e., the dashboard and pie charts related to environmentally sustainable investments</w:t>
      </w:r>
      <w:r w:rsidR="009C0340">
        <w:t>;</w:t>
      </w:r>
    </w:p>
    <w:p w14:paraId="6B928236" w14:textId="72056150" w:rsidR="0065408F" w:rsidRDefault="0065408F" w:rsidP="0065408F">
      <w:pPr>
        <w:pStyle w:val="Paragrafoelenco"/>
        <w:numPr>
          <w:ilvl w:val="1"/>
          <w:numId w:val="43"/>
        </w:numPr>
        <w:ind w:left="714" w:hanging="357"/>
        <w:jc w:val="both"/>
      </w:pPr>
      <w:r>
        <w:t xml:space="preserve">investors may not understand why the document is not in colour, attributing the fact, for example, to print </w:t>
      </w:r>
      <w:proofErr w:type="gramStart"/>
      <w:r>
        <w:t>settings;</w:t>
      </w:r>
      <w:proofErr w:type="gramEnd"/>
    </w:p>
    <w:p w14:paraId="4F58A46C" w14:textId="42957C62" w:rsidR="009C41BB" w:rsidRDefault="0065408F" w:rsidP="0065408F">
      <w:pPr>
        <w:pStyle w:val="Paragrafoelenco"/>
        <w:numPr>
          <w:ilvl w:val="1"/>
          <w:numId w:val="43"/>
        </w:numPr>
        <w:ind w:left="714" w:hanging="357"/>
        <w:jc w:val="both"/>
      </w:pPr>
      <w:r>
        <w:t>it should also be noted that the images often appear poorly explanatory of the concepts expressed through the questions and, in some cases (for example on the consideration of PAI), the image is the same, changing only colour.</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6C823445" w:rsidR="009C41BB" w:rsidRDefault="00FE0FD6" w:rsidP="00FE0FD6">
      <w:pPr>
        <w:jc w:val="both"/>
      </w:pPr>
      <w:permStart w:id="1624927821" w:edGrp="everyone"/>
      <w:r w:rsidRPr="00FE0FD6">
        <w:t>The proposed approach could be easier to use, reducing the impact of immediate viewing of detailed information. We agree to proceed with the consumer test, even if we have the doubt that some devices could not be compatible with this new approach. Moreover, it would be useful to specify better what is meant by electronically, as it is a simple application in digital customer journeys but not in the paper "traditional" or dematerialized ones.</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375438" w14:textId="18FD979C" w:rsidR="009C41BB" w:rsidRDefault="00CD4ECC" w:rsidP="009C41BB">
      <w:permStart w:id="1338527016" w:edGrp="everyone"/>
      <w:r w:rsidRPr="00CD4ECC">
        <w:t>We agree with the proposed approach.</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3715D894" w:rsidR="009C41BB" w:rsidRDefault="00CD4ECC" w:rsidP="009C41BB">
      <w:permStart w:id="1477927507" w:edGrp="everyone"/>
      <w:r>
        <w:t xml:space="preserve">Please see answer to question no. </w:t>
      </w:r>
      <w:r w:rsidR="0041020C">
        <w:t>36.</w:t>
      </w:r>
    </w:p>
    <w:permEnd w:id="1477927507"/>
    <w:p w14:paraId="6186E95A" w14:textId="77777777" w:rsidR="009C41BB" w:rsidRDefault="009C41BB" w:rsidP="009C41BB">
      <w:r>
        <w:lastRenderedPageBreak/>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16BB2">
      <w:pPr>
        <w:jc w:val="both"/>
      </w:pPr>
      <w:r>
        <w:t>&lt;ESMA_QUESTION_SFDR_38&gt;</w:t>
      </w:r>
    </w:p>
    <w:p w14:paraId="7FDF89E1" w14:textId="77777777" w:rsidR="00916BB2" w:rsidRDefault="00916BB2" w:rsidP="00916BB2">
      <w:pPr>
        <w:jc w:val="both"/>
      </w:pPr>
      <w:permStart w:id="1880105875" w:edGrp="everyone"/>
      <w:r>
        <w:t>We see the need to set out specific rules for indirect investments (</w:t>
      </w:r>
      <w:proofErr w:type="gramStart"/>
      <w:r>
        <w:t>i.e.</w:t>
      </w:r>
      <w:proofErr w:type="gramEnd"/>
      <w:r>
        <w:t xml:space="preserve"> funds of funds and individual portfolio managed through investments in UCITS of alternative funds) and government bonds.</w:t>
      </w:r>
    </w:p>
    <w:p w14:paraId="068B78BA" w14:textId="120623C3" w:rsidR="009C41BB" w:rsidRDefault="00916BB2" w:rsidP="00916BB2">
      <w:pPr>
        <w:jc w:val="both"/>
      </w:pPr>
      <w:r>
        <w:t>The same rules as in Article 17(1)g of Delegated Regulation (EU) 2022/1288 could be applied to calculate the share of sustainable investments, which involves using the market value of the share of those financial products representing sustainable investments made through them (according to the methodology defined by the PMF of the same product) within the meaning of Article 2.17 of the SFDR. This would be particularly useful in the case of funds investing in other funds, where it could be complex to calculate an overall percentage due to different methodologies used by each fund for the calculation of the proportion of sustainable investment.</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59D7522" w:rsidR="009C41BB" w:rsidRDefault="00782BAD" w:rsidP="00782BAD">
      <w:pPr>
        <w:jc w:val="both"/>
      </w:pPr>
      <w:permStart w:id="2135520093" w:edGrp="everyone"/>
      <w:r w:rsidRPr="00782BAD">
        <w:t xml:space="preserve">We agree that cross-references in periodic and pre-contractual communications of financial products with investment options could be beneficial for retail clients to address information overload. However, we believe that it might be useful, </w:t>
      </w:r>
      <w:proofErr w:type="gramStart"/>
      <w:r w:rsidRPr="00782BAD">
        <w:t>in order to</w:t>
      </w:r>
      <w:proofErr w:type="gramEnd"/>
      <w:r w:rsidRPr="00782BAD">
        <w:t xml:space="preserve"> allow for easy referral, to separate the SFDR periodic disclosure of investment options from the </w:t>
      </w:r>
      <w:proofErr w:type="spellStart"/>
      <w:r w:rsidRPr="00782BAD">
        <w:t>Fundhouse</w:t>
      </w:r>
      <w:proofErr w:type="spellEnd"/>
      <w:r w:rsidRPr="00782BAD">
        <w:t xml:space="preserve"> annual statement. In fact, most </w:t>
      </w:r>
      <w:proofErr w:type="spellStart"/>
      <w:r w:rsidRPr="00782BAD">
        <w:t>Fundhouses</w:t>
      </w:r>
      <w:proofErr w:type="spellEnd"/>
      <w:r w:rsidRPr="00782BAD">
        <w:t xml:space="preserve"> are still providing a single report that includes SFDR disclosure. In this regard, we ask for the possibility to provide a separate SFDR disclosure (periodic and pre-contractual) compared to other </w:t>
      </w:r>
      <w:proofErr w:type="spellStart"/>
      <w:r w:rsidRPr="00782BAD">
        <w:t>Fundhouse</w:t>
      </w:r>
      <w:proofErr w:type="spellEnd"/>
      <w:r w:rsidRPr="00782BAD">
        <w:t xml:space="preserve"> documents.</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59778DAA" w:rsidR="009C41BB" w:rsidRDefault="00F01C84" w:rsidP="00F01C84">
      <w:pPr>
        <w:jc w:val="both"/>
      </w:pPr>
      <w:permStart w:id="388397641" w:edGrp="everyone"/>
      <w:r w:rsidRPr="00F01C84">
        <w:lastRenderedPageBreak/>
        <w:t>We agree with the proposed approach, in fact including in the section "summary" a list of investment options underlying a financial product together with reference links to their sustainability information enables clients to obtain the necessary information without excessively burdening the work of FMPs.</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1E883E44" w:rsidR="009C41BB" w:rsidRDefault="00C54001" w:rsidP="00C54001">
      <w:pPr>
        <w:jc w:val="both"/>
      </w:pPr>
      <w:permStart w:id="1516521151" w:edGrp="everyone"/>
      <w:r w:rsidRPr="00C54001">
        <w:t>Requiring the preparation of models for each investment option, regardless of their classification as financial products, and thus exclude only financial instruments listed in Annex I to Directive 2016/65/EU which are not units of collective investment undertakings, is reasonable and would ensure greater transparency and comparability between products, as well as would resolve the interpretative doubts raised during the initial application of the relevant legislation.</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5801D672" w:rsidR="009C41BB" w:rsidRDefault="007169DA" w:rsidP="007169DA">
      <w:pPr>
        <w:jc w:val="both"/>
      </w:pPr>
      <w:permStart w:id="2063756698" w:edGrp="everyone"/>
      <w:r w:rsidRPr="007169DA">
        <w:t>It is currently very difficult to provide suggestions on this point.</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Pr="005F5FB0" w:rsidRDefault="009C41BB" w:rsidP="009C41BB">
      <w:pPr>
        <w:rPr>
          <w:lang w:val="it-IT"/>
        </w:rPr>
      </w:pPr>
      <w:r w:rsidRPr="005F5FB0">
        <w:rPr>
          <w:lang w:val="it-IT"/>
        </w:rPr>
        <w:t>&lt;ESMA_QUESTION_SFDR_43&gt;</w:t>
      </w:r>
    </w:p>
    <w:p w14:paraId="2E7C709A" w14:textId="4A601120" w:rsidR="009C41BB" w:rsidRPr="005F5FB0" w:rsidRDefault="008A38A2" w:rsidP="009C41BB">
      <w:pPr>
        <w:rPr>
          <w:lang w:val="it-IT"/>
        </w:rPr>
      </w:pPr>
      <w:permStart w:id="1679513234" w:edGrp="everyone"/>
      <w:r w:rsidRPr="005F5FB0">
        <w:rPr>
          <w:lang w:val="it-IT"/>
        </w:rPr>
        <w:lastRenderedPageBreak/>
        <w:t>N.A.</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964A" w14:textId="77777777" w:rsidR="00CE37BF" w:rsidRDefault="00CE37BF" w:rsidP="00707738">
      <w:pPr>
        <w:spacing w:after="0" w:line="240" w:lineRule="auto"/>
      </w:pPr>
      <w:r>
        <w:separator/>
      </w:r>
    </w:p>
  </w:endnote>
  <w:endnote w:type="continuationSeparator" w:id="0">
    <w:p w14:paraId="1DB35C72" w14:textId="77777777" w:rsidR="00CE37BF" w:rsidRDefault="00CE37BF"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Pidipagina"/>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9777" w14:textId="77777777" w:rsidR="00CE37BF" w:rsidRDefault="00CE37BF" w:rsidP="00707738">
      <w:pPr>
        <w:spacing w:after="0" w:line="240" w:lineRule="auto"/>
      </w:pPr>
      <w:r>
        <w:separator/>
      </w:r>
    </w:p>
  </w:footnote>
  <w:footnote w:type="continuationSeparator" w:id="0">
    <w:p w14:paraId="35AD96B1" w14:textId="77777777" w:rsidR="00CE37BF" w:rsidRDefault="00CE37BF" w:rsidP="00707738">
      <w:pPr>
        <w:spacing w:after="0" w:line="240" w:lineRule="auto"/>
      </w:pPr>
      <w:r>
        <w:continuationSeparator/>
      </w:r>
    </w:p>
  </w:footnote>
  <w:footnote w:id="1">
    <w:p w14:paraId="5BF82E71" w14:textId="77777777" w:rsidR="009C41BB" w:rsidRDefault="009C41BB" w:rsidP="009C41BB">
      <w:pPr>
        <w:pStyle w:val="Testonotaapidipagina"/>
      </w:pPr>
      <w:r>
        <w:rPr>
          <w:rStyle w:val="Rimandonotaapidipagina"/>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Intestazione"/>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267FA"/>
    <w:multiLevelType w:val="hybridMultilevel"/>
    <w:tmpl w:val="41747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8A3824"/>
    <w:multiLevelType w:val="hybridMultilevel"/>
    <w:tmpl w:val="151E8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04E0EDB"/>
    <w:multiLevelType w:val="hybridMultilevel"/>
    <w:tmpl w:val="261A2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0EF31CD"/>
    <w:multiLevelType w:val="hybridMultilevel"/>
    <w:tmpl w:val="8C786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36263F3"/>
    <w:multiLevelType w:val="hybridMultilevel"/>
    <w:tmpl w:val="4EE64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7"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BF3636F"/>
    <w:multiLevelType w:val="hybridMultilevel"/>
    <w:tmpl w:val="D79C2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2D159C5"/>
    <w:multiLevelType w:val="hybridMultilevel"/>
    <w:tmpl w:val="38AEDABA"/>
    <w:lvl w:ilvl="0" w:tplc="151AF284">
      <w:numFmt w:val="bullet"/>
      <w:lvlText w:val="•"/>
      <w:lvlJc w:val="left"/>
      <w:pPr>
        <w:ind w:left="1080" w:hanging="72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CC4572"/>
    <w:multiLevelType w:val="hybridMultilevel"/>
    <w:tmpl w:val="2AA2E0FE"/>
    <w:lvl w:ilvl="0" w:tplc="04100001">
      <w:start w:val="1"/>
      <w:numFmt w:val="bullet"/>
      <w:lvlText w:val=""/>
      <w:lvlJc w:val="left"/>
      <w:pPr>
        <w:ind w:left="720" w:hanging="360"/>
      </w:pPr>
      <w:rPr>
        <w:rFonts w:ascii="Symbol" w:hAnsi="Symbol" w:hint="default"/>
      </w:rPr>
    </w:lvl>
    <w:lvl w:ilvl="1" w:tplc="0A3052DE">
      <w:numFmt w:val="bullet"/>
      <w:lvlText w:val="•"/>
      <w:lvlJc w:val="left"/>
      <w:pPr>
        <w:ind w:left="1800" w:hanging="72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B17254"/>
    <w:multiLevelType w:val="hybridMultilevel"/>
    <w:tmpl w:val="9BE8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DA261A8"/>
    <w:multiLevelType w:val="hybridMultilevel"/>
    <w:tmpl w:val="814E0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74D60A08"/>
    <w:multiLevelType w:val="hybridMultilevel"/>
    <w:tmpl w:val="10D65B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7"/>
  </w:num>
  <w:num w:numId="2" w16cid:durableId="1173495345">
    <w:abstractNumId w:val="1"/>
  </w:num>
  <w:num w:numId="3" w16cid:durableId="166870467">
    <w:abstractNumId w:val="9"/>
  </w:num>
  <w:num w:numId="4" w16cid:durableId="1691951035">
    <w:abstractNumId w:val="28"/>
  </w:num>
  <w:num w:numId="5" w16cid:durableId="1011906559">
    <w:abstractNumId w:val="37"/>
  </w:num>
  <w:num w:numId="6" w16cid:durableId="1277104421">
    <w:abstractNumId w:val="39"/>
  </w:num>
  <w:num w:numId="7" w16cid:durableId="242104871">
    <w:abstractNumId w:val="24"/>
  </w:num>
  <w:num w:numId="8" w16cid:durableId="522284696">
    <w:abstractNumId w:val="14"/>
  </w:num>
  <w:num w:numId="9" w16cid:durableId="1250770362">
    <w:abstractNumId w:val="10"/>
  </w:num>
  <w:num w:numId="10" w16cid:durableId="1358701701">
    <w:abstractNumId w:val="45"/>
  </w:num>
  <w:num w:numId="11" w16cid:durableId="1625037795">
    <w:abstractNumId w:val="26"/>
  </w:num>
  <w:num w:numId="12" w16cid:durableId="61487579">
    <w:abstractNumId w:val="51"/>
  </w:num>
  <w:num w:numId="13" w16cid:durableId="856233915">
    <w:abstractNumId w:val="18"/>
  </w:num>
  <w:num w:numId="14" w16cid:durableId="1381858278">
    <w:abstractNumId w:val="43"/>
  </w:num>
  <w:num w:numId="15" w16cid:durableId="402408764">
    <w:abstractNumId w:val="3"/>
  </w:num>
  <w:num w:numId="16" w16cid:durableId="1085760005">
    <w:abstractNumId w:val="36"/>
  </w:num>
  <w:num w:numId="17" w16cid:durableId="633215943">
    <w:abstractNumId w:val="6"/>
  </w:num>
  <w:num w:numId="18" w16cid:durableId="2020691353">
    <w:abstractNumId w:val="30"/>
  </w:num>
  <w:num w:numId="19" w16cid:durableId="1500385072">
    <w:abstractNumId w:val="12"/>
  </w:num>
  <w:num w:numId="20" w16cid:durableId="1520046844">
    <w:abstractNumId w:val="48"/>
  </w:num>
  <w:num w:numId="21" w16cid:durableId="748115910">
    <w:abstractNumId w:val="4"/>
  </w:num>
  <w:num w:numId="22" w16cid:durableId="717703608">
    <w:abstractNumId w:val="44"/>
  </w:num>
  <w:num w:numId="23" w16cid:durableId="600113171">
    <w:abstractNumId w:val="16"/>
  </w:num>
  <w:num w:numId="24" w16cid:durableId="241523878">
    <w:abstractNumId w:val="46"/>
  </w:num>
  <w:num w:numId="25" w16cid:durableId="80297080">
    <w:abstractNumId w:val="11"/>
  </w:num>
  <w:num w:numId="26" w16cid:durableId="576936923">
    <w:abstractNumId w:val="47"/>
  </w:num>
  <w:num w:numId="27" w16cid:durableId="379136238">
    <w:abstractNumId w:val="23"/>
  </w:num>
  <w:num w:numId="28" w16cid:durableId="1234242114">
    <w:abstractNumId w:val="19"/>
  </w:num>
  <w:num w:numId="29" w16cid:durableId="6490979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7"/>
  </w:num>
  <w:num w:numId="31" w16cid:durableId="2036344500">
    <w:abstractNumId w:val="20"/>
  </w:num>
  <w:num w:numId="32" w16cid:durableId="891308780">
    <w:abstractNumId w:val="32"/>
  </w:num>
  <w:num w:numId="33" w16cid:durableId="2059163146">
    <w:abstractNumId w:val="2"/>
  </w:num>
  <w:num w:numId="34" w16cid:durableId="767845549">
    <w:abstractNumId w:val="13"/>
  </w:num>
  <w:num w:numId="35" w16cid:durableId="1295915667">
    <w:abstractNumId w:val="0"/>
  </w:num>
  <w:num w:numId="36" w16cid:durableId="597906997">
    <w:abstractNumId w:val="41"/>
  </w:num>
  <w:num w:numId="37" w16cid:durableId="860432523">
    <w:abstractNumId w:val="31"/>
  </w:num>
  <w:num w:numId="38" w16cid:durableId="1880386777">
    <w:abstractNumId w:val="29"/>
  </w:num>
  <w:num w:numId="39" w16cid:durableId="140314737">
    <w:abstractNumId w:val="7"/>
  </w:num>
  <w:num w:numId="40" w16cid:durableId="399055937">
    <w:abstractNumId w:val="38"/>
  </w:num>
  <w:num w:numId="41" w16cid:durableId="713895999">
    <w:abstractNumId w:val="15"/>
  </w:num>
  <w:num w:numId="42" w16cid:durableId="1845654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9705858">
    <w:abstractNumId w:val="35"/>
  </w:num>
  <w:num w:numId="44" w16cid:durableId="1595818207">
    <w:abstractNumId w:val="21"/>
  </w:num>
  <w:num w:numId="45" w16cid:durableId="1498112322">
    <w:abstractNumId w:val="50"/>
  </w:num>
  <w:num w:numId="46" w16cid:durableId="458649412">
    <w:abstractNumId w:val="42"/>
  </w:num>
  <w:num w:numId="47" w16cid:durableId="1956324319">
    <w:abstractNumId w:val="33"/>
  </w:num>
  <w:num w:numId="48" w16cid:durableId="1148939885">
    <w:abstractNumId w:val="8"/>
  </w:num>
  <w:num w:numId="49" w16cid:durableId="15353047">
    <w:abstractNumId w:val="22"/>
  </w:num>
  <w:num w:numId="50" w16cid:durableId="1627155132">
    <w:abstractNumId w:val="5"/>
  </w:num>
  <w:num w:numId="51" w16cid:durableId="1415937103">
    <w:abstractNumId w:val="25"/>
  </w:num>
  <w:num w:numId="52" w16cid:durableId="1756048729">
    <w:abstractNumId w:val="40"/>
  </w:num>
  <w:num w:numId="53" w16cid:durableId="6433131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attachedTemplate r:id="rId1"/>
  <w:documentProtection w:edit="readOnly"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472"/>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5113"/>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3F07"/>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74B"/>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086D"/>
    <w:rsid w:val="0020322D"/>
    <w:rsid w:val="00203816"/>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6613F"/>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3FA5"/>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33605"/>
    <w:rsid w:val="0034182D"/>
    <w:rsid w:val="00341A52"/>
    <w:rsid w:val="003441B0"/>
    <w:rsid w:val="003442AF"/>
    <w:rsid w:val="003450BC"/>
    <w:rsid w:val="003458EC"/>
    <w:rsid w:val="0034665F"/>
    <w:rsid w:val="003478C9"/>
    <w:rsid w:val="00351678"/>
    <w:rsid w:val="00351724"/>
    <w:rsid w:val="00352F26"/>
    <w:rsid w:val="00354021"/>
    <w:rsid w:val="003565A3"/>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870CD"/>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D66CF"/>
    <w:rsid w:val="003E3CD5"/>
    <w:rsid w:val="003E6A9E"/>
    <w:rsid w:val="003E6C62"/>
    <w:rsid w:val="003E7FD7"/>
    <w:rsid w:val="003F00E2"/>
    <w:rsid w:val="003F3691"/>
    <w:rsid w:val="003F6D3C"/>
    <w:rsid w:val="003F7DF6"/>
    <w:rsid w:val="00400B7C"/>
    <w:rsid w:val="00400D2F"/>
    <w:rsid w:val="00401B7C"/>
    <w:rsid w:val="0041020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47BED"/>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0BF"/>
    <w:rsid w:val="004A3E05"/>
    <w:rsid w:val="004A415A"/>
    <w:rsid w:val="004A4EB1"/>
    <w:rsid w:val="004A76D1"/>
    <w:rsid w:val="004A7D73"/>
    <w:rsid w:val="004B03A3"/>
    <w:rsid w:val="004B23ED"/>
    <w:rsid w:val="004C1D42"/>
    <w:rsid w:val="004C2114"/>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AA3"/>
    <w:rsid w:val="004F6D56"/>
    <w:rsid w:val="00500A65"/>
    <w:rsid w:val="00503D9B"/>
    <w:rsid w:val="00504735"/>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3BBF"/>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1AE6"/>
    <w:rsid w:val="005B6CD1"/>
    <w:rsid w:val="005B7150"/>
    <w:rsid w:val="005C068C"/>
    <w:rsid w:val="005C1B6F"/>
    <w:rsid w:val="005C1CB4"/>
    <w:rsid w:val="005C2DDB"/>
    <w:rsid w:val="005C53FB"/>
    <w:rsid w:val="005C5EC5"/>
    <w:rsid w:val="005D0BE0"/>
    <w:rsid w:val="005D136B"/>
    <w:rsid w:val="005D13F5"/>
    <w:rsid w:val="005D15BD"/>
    <w:rsid w:val="005D610D"/>
    <w:rsid w:val="005E01AE"/>
    <w:rsid w:val="005E1188"/>
    <w:rsid w:val="005E26AC"/>
    <w:rsid w:val="005E67FA"/>
    <w:rsid w:val="005E7CFE"/>
    <w:rsid w:val="005F2030"/>
    <w:rsid w:val="005F3295"/>
    <w:rsid w:val="005F5FB0"/>
    <w:rsid w:val="005F75B1"/>
    <w:rsid w:val="005F780B"/>
    <w:rsid w:val="006009C0"/>
    <w:rsid w:val="0060301F"/>
    <w:rsid w:val="00606D3D"/>
    <w:rsid w:val="0061617E"/>
    <w:rsid w:val="00617E96"/>
    <w:rsid w:val="00620231"/>
    <w:rsid w:val="006203E8"/>
    <w:rsid w:val="006225D4"/>
    <w:rsid w:val="00622EFB"/>
    <w:rsid w:val="0062470F"/>
    <w:rsid w:val="006248E6"/>
    <w:rsid w:val="0062587F"/>
    <w:rsid w:val="00625B61"/>
    <w:rsid w:val="00626633"/>
    <w:rsid w:val="00633F49"/>
    <w:rsid w:val="0063709B"/>
    <w:rsid w:val="00637DDA"/>
    <w:rsid w:val="00647BF8"/>
    <w:rsid w:val="0065408F"/>
    <w:rsid w:val="00656701"/>
    <w:rsid w:val="00656753"/>
    <w:rsid w:val="00657D98"/>
    <w:rsid w:val="00657F93"/>
    <w:rsid w:val="00661297"/>
    <w:rsid w:val="00663F03"/>
    <w:rsid w:val="006659A4"/>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C657E"/>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169D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2BAD"/>
    <w:rsid w:val="0078616F"/>
    <w:rsid w:val="0079065E"/>
    <w:rsid w:val="007976F0"/>
    <w:rsid w:val="007A09F7"/>
    <w:rsid w:val="007A1D4E"/>
    <w:rsid w:val="007A5215"/>
    <w:rsid w:val="007A5DB4"/>
    <w:rsid w:val="007B1EE9"/>
    <w:rsid w:val="007B2568"/>
    <w:rsid w:val="007B2DA9"/>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299C"/>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38A2"/>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118"/>
    <w:rsid w:val="009059A0"/>
    <w:rsid w:val="00905E44"/>
    <w:rsid w:val="00912242"/>
    <w:rsid w:val="0091244E"/>
    <w:rsid w:val="009139A3"/>
    <w:rsid w:val="0091430E"/>
    <w:rsid w:val="00914500"/>
    <w:rsid w:val="00915AB2"/>
    <w:rsid w:val="00915B9C"/>
    <w:rsid w:val="00916BB2"/>
    <w:rsid w:val="00921199"/>
    <w:rsid w:val="00923DDC"/>
    <w:rsid w:val="00924ADE"/>
    <w:rsid w:val="009256F5"/>
    <w:rsid w:val="00925DDA"/>
    <w:rsid w:val="00926FED"/>
    <w:rsid w:val="0093007F"/>
    <w:rsid w:val="00936132"/>
    <w:rsid w:val="00937307"/>
    <w:rsid w:val="0093779B"/>
    <w:rsid w:val="0094111F"/>
    <w:rsid w:val="009424AD"/>
    <w:rsid w:val="0095140E"/>
    <w:rsid w:val="009525E3"/>
    <w:rsid w:val="00952CCF"/>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6691"/>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340"/>
    <w:rsid w:val="009C08AC"/>
    <w:rsid w:val="009C0C3E"/>
    <w:rsid w:val="009C41BB"/>
    <w:rsid w:val="009C50B0"/>
    <w:rsid w:val="009D006B"/>
    <w:rsid w:val="009D47B6"/>
    <w:rsid w:val="009D48A7"/>
    <w:rsid w:val="009D5692"/>
    <w:rsid w:val="009E3F73"/>
    <w:rsid w:val="009E545A"/>
    <w:rsid w:val="009E7CF6"/>
    <w:rsid w:val="009F0CD6"/>
    <w:rsid w:val="009F1DFD"/>
    <w:rsid w:val="009F3D64"/>
    <w:rsid w:val="009F4FA5"/>
    <w:rsid w:val="009F5660"/>
    <w:rsid w:val="00A00CAB"/>
    <w:rsid w:val="00A017EB"/>
    <w:rsid w:val="00A02908"/>
    <w:rsid w:val="00A02A9C"/>
    <w:rsid w:val="00A05373"/>
    <w:rsid w:val="00A0770D"/>
    <w:rsid w:val="00A07E36"/>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109F"/>
    <w:rsid w:val="00A62138"/>
    <w:rsid w:val="00A73E4E"/>
    <w:rsid w:val="00A773FB"/>
    <w:rsid w:val="00A8089C"/>
    <w:rsid w:val="00A80C70"/>
    <w:rsid w:val="00A80FCD"/>
    <w:rsid w:val="00A822CD"/>
    <w:rsid w:val="00A8348C"/>
    <w:rsid w:val="00A83ED5"/>
    <w:rsid w:val="00A9023A"/>
    <w:rsid w:val="00A92500"/>
    <w:rsid w:val="00A94E8C"/>
    <w:rsid w:val="00A9551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AF7A82"/>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0A0F"/>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36D"/>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06476"/>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4001"/>
    <w:rsid w:val="00C578D1"/>
    <w:rsid w:val="00C57ADF"/>
    <w:rsid w:val="00C6132C"/>
    <w:rsid w:val="00C62050"/>
    <w:rsid w:val="00C67260"/>
    <w:rsid w:val="00C702A7"/>
    <w:rsid w:val="00C70884"/>
    <w:rsid w:val="00C728F3"/>
    <w:rsid w:val="00C733E6"/>
    <w:rsid w:val="00C75AFB"/>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2FA8"/>
    <w:rsid w:val="00CC5015"/>
    <w:rsid w:val="00CC740F"/>
    <w:rsid w:val="00CD4ECC"/>
    <w:rsid w:val="00CD7391"/>
    <w:rsid w:val="00CE37BF"/>
    <w:rsid w:val="00CE39E2"/>
    <w:rsid w:val="00CE618F"/>
    <w:rsid w:val="00CF0CE5"/>
    <w:rsid w:val="00CF1D8A"/>
    <w:rsid w:val="00CF372A"/>
    <w:rsid w:val="00CF45ED"/>
    <w:rsid w:val="00CF6129"/>
    <w:rsid w:val="00D00BA4"/>
    <w:rsid w:val="00D00F60"/>
    <w:rsid w:val="00D010BF"/>
    <w:rsid w:val="00D01230"/>
    <w:rsid w:val="00D050F1"/>
    <w:rsid w:val="00D06FCA"/>
    <w:rsid w:val="00D104AF"/>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373B4"/>
    <w:rsid w:val="00D42AC7"/>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96405"/>
    <w:rsid w:val="00D96BAC"/>
    <w:rsid w:val="00DA0134"/>
    <w:rsid w:val="00DA343D"/>
    <w:rsid w:val="00DA461A"/>
    <w:rsid w:val="00DA546B"/>
    <w:rsid w:val="00DB2253"/>
    <w:rsid w:val="00DB2D57"/>
    <w:rsid w:val="00DB3CC7"/>
    <w:rsid w:val="00DC0197"/>
    <w:rsid w:val="00DC7BFE"/>
    <w:rsid w:val="00DD1E52"/>
    <w:rsid w:val="00DD4200"/>
    <w:rsid w:val="00DD72E6"/>
    <w:rsid w:val="00DD7F25"/>
    <w:rsid w:val="00DE0872"/>
    <w:rsid w:val="00DE2362"/>
    <w:rsid w:val="00DE238B"/>
    <w:rsid w:val="00DE49E6"/>
    <w:rsid w:val="00DE6C37"/>
    <w:rsid w:val="00DF3E01"/>
    <w:rsid w:val="00DF6920"/>
    <w:rsid w:val="00E00516"/>
    <w:rsid w:val="00E00CD0"/>
    <w:rsid w:val="00E02A2C"/>
    <w:rsid w:val="00E05480"/>
    <w:rsid w:val="00E058CF"/>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D7F7B"/>
    <w:rsid w:val="00EE1EEC"/>
    <w:rsid w:val="00EE5FCA"/>
    <w:rsid w:val="00EE6889"/>
    <w:rsid w:val="00EF1CB9"/>
    <w:rsid w:val="00EF3BCF"/>
    <w:rsid w:val="00EF524C"/>
    <w:rsid w:val="00EF5255"/>
    <w:rsid w:val="00EF55D4"/>
    <w:rsid w:val="00EF5D6A"/>
    <w:rsid w:val="00F001CD"/>
    <w:rsid w:val="00F00963"/>
    <w:rsid w:val="00F01C84"/>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5441A"/>
    <w:rsid w:val="00F558A7"/>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3CBA"/>
    <w:rsid w:val="00FC51D6"/>
    <w:rsid w:val="00FC53C2"/>
    <w:rsid w:val="00FC5D67"/>
    <w:rsid w:val="00FC70BE"/>
    <w:rsid w:val="00FD1BCF"/>
    <w:rsid w:val="00FD262D"/>
    <w:rsid w:val="00FD2917"/>
    <w:rsid w:val="00FD650A"/>
    <w:rsid w:val="00FD65EC"/>
    <w:rsid w:val="00FE0FD6"/>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0773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707738"/>
  </w:style>
  <w:style w:type="paragraph" w:styleId="Pidipagina">
    <w:name w:val="footer"/>
    <w:basedOn w:val="Normale"/>
    <w:link w:val="PidipaginaCarattere"/>
    <w:uiPriority w:val="99"/>
    <w:unhideWhenUsed/>
    <w:rsid w:val="0070773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707738"/>
  </w:style>
  <w:style w:type="paragraph" w:styleId="Testofumetto">
    <w:name w:val="Balloon Text"/>
    <w:basedOn w:val="Normale"/>
    <w:link w:val="TestofumettoCarattere"/>
    <w:uiPriority w:val="99"/>
    <w:semiHidden/>
    <w:unhideWhenUsed/>
    <w:rsid w:val="00707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7738"/>
    <w:rPr>
      <w:rFonts w:ascii="Tahoma" w:hAnsi="Tahoma" w:cs="Tahoma"/>
      <w:sz w:val="16"/>
      <w:szCs w:val="16"/>
    </w:rPr>
  </w:style>
  <w:style w:type="table" w:styleId="Grigliatabella">
    <w:name w:val="Table Grid"/>
    <w:basedOn w:val="Tabellanormale"/>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61F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61F7C"/>
    <w:rPr>
      <w:sz w:val="20"/>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basedOn w:val="Carpredefinitoparagrafo"/>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Paragrafoelenco">
    <w:name w:val="List Paragraph"/>
    <w:aliases w:val="Paragraphe EI,Paragraphe de liste1,EC,List Paragraph_Sections,Dot pt,List Paragraph1,Colorful List - Accent 11,No Spacing1,List Paragraph Char Char Char,Indicator Text,Numbered Para 1,Bullet 1,F5 List Paragraph,Bullet Points,OBC Bullet"/>
    <w:basedOn w:val="Normale"/>
    <w:link w:val="ParagrafoelencoCarattere"/>
    <w:uiPriority w:val="34"/>
    <w:qFormat/>
    <w:rsid w:val="008057FF"/>
    <w:pPr>
      <w:ind w:left="720"/>
      <w:contextualSpacing/>
    </w:pPr>
  </w:style>
  <w:style w:type="character" w:styleId="Rimandocommento">
    <w:name w:val="annotation reference"/>
    <w:basedOn w:val="Carpredefinitoparagrafo"/>
    <w:uiPriority w:val="99"/>
    <w:semiHidden/>
    <w:unhideWhenUsed/>
    <w:rsid w:val="009A3551"/>
    <w:rPr>
      <w:sz w:val="16"/>
      <w:szCs w:val="16"/>
    </w:rPr>
  </w:style>
  <w:style w:type="paragraph" w:styleId="Testocommento">
    <w:name w:val="annotation text"/>
    <w:basedOn w:val="Normale"/>
    <w:link w:val="TestocommentoCarattere"/>
    <w:uiPriority w:val="99"/>
    <w:unhideWhenUsed/>
    <w:rsid w:val="009A3551"/>
    <w:pPr>
      <w:spacing w:line="240" w:lineRule="auto"/>
    </w:pPr>
    <w:rPr>
      <w:sz w:val="20"/>
      <w:szCs w:val="20"/>
    </w:rPr>
  </w:style>
  <w:style w:type="character" w:customStyle="1" w:styleId="TestocommentoCarattere">
    <w:name w:val="Testo commento Carattere"/>
    <w:basedOn w:val="Carpredefinitoparagrafo"/>
    <w:link w:val="Testocommento"/>
    <w:uiPriority w:val="99"/>
    <w:rsid w:val="009A3551"/>
    <w:rPr>
      <w:sz w:val="20"/>
      <w:szCs w:val="20"/>
    </w:rPr>
  </w:style>
  <w:style w:type="paragraph" w:styleId="Soggettocommento">
    <w:name w:val="annotation subject"/>
    <w:basedOn w:val="Testocommento"/>
    <w:next w:val="Testocommento"/>
    <w:link w:val="SoggettocommentoCarattere"/>
    <w:uiPriority w:val="99"/>
    <w:semiHidden/>
    <w:unhideWhenUsed/>
    <w:rsid w:val="009A3551"/>
    <w:rPr>
      <w:b/>
      <w:bCs/>
    </w:rPr>
  </w:style>
  <w:style w:type="character" w:customStyle="1" w:styleId="SoggettocommentoCarattere">
    <w:name w:val="Soggetto commento Carattere"/>
    <w:basedOn w:val="TestocommentoCarattere"/>
    <w:link w:val="Soggettocommento"/>
    <w:uiPriority w:val="99"/>
    <w:semiHidden/>
    <w:rsid w:val="009A3551"/>
    <w:rPr>
      <w:b/>
      <w:bCs/>
      <w:sz w:val="20"/>
      <w:szCs w:val="20"/>
    </w:rPr>
  </w:style>
  <w:style w:type="paragraph" w:styleId="NormaleWeb">
    <w:name w:val="Normal (Web)"/>
    <w:basedOn w:val="Normale"/>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llegamentoipertestuale">
    <w:name w:val="Hyperlink"/>
    <w:basedOn w:val="Carpredefinitoparagrafo"/>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ParagrafoelencoCarattere">
    <w:name w:val="Paragrafo elenco Carattere"/>
    <w:aliases w:val="Paragraphe EI Carattere,Paragraphe de liste1 Carattere,EC Carattere,List Paragraph_Sections Carattere,Dot pt Carattere,List Paragraph1 Carattere,Colorful List - Accent 11 Carattere,No Spacing1 Carattere,Bullet 1 Carattere"/>
    <w:basedOn w:val="Carpredefinitoparagrafo"/>
    <w:link w:val="Paragrafoelenco"/>
    <w:uiPriority w:val="34"/>
    <w:qFormat/>
    <w:locked/>
    <w:rsid w:val="00D36E67"/>
  </w:style>
  <w:style w:type="paragraph" w:styleId="Titolo">
    <w:name w:val="Title"/>
    <w:basedOn w:val="Normale"/>
    <w:next w:val="Normale"/>
    <w:link w:val="TitoloCarattere"/>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oloCarattere">
    <w:name w:val="Titolo Carattere"/>
    <w:basedOn w:val="Carpredefinitoparagrafo"/>
    <w:link w:val="Titolo"/>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e">
    <w:name w:val="Revision"/>
    <w:hidden/>
    <w:uiPriority w:val="99"/>
    <w:semiHidden/>
    <w:rsid w:val="00D1763F"/>
    <w:pPr>
      <w:spacing w:after="0" w:line="240" w:lineRule="auto"/>
    </w:pPr>
  </w:style>
  <w:style w:type="character" w:styleId="Collegamentovisitato">
    <w:name w:val="FollowedHyperlink"/>
    <w:basedOn w:val="Carpredefinitoparagrafo"/>
    <w:uiPriority w:val="99"/>
    <w:semiHidden/>
    <w:unhideWhenUsed/>
    <w:rsid w:val="001275B5"/>
    <w:rPr>
      <w:color w:val="800080" w:themeColor="followedHyperlink"/>
      <w:u w:val="single"/>
    </w:rPr>
  </w:style>
  <w:style w:type="paragraph" w:customStyle="1" w:styleId="Letterhead">
    <w:name w:val="Letterhead"/>
    <w:basedOn w:val="Normale"/>
    <w:link w:val="LetterheadChar"/>
    <w:qFormat/>
    <w:rsid w:val="0079065E"/>
    <w:pPr>
      <w:spacing w:after="0"/>
      <w:jc w:val="right"/>
    </w:pPr>
    <w:rPr>
      <w:rFonts w:eastAsiaTheme="minorEastAsia"/>
      <w:b/>
      <w:szCs w:val="20"/>
    </w:rPr>
  </w:style>
  <w:style w:type="character" w:customStyle="1" w:styleId="LetterheadChar">
    <w:name w:val="Letterhead Char"/>
    <w:basedOn w:val="Carpredefinitoparagrafo"/>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Carpredefinitoparagrafo"/>
    <w:uiPriority w:val="1"/>
    <w:qFormat/>
    <w:rsid w:val="005418F4"/>
    <w:rPr>
      <w:b w:val="0"/>
      <w:bCs/>
      <w:caps/>
      <w:smallCaps w:val="0"/>
      <w:color w:val="1F497D" w:themeColor="text2"/>
      <w:sz w:val="22"/>
    </w:rPr>
  </w:style>
  <w:style w:type="paragraph" w:customStyle="1" w:styleId="HeaderFoot">
    <w:name w:val="HeaderFoot"/>
    <w:basedOn w:val="Normale"/>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Carpredefinitoparagrafo"/>
    <w:link w:val="HeaderFoot"/>
    <w:rsid w:val="005418F4"/>
    <w:rPr>
      <w:rFonts w:ascii="Arial" w:eastAsiaTheme="minorEastAsia" w:hAnsi="Arial" w:cs="Arial"/>
      <w:color w:val="001B4F"/>
      <w:sz w:val="16"/>
      <w:szCs w:val="16"/>
    </w:rPr>
  </w:style>
  <w:style w:type="character" w:styleId="Menzionenonrisolta">
    <w:name w:val="Unresolved Mention"/>
    <w:basedOn w:val="Carpredefinitoparagrafo"/>
    <w:uiPriority w:val="99"/>
    <w:semiHidden/>
    <w:unhideWhenUsed/>
    <w:rsid w:val="00905E44"/>
    <w:rPr>
      <w:color w:val="605E5C"/>
      <w:shd w:val="clear" w:color="auto" w:fill="E1DFDD"/>
    </w:rPr>
  </w:style>
  <w:style w:type="paragraph" w:customStyle="1" w:styleId="Questionstyle">
    <w:name w:val="Question style"/>
    <w:basedOn w:val="Normale"/>
    <w:next w:val="Normale"/>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Carpredefinitoparagrafo"/>
    <w:link w:val="Questionstyle"/>
    <w:rsid w:val="00AE48EE"/>
    <w:rPr>
      <w:rFonts w:ascii="Arial" w:eastAsiaTheme="minorEastAsia" w:hAnsi="Arial" w:cs="Arial"/>
      <w:b/>
      <w:lang w:val="en-US"/>
    </w:rPr>
  </w:style>
  <w:style w:type="paragraph" w:customStyle="1" w:styleId="02Date">
    <w:name w:val="02_Date"/>
    <w:basedOn w:val="Normale"/>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5.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JC ESAs letter 2023</Template>
  <TotalTime>194</TotalTime>
  <Pages>21</Pages>
  <Words>5604</Words>
  <Characters>31949</Characters>
  <Application>Microsoft Office Word</Application>
  <DocSecurity>0</DocSecurity>
  <Lines>266</Lines>
  <Paragraphs>74</Paragraphs>
  <ScaleCrop>false</ScaleCrop>
  <Company>HP</Company>
  <LinksUpToDate>false</LinksUpToDate>
  <CharactersWithSpaces>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ABI-UMC</cp:lastModifiedBy>
  <cp:revision>72</cp:revision>
  <cp:lastPrinted>2022-02-14T13:26:00Z</cp:lastPrinted>
  <dcterms:created xsi:type="dcterms:W3CDTF">2023-04-21T10:42:00Z</dcterms:created>
  <dcterms:modified xsi:type="dcterms:W3CDTF">2023-07-04T08:32:00Z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