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7E55D4BE" w:rsidR="005418F4" w:rsidRPr="005418F4" w:rsidRDefault="00897DA4" w:rsidP="005418F4">
                <w:pPr>
                  <w:spacing w:after="250"/>
                  <w:rPr>
                    <w:rFonts w:ascii="Arial" w:eastAsiaTheme="minorEastAsia" w:hAnsi="Arial" w:cs="Arial"/>
                    <w:color w:val="808080"/>
                    <w:szCs w:val="20"/>
                  </w:rPr>
                </w:pPr>
                <w:r>
                  <w:rPr>
                    <w:rFonts w:ascii="Arial" w:eastAsiaTheme="minorEastAsia" w:hAnsi="Arial" w:cs="Arial"/>
                    <w:color w:val="808080"/>
                    <w:szCs w:val="20"/>
                  </w:rPr>
                  <w:t>T3 Consultants Lt</w:t>
                </w:r>
                <w:r w:rsidR="00424CDE">
                  <w:rPr>
                    <w:rFonts w:ascii="Arial" w:eastAsiaTheme="minorEastAsia" w:hAnsi="Arial" w:cs="Arial"/>
                    <w:color w:val="808080"/>
                    <w:szCs w:val="20"/>
                  </w:rPr>
                  <w:t>d</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F37D170" w:rsidR="005418F4" w:rsidRPr="005418F4" w:rsidRDefault="00C21E98"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64CFA">
                  <w:rPr>
                    <w:rFonts w:ascii="Arial" w:eastAsiaTheme="minorEastAsia" w:hAnsi="Arial" w:cs="Arial"/>
                    <w:color w:val="1A1A1A" w:themeColor="background1" w:themeShade="1A"/>
                    <w:szCs w:val="20"/>
                  </w:rPr>
                  <w:t>Non-financial counterparty</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431DA33" w:rsidR="005418F4" w:rsidRPr="005418F4" w:rsidRDefault="00864CFA"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011BCD1F" w:rsidR="005418F4" w:rsidRPr="005418F4" w:rsidRDefault="00864CFA"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08C47E6" w14:textId="690780CD" w:rsidR="00F90763" w:rsidRDefault="00D842BC" w:rsidP="00786D0A">
      <w:permStart w:id="1348034591" w:edGrp="everyone"/>
      <w:r>
        <w:t xml:space="preserve">Partially </w:t>
      </w:r>
      <w:r w:rsidR="001040BE" w:rsidRPr="001040BE">
        <w:t>Agree</w:t>
      </w:r>
      <w:r w:rsidR="001531E0">
        <w:t xml:space="preserve"> </w:t>
      </w:r>
      <w:r w:rsidR="00C329F5">
        <w:t>–</w:t>
      </w:r>
      <w:r w:rsidR="001531E0">
        <w:t xml:space="preserve"> </w:t>
      </w:r>
      <w:r w:rsidR="001531E0" w:rsidRPr="001531E0">
        <w:t>No</w:t>
      </w:r>
      <w:r w:rsidR="00C329F5">
        <w:t>,</w:t>
      </w:r>
      <w:r w:rsidR="001531E0" w:rsidRPr="001531E0">
        <w:t xml:space="preserve"> for all except </w:t>
      </w:r>
      <w:r w:rsidR="00C329F5">
        <w:t xml:space="preserve">for </w:t>
      </w:r>
      <w:r w:rsidR="001531E0" w:rsidRPr="001531E0">
        <w:t>Tobacco</w:t>
      </w:r>
      <w:r w:rsidR="001040BE" w:rsidRPr="001040BE">
        <w:t>.</w:t>
      </w:r>
      <w:r w:rsidR="00786D0A">
        <w:t xml:space="preserve"> </w:t>
      </w:r>
      <w:r w:rsidR="001040BE" w:rsidRPr="001040BE">
        <w:t>The new mandatory social indicators will provide valuable insights into corporate social responsibility, although data gathering needs to be streamlined and efficient.</w:t>
      </w:r>
      <w:r>
        <w:t xml:space="preserve"> </w:t>
      </w:r>
      <w:r w:rsidR="00F90763">
        <w:t xml:space="preserve">The idea of using draft ESRS as the basis for the definition of the new social PAI indicators is key. There is a need for convergence across disclosures to ensure optimal &amp; less burdensome data gathering. </w:t>
      </w:r>
      <w:r w:rsidR="00786D0A">
        <w:t xml:space="preserve">On the tax avoidance – It is a bit confusing why this is covered here instead of enhancing The </w:t>
      </w:r>
      <w:r w:rsidR="00A61159">
        <w:t>Anti-Tax</w:t>
      </w:r>
      <w:r w:rsidR="00786D0A">
        <w:t xml:space="preserve"> Avoidance Directive. The wording of the trade union point is complex and hard to understand what we are aiming at. Anything</w:t>
      </w:r>
      <w:r w:rsidR="00A61159" w:rsidRPr="00A61159">
        <w:t>, where a company has to evidence inaction,</w:t>
      </w:r>
      <w:r w:rsidR="00786D0A">
        <w:t xml:space="preserve"> is confusing. </w:t>
      </w:r>
    </w:p>
    <w:permEnd w:id="1348034591"/>
    <w:p w14:paraId="48EE2711" w14:textId="637B6987" w:rsidR="009C41BB" w:rsidRDefault="009C41BB" w:rsidP="00F90763">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47C0AF08" w14:textId="6DC402F8" w:rsidR="006E1288" w:rsidRDefault="002E3B7D" w:rsidP="009C41BB">
      <w:permStart w:id="1140268191" w:edGrp="everyone"/>
      <w:r>
        <w:t xml:space="preserve">No, </w:t>
      </w:r>
      <w:r w:rsidR="00A61159">
        <w:t>with</w:t>
      </w:r>
      <w:r>
        <w:t xml:space="preserve"> the exception of a potential mandatory</w:t>
      </w:r>
      <w:r w:rsidR="006E1288" w:rsidRPr="006E1288">
        <w:t xml:space="preserve"> social indicator for gender equality in leadership roles</w:t>
      </w:r>
      <w:r w:rsidR="00D269E5">
        <w:t xml:space="preserve"> in line with OECD indicators</w:t>
      </w:r>
      <w:r w:rsidR="006E1288" w:rsidRPr="006E1288">
        <w:t>.</w:t>
      </w:r>
      <w:r w:rsidRPr="002E3B7D">
        <w:t xml:space="preserve"> We find that the cost of compliance has considerably gone up especially as accounting and financial bodies as well as </w:t>
      </w:r>
      <w:r w:rsidR="00DE747D">
        <w:t>NGOs</w:t>
      </w:r>
      <w:r w:rsidRPr="002E3B7D">
        <w:t xml:space="preserve"> continue to issue their own standards. </w:t>
      </w:r>
      <w:r w:rsidRPr="002E3B7D">
        <w:lastRenderedPageBreak/>
        <w:t>Good and fair oversight requires clarity on the side of the requeste</w:t>
      </w:r>
      <w:r w:rsidR="00DE747D">
        <w:t>r</w:t>
      </w:r>
      <w:r w:rsidRPr="002E3B7D">
        <w:t xml:space="preserve"> -</w:t>
      </w:r>
      <w:r w:rsidR="00DE747D">
        <w:t xml:space="preserve"> </w:t>
      </w:r>
      <w:r w:rsidRPr="002E3B7D">
        <w:t xml:space="preserve">we need to control the number of PAI so we don’t </w:t>
      </w:r>
      <w:r w:rsidR="00DE747D">
        <w:t>drown</w:t>
      </w:r>
      <w:r w:rsidRPr="002E3B7D">
        <w:t xml:space="preserve"> in data overload</w:t>
      </w:r>
      <w:r w:rsidR="00DE747D">
        <w:t>.</w:t>
      </w:r>
    </w:p>
    <w:permEnd w:id="1140268191"/>
    <w:p w14:paraId="7446D4C6" w14:textId="094F7178"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518FCD94" w:rsidR="009C41BB" w:rsidRDefault="00ED49E5" w:rsidP="00ED49E5">
      <w:permStart w:id="1930569352" w:edGrp="everyone"/>
      <w:r>
        <w:t>Disagree, w</w:t>
      </w:r>
      <w:r w:rsidR="00CA4736" w:rsidRPr="00CA4736">
        <w:t>hile these indicators can be informative, obtaining such data could be challenging and should be streamlined.</w:t>
      </w:r>
      <w:r>
        <w:t xml:space="preserve"> Excessive use of temporary works can be temporary - at the start of a new organisation, during a period of change. It is not a “clean” data point. The concept of Adequate wages is not easy for firms to understand</w:t>
      </w:r>
      <w:r w:rsidR="00DB7AB2">
        <w:t xml:space="preserve"> – “</w:t>
      </w:r>
      <w:r>
        <w:t xml:space="preserve">Negotiation of fair wages in collective bargaining agreements, verification that employment agencies pay a fair wage”. Insufficient use of disability- this is a really poor metric as the sample will be tiny to compare anything and the results are not </w:t>
      </w:r>
      <w:r w:rsidR="00EB103C">
        <w:t xml:space="preserve">directly </w:t>
      </w:r>
      <w:r>
        <w:t>relevant. At a client</w:t>
      </w:r>
      <w:r w:rsidR="00D94A7D">
        <w:t>,</w:t>
      </w:r>
      <w:r>
        <w:t xml:space="preserve"> we had a consultant on diversity help us draft a role and despite best efforts</w:t>
      </w:r>
      <w:r w:rsidR="00D94A7D">
        <w:t>,</w:t>
      </w:r>
      <w:r>
        <w:t xml:space="preserve"> </w:t>
      </w:r>
      <w:r w:rsidR="00D94A7D">
        <w:t xml:space="preserve">the </w:t>
      </w:r>
      <w:r>
        <w:t xml:space="preserve">majority of applicants were non-disabled men. </w:t>
      </w:r>
      <w:r w:rsidR="00D94A7D">
        <w:t>F</w:t>
      </w:r>
      <w:r>
        <w:t xml:space="preserve">orcing companies to boost these metrics may encourage </w:t>
      </w:r>
      <w:r w:rsidR="00D94A7D">
        <w:t xml:space="preserve">the </w:t>
      </w:r>
      <w:r>
        <w:t>violation of equal opportunity laws. Lack of grievance</w:t>
      </w:r>
      <w:r w:rsidR="00D94A7D">
        <w:t xml:space="preserve"> </w:t>
      </w:r>
      <w:r>
        <w:t xml:space="preserve">- using passive phrasing </w:t>
      </w:r>
      <w:r w:rsidR="00D94A7D">
        <w:t>makes</w:t>
      </w:r>
      <w:r>
        <w:t xml:space="preserve"> it difficult to manage these types of metrics. Also</w:t>
      </w:r>
      <w:r w:rsidR="00D94A7D">
        <w:t>,</w:t>
      </w:r>
      <w:r>
        <w:t xml:space="preserve"> it </w:t>
      </w:r>
      <w:r w:rsidR="00D94A7D">
        <w:t>i</w:t>
      </w:r>
      <w:r>
        <w:t>s not a very good data point. As you may have a highly effective firm with an empowered HR where matters are escalated adequately v</w:t>
      </w:r>
      <w:r w:rsidR="00D94A7D">
        <w:t>ersus</w:t>
      </w:r>
      <w:r>
        <w:t xml:space="preserve"> a firm (majority today) where HR is an admin</w:t>
      </w:r>
      <w:r w:rsidR="00D94A7D">
        <w:t>istrative</w:t>
      </w:r>
      <w:r>
        <w:t xml:space="preserve"> function.</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Pr="00F03C61" w:rsidRDefault="009C41BB" w:rsidP="009C41BB">
      <w:pPr>
        <w:rPr>
          <w:lang w:val="it-IT"/>
        </w:rPr>
      </w:pPr>
      <w:r w:rsidRPr="00F03C61">
        <w:rPr>
          <w:lang w:val="it-IT"/>
        </w:rPr>
        <w:t>&lt;ESMA_QUESTION_SFDR_4&gt;</w:t>
      </w:r>
    </w:p>
    <w:p w14:paraId="77FBBED9" w14:textId="681F11EB" w:rsidR="00CA4736" w:rsidRPr="00F0364C" w:rsidRDefault="00F0364C" w:rsidP="009C41BB">
      <w:pPr>
        <w:rPr>
          <w:lang w:val="it-IT"/>
        </w:rPr>
      </w:pPr>
      <w:permStart w:id="2056993415" w:edGrp="everyone"/>
      <w:r w:rsidRPr="00F0364C">
        <w:rPr>
          <w:lang w:val="it-IT"/>
        </w:rPr>
        <w:t>No</w:t>
      </w:r>
      <w:r w:rsidR="00F03C61">
        <w:rPr>
          <w:lang w:val="it-IT"/>
        </w:rPr>
        <w:t>ne.</w:t>
      </w:r>
    </w:p>
    <w:permEnd w:id="2056993415"/>
    <w:p w14:paraId="5C0CA950" w14:textId="27E78590" w:rsidR="009C41BB" w:rsidRPr="00F0364C" w:rsidRDefault="009C41BB" w:rsidP="009C41BB">
      <w:pPr>
        <w:rPr>
          <w:lang w:val="it-IT"/>
        </w:rPr>
      </w:pPr>
      <w:r w:rsidRPr="00F0364C">
        <w:rPr>
          <w:lang w:val="it-IT"/>
        </w:rPr>
        <w:t>&lt;ESMA_QUESTION_SFDR_4&gt;</w:t>
      </w:r>
    </w:p>
    <w:p w14:paraId="6CC85AFF" w14:textId="77777777" w:rsidR="009C41BB" w:rsidRPr="00F0364C" w:rsidRDefault="009C41BB" w:rsidP="009C41BB">
      <w:pPr>
        <w:rPr>
          <w:lang w:val="it-IT"/>
        </w:rPr>
      </w:pPr>
    </w:p>
    <w:p w14:paraId="5D57C8EB" w14:textId="77777777" w:rsidR="009C41BB" w:rsidRDefault="009C41BB" w:rsidP="009C41BB">
      <w:pPr>
        <w:pStyle w:val="Questionstyle"/>
        <w:numPr>
          <w:ilvl w:val="0"/>
          <w:numId w:val="42"/>
        </w:numPr>
      </w:pPr>
      <w:bookmarkStart w:id="4" w:name="_Hlk131609833"/>
      <w:r>
        <w:t xml:space="preserve">: Do you agree with the changes proposed to the existing mandatory and opt-in social indicators in Annex I, Table I and III (i.e. replacing the UN Global Compact </w:t>
      </w:r>
      <w:r>
        <w:lastRenderedPageBreak/>
        <w:t>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15FCFE31" w:rsidR="009C41BB" w:rsidRDefault="009C41BB" w:rsidP="009C41BB">
      <w:permStart w:id="452221127" w:edGrp="everyone"/>
      <w:r>
        <w:t xml:space="preserve"> </w:t>
      </w:r>
      <w:r w:rsidR="00796C8A" w:rsidRPr="00796C8A">
        <w:t>Agree. Replacing the UN Global Compact Principles with the UN Guiding Principles and ILO Declaration promotes a more comprehensive assessment.</w:t>
      </w:r>
      <w:r w:rsidR="001C416A">
        <w:t xml:space="preserve"> No additional suggestions for changes.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31E83AC9" w:rsidR="009C41BB" w:rsidRDefault="009C41BB" w:rsidP="009C41BB">
      <w:permStart w:id="887372501" w:edGrp="everyone"/>
      <w:r>
        <w:t xml:space="preserve"> </w:t>
      </w:r>
      <w:r w:rsidR="00796C8A" w:rsidRPr="00796C8A">
        <w:t>Partially agree. While it is important to hold entities accountable for their social impact, data gathering can be challenging and must be streamlined to avoid undue burden.</w:t>
      </w:r>
      <w:r w:rsidR="007E5A46">
        <w:t xml:space="preserve"> </w:t>
      </w:r>
      <w:r w:rsidR="00A25384">
        <w:t>No</w:t>
      </w:r>
      <w:r w:rsidR="00176C27">
        <w:t xml:space="preserve"> further recommendations.</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6A20CFCA" w14:textId="030DF85F" w:rsidR="00176C27" w:rsidRDefault="00176C27" w:rsidP="00176C27">
      <w:permStart w:id="1270483112" w:edGrp="everyone"/>
      <w:r w:rsidRPr="00176C27">
        <w:t>TYPE YOUR TEXT HERE</w:t>
      </w:r>
    </w:p>
    <w:permEnd w:id="1270483112"/>
    <w:p w14:paraId="2EAB99B1" w14:textId="00D23C25"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58E10CC7" w14:textId="1B0465AD" w:rsidR="00C9299F" w:rsidRDefault="00C9299F" w:rsidP="009C41BB">
      <w:permStart w:id="1288714632" w:edGrp="everyone"/>
      <w:r w:rsidRPr="00C9299F">
        <w:t>Yes. The two can yield different outcomes and their application needs to be more clearly defined to avoid confusion and ensure data accuracy.</w:t>
      </w:r>
      <w:r w:rsidR="00A25384">
        <w:t xml:space="preserve"> Despite efforts to clarify those definitions further, residual challenges may arise</w:t>
      </w:r>
      <w:r w:rsidR="00F27FB5" w:rsidRPr="00F27FB5">
        <w:t xml:space="preserve"> </w:t>
      </w:r>
      <w:r w:rsidR="00F27FB5" w:rsidRPr="00F27FB5">
        <w:t>for the calculation of the PAI indicators</w:t>
      </w:r>
      <w:r w:rsidR="00A25384">
        <w:t>.</w:t>
      </w:r>
    </w:p>
    <w:permEnd w:id="1288714632"/>
    <w:p w14:paraId="762529E9" w14:textId="4AA93848"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040FB892" w14:textId="3CDAB4B1" w:rsidR="00E3698E" w:rsidRDefault="00C16C7F" w:rsidP="009C41BB">
      <w:permStart w:id="2059607147" w:edGrp="everyone"/>
      <w:r>
        <w:t>Overall, t</w:t>
      </w:r>
      <w:r w:rsidR="00E3698E" w:rsidRPr="00E3698E">
        <w:t xml:space="preserve">he new formulae </w:t>
      </w:r>
      <w:r>
        <w:t xml:space="preserve">should allow for greater transparency as limiting </w:t>
      </w:r>
      <w:r w:rsidR="009B4D22">
        <w:t>interpretation. Still, only practice will truly confirm whether these are clear enough and not</w:t>
      </w:r>
      <w:r w:rsidR="00E3698E" w:rsidRPr="00E3698E">
        <w:t xml:space="preserve"> add</w:t>
      </w:r>
      <w:r w:rsidR="009B4D22">
        <w:t>ing</w:t>
      </w:r>
      <w:r w:rsidR="00E3698E" w:rsidRPr="00E3698E">
        <w:t xml:space="preserve"> to the data burden.</w:t>
      </w:r>
      <w:r w:rsidR="00A835A1">
        <w:t xml:space="preserve"> No specific comments on proposed adjustments on a formulae level.</w:t>
      </w:r>
    </w:p>
    <w:permEnd w:id="2059607147"/>
    <w:p w14:paraId="548D5BC4" w14:textId="7F8DF57D"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3AD83DE4" w:rsidR="009C41BB" w:rsidRDefault="000B35F1" w:rsidP="009C41BB">
      <w:bookmarkStart w:id="10" w:name="_Hlk138929019"/>
      <w:permStart w:id="1591695117" w:edGrp="everyone"/>
      <w:r w:rsidRPr="000B35F1">
        <w:t>TYPE YOUR TEXT HERE</w:t>
      </w:r>
    </w:p>
    <w:bookmarkEnd w:id="10"/>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155A94A1" w14:textId="17CC5748" w:rsidR="009C41BB" w:rsidRDefault="008C6137" w:rsidP="009C41BB">
      <w:permStart w:id="1653823566" w:edGrp="everyone"/>
      <w:r w:rsidRPr="008C6137">
        <w:t>Agree. However, data collection processes need to be streamlined to reduce administrative burden.</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2F1975E7" w:rsidR="009C41BB" w:rsidRDefault="008C6137" w:rsidP="009C41BB">
      <w:permStart w:id="684359195" w:edGrp="everyone"/>
      <w:r w:rsidRPr="008C6137">
        <w:t>A clear definition of 'all investments' is essential for consistency and comparability, but it's crucial to consider practical implications to avoid over-complication.</w:t>
      </w:r>
      <w:r w:rsidR="008D1492">
        <w:t xml:space="preserve"> Overall, </w:t>
      </w:r>
      <w:r w:rsidR="00800C56">
        <w:t xml:space="preserve">agree with prioritizing </w:t>
      </w:r>
      <w:r w:rsidR="006308EC">
        <w:t xml:space="preserve">comparability over FMPS for this </w:t>
      </w:r>
      <w:r w:rsidR="00A16E04">
        <w:t>specific definition of ‘all investments’.</w:t>
      </w:r>
    </w:p>
    <w:permEnd w:id="684359195"/>
    <w:p w14:paraId="0ECB2AE8" w14:textId="77777777" w:rsidR="009C41BB" w:rsidRDefault="009C41BB" w:rsidP="009C41BB">
      <w:r>
        <w:lastRenderedPageBreak/>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0B2601EE" w:rsidR="009C41BB" w:rsidRDefault="00884205" w:rsidP="009C41BB">
      <w:permStart w:id="1426525783" w:edGrp="everyone"/>
      <w:r w:rsidRPr="00884205">
        <w:t xml:space="preserve">Agree. </w:t>
      </w:r>
      <w:r w:rsidR="00D256AE">
        <w:t>I</w:t>
      </w:r>
      <w:r w:rsidRPr="00884205">
        <w:t>t's important to ensure that the reporting burden on investee companies is balanced and reasonable.</w:t>
      </w:r>
      <w:r w:rsidR="00D256AE">
        <w:t xml:space="preserve"> This approach seems fair to the data reporter</w:t>
      </w:r>
      <w:r w:rsidR="00C74089">
        <w:t>s</w:t>
      </w:r>
      <w:r w:rsidR="00D256AE">
        <w:t>.</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0EA82183" w:rsidR="009C41BB" w:rsidRDefault="005D6F7A" w:rsidP="009C41BB">
      <w:permStart w:id="1609050593" w:edGrp="everyone"/>
      <w:r>
        <w:t xml:space="preserve">Agree on the inclusion of derivatives in the PAI indicators (by using </w:t>
      </w:r>
      <w:r w:rsidR="00C01C37" w:rsidRPr="00C01C37">
        <w:t>an equivalent long net exposure</w:t>
      </w:r>
      <w:r w:rsidR="00C01C37">
        <w:t xml:space="preserve">) </w:t>
      </w:r>
      <w:r>
        <w:t xml:space="preserve">to minimize the risk of participants </w:t>
      </w:r>
      <w:r w:rsidRPr="005D6F7A">
        <w:t>artificially lower their PAIs</w:t>
      </w:r>
      <w:r>
        <w:t>. Still, m</w:t>
      </w:r>
      <w:r w:rsidR="00884205" w:rsidRPr="00884205">
        <w:t xml:space="preserve">ore guidance </w:t>
      </w:r>
      <w:r>
        <w:t xml:space="preserve">on how the equivalence should be calculated </w:t>
      </w:r>
      <w:r w:rsidR="00884205" w:rsidRPr="00884205">
        <w:t>would be beneficial</w:t>
      </w:r>
      <w:r>
        <w:t>. Also</w:t>
      </w:r>
      <w:r w:rsidR="00C74089">
        <w:t>,</w:t>
      </w:r>
      <w:r>
        <w:t xml:space="preserve"> worth keeping in mind that t</w:t>
      </w:r>
      <w:r w:rsidR="00884205" w:rsidRPr="00884205">
        <w:t>he proposed treatment of derivatives might require more data which is not always readily available</w:t>
      </w:r>
      <w:r>
        <w:t xml:space="preserve"> and hence a staggered implementation approach might be relevant</w:t>
      </w:r>
      <w:r w:rsidR="00884205" w:rsidRPr="00884205">
        <w:t>.</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035C3BF1" w14:textId="499E32F3" w:rsidR="00902523" w:rsidRDefault="009C41BB" w:rsidP="009C41BB">
      <w:permStart w:id="8979202" w:edGrp="everyone"/>
      <w:r>
        <w:t xml:space="preserve"> </w:t>
      </w:r>
      <w:r w:rsidR="00511C99">
        <w:t>As per Q14 feedback, i</w:t>
      </w:r>
      <w:r w:rsidR="00902523" w:rsidRPr="00902523">
        <w:t>t</w:t>
      </w:r>
      <w:r w:rsidR="00511C99">
        <w:t xml:space="preserve"> i</w:t>
      </w:r>
      <w:r w:rsidR="00902523" w:rsidRPr="00902523">
        <w:t>s important to consider the practicalities and difficulties associated with data collection for derivatives.</w:t>
      </w:r>
    </w:p>
    <w:permEnd w:id="8979202"/>
    <w:p w14:paraId="2931ECD8" w14:textId="1AA692D9"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35700F8D" w:rsidR="009C41BB" w:rsidRPr="00D41080" w:rsidRDefault="00D75389" w:rsidP="009C41BB">
      <w:permStart w:id="1228814638" w:edGrp="everyone"/>
      <w:r w:rsidRPr="00D75389">
        <w:t>TYPE YOUR TEXT HERE</w:t>
      </w:r>
      <w:r w:rsidR="00D41080">
        <w:t>.</w:t>
      </w:r>
    </w:p>
    <w:permEnd w:id="1228814638"/>
    <w:p w14:paraId="5958D537" w14:textId="77777777" w:rsidR="009C41BB" w:rsidRPr="001C3A2F" w:rsidRDefault="009C41BB" w:rsidP="009C41BB">
      <w:r w:rsidRPr="001C3A2F">
        <w:t>&lt;ESMA_QUESTION_SFDR_16&gt;</w:t>
      </w:r>
    </w:p>
    <w:p w14:paraId="3FF87AEB" w14:textId="77777777" w:rsidR="009C41BB" w:rsidRPr="001C3A2F"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17D200C0" w:rsidR="009C41BB" w:rsidRDefault="00E71292" w:rsidP="009C41BB">
      <w:permStart w:id="791154279" w:edGrp="everyone"/>
      <w:r>
        <w:t xml:space="preserve">Agree overall. Keeping </w:t>
      </w:r>
      <w:r w:rsidR="004F5CD6">
        <w:t xml:space="preserve">the </w:t>
      </w:r>
      <w:r>
        <w:t xml:space="preserve">status quo for now is </w:t>
      </w:r>
      <w:r w:rsidR="004F5CD6">
        <w:t xml:space="preserve">the </w:t>
      </w:r>
      <w:r>
        <w:t xml:space="preserve">best course of action for </w:t>
      </w:r>
      <w:r w:rsidR="004F5CD6">
        <w:t xml:space="preserve">all </w:t>
      </w:r>
      <w:r w:rsidR="00345F30">
        <w:t>participants.</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373648E8" w14:textId="3B550870" w:rsidR="00DA41A0" w:rsidRDefault="00967F69" w:rsidP="00414362">
      <w:permStart w:id="984368250" w:edGrp="everyone"/>
      <w:r w:rsidRPr="00967F69">
        <w:t>It could be beneficial, provided the requirement doesn't lead to excessive data reporting burdens.</w:t>
      </w:r>
      <w:r w:rsidR="00414362" w:rsidRPr="00414362">
        <w:t xml:space="preserve"> </w:t>
      </w:r>
      <w:r w:rsidR="00414362">
        <w:t xml:space="preserve">By clarifying that the FMPs should publish the thresholds for the use of PAI indicators to determine that their sustainable investments do no significant harm, this option allows </w:t>
      </w:r>
      <w:r w:rsidR="005947D2">
        <w:t xml:space="preserve">for </w:t>
      </w:r>
      <w:r w:rsidR="00414362">
        <w:t xml:space="preserve">better transparency and this goes </w:t>
      </w:r>
      <w:r w:rsidR="00E85822">
        <w:t>in</w:t>
      </w:r>
      <w:r w:rsidR="00414362">
        <w:t xml:space="preserve"> the right direction</w:t>
      </w:r>
      <w:r w:rsidR="005B7611">
        <w:t xml:space="preserve">. The same should be re-assessed after a round or two of submissions have been completed as this would provide some </w:t>
      </w:r>
      <w:r w:rsidR="005947D2">
        <w:t>benchmark</w:t>
      </w:r>
      <w:r w:rsidR="005B7611">
        <w:t xml:space="preserve"> levels across the markets and that data could be used by the ESAs to define strict</w:t>
      </w:r>
      <w:r w:rsidR="005947D2">
        <w:t>er</w:t>
      </w:r>
      <w:r w:rsidR="00E85822">
        <w:t xml:space="preserve"> levels</w:t>
      </w:r>
      <w:r w:rsidR="005947D2">
        <w:t xml:space="preserve"> in the future</w:t>
      </w:r>
      <w:r w:rsidR="00E85822">
        <w:t>.</w:t>
      </w:r>
    </w:p>
    <w:permEnd w:id="984368250"/>
    <w:p w14:paraId="51EC0BD3" w14:textId="1FCDDA24"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Do you support the introduction of an optional “safe harbour” for environmental DNSH for taxonomy-aligned activities? Please explain your reasoning.</w:t>
      </w:r>
    </w:p>
    <w:p w14:paraId="63882390" w14:textId="77777777" w:rsidR="009C41BB" w:rsidRDefault="009C41BB" w:rsidP="009C41BB">
      <w:r>
        <w:t>&lt;ESMA_QUESTION_SFDR_19&gt;</w:t>
      </w:r>
    </w:p>
    <w:p w14:paraId="5B774EBD" w14:textId="41B13DAD" w:rsidR="009C41BB" w:rsidRDefault="007D58FD" w:rsidP="009C41BB">
      <w:permStart w:id="403253184" w:edGrp="everyone"/>
      <w:r>
        <w:t>Partially agree. On one hand, y</w:t>
      </w:r>
      <w:r w:rsidR="00195A3B" w:rsidRPr="00195A3B">
        <w:t>es, a "safe harbour" can help provide certainty and promote more taxonomy-aligned activities.</w:t>
      </w:r>
      <w:r w:rsidR="00E85822">
        <w:t xml:space="preserve"> Still, this seems to be complexifying further </w:t>
      </w:r>
      <w:r>
        <w:t xml:space="preserve">the overall disclosure and it </w:t>
      </w:r>
      <w:r>
        <w:lastRenderedPageBreak/>
        <w:t>does not seem that this new information might be easily digestible by final investors.</w:t>
      </w:r>
      <w:r w:rsidR="000100BF">
        <w:t xml:space="preserve"> So while on paper this seems attractive, we believe it would not work in practice.</w:t>
      </w:r>
      <w:r>
        <w:t xml:space="preserve"> </w:t>
      </w:r>
      <w:permEnd w:id="403253184"/>
      <w:r w:rsidR="009C41BB">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18D8AAB9" w:rsidR="009C41BB" w:rsidRDefault="00C35BCD" w:rsidP="009C41BB">
      <w:permStart w:id="10765956" w:edGrp="everyone"/>
      <w:r>
        <w:t xml:space="preserve">Disagree. </w:t>
      </w:r>
      <w:r w:rsidR="00195A3B" w:rsidRPr="00195A3B">
        <w:t>Having a single comprehensive concept for sustainability would reduce confusion and make assessments easier.</w:t>
      </w:r>
      <w:r>
        <w:t xml:space="preserve"> The more parallel tracks and definitions are being kept (or created) the more confusion would remain. There is a strong case for alignment </w:t>
      </w:r>
      <w:r w:rsidR="0037436E">
        <w:t xml:space="preserve">of </w:t>
      </w:r>
      <w:r>
        <w:t>intra- and inter-frameworks and disclosures.</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6F06FBAC" w:rsidR="009C41BB" w:rsidRDefault="00552F3B" w:rsidP="009C41BB">
      <w:permStart w:id="1098926409" w:edGrp="everyone"/>
      <w:r w:rsidRPr="00552F3B">
        <w:t>The introduction of independent verification or audits could help to ensure credibility and reduce the risk of greenwashing.</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4A6187C5" w:rsidR="009C41BB" w:rsidRDefault="00552F3B" w:rsidP="009C41BB">
      <w:permStart w:id="2084635173" w:edGrp="everyone"/>
      <w:r w:rsidRPr="00552F3B">
        <w:t xml:space="preserve">The balance is generally acceptable, </w:t>
      </w:r>
      <w:r w:rsidR="00116FC3">
        <w:t>and</w:t>
      </w:r>
      <w:r w:rsidRPr="00552F3B">
        <w:t xml:space="preserve"> it is crucial to keep reviewing this to ensure the reporting requirements remain feasible and proportional.</w:t>
      </w:r>
      <w:r w:rsidR="008028BB">
        <w:t xml:space="preserve"> We believe in aligning disclosures frameworks further to enhance overall efficiency while creating the required transparency for the end user.</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w:t>
      </w:r>
      <w:r>
        <w:lastRenderedPageBreak/>
        <w:t xml:space="preserve">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2726F54" w:rsidR="009C41BB" w:rsidRDefault="00B27534" w:rsidP="009C41BB">
      <w:permStart w:id="762907966" w:edGrp="everyone"/>
      <w:r w:rsidRPr="00B27534">
        <w:t>Providing a hyperlink is a more efficient method, however, confusion between different categories of products should be avoided.</w:t>
      </w:r>
      <w:r w:rsidR="0077257D">
        <w:t xml:space="preserve"> </w:t>
      </w:r>
      <w:r w:rsidR="00536621">
        <w:t>For this specific case, practicality should be prioritized.</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50750AF8" w:rsidR="009C41BB" w:rsidRDefault="00B27534" w:rsidP="009C41BB">
      <w:permStart w:id="1536640680" w:edGrp="everyone"/>
      <w:r w:rsidRPr="00B27534">
        <w:t>Yes, this distinction can help investors make informed decisions and supports FMPs in implementing their strategies.</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Pr="00761FA2" w:rsidRDefault="009C41BB" w:rsidP="009C41BB">
      <w:r w:rsidRPr="00761FA2">
        <w:t>&lt;ESMA_QUESTION_SFDR_25&gt;</w:t>
      </w:r>
    </w:p>
    <w:p w14:paraId="17831788" w14:textId="1AA25F9E" w:rsidR="009C41BB" w:rsidRPr="00761FA2" w:rsidRDefault="002801F5" w:rsidP="009C41BB">
      <w:permStart w:id="1824523423" w:edGrp="everyone"/>
      <w:r w:rsidRPr="00761FA2">
        <w:t xml:space="preserve">Yes, </w:t>
      </w:r>
      <w:r w:rsidR="00EF3568" w:rsidRPr="00761FA2">
        <w:t xml:space="preserve">it is useful </w:t>
      </w:r>
      <w:r w:rsidRPr="00761FA2">
        <w:t>as long as the methodologies used are reliable and not too burdensome in terms of data collection.</w:t>
      </w:r>
      <w:r w:rsidR="001F0508" w:rsidRPr="00761FA2">
        <w:t xml:space="preserve"> Overall, the balance of adding extra disclosure vs. access vs. understanding by the final user is a delicate balance to strike.</w:t>
      </w:r>
      <w:r w:rsidR="00EF3568" w:rsidRPr="00761FA2">
        <w:t xml:space="preserve"> </w:t>
      </w:r>
    </w:p>
    <w:permEnd w:id="1824523423"/>
    <w:p w14:paraId="1B2A7DBF" w14:textId="77777777" w:rsidR="009C41BB" w:rsidRDefault="009C41BB" w:rsidP="009C41BB">
      <w:r w:rsidRPr="00761FA2">
        <w:t>&lt;ESMA_QUESTION_SFDR_25&gt;</w:t>
      </w:r>
    </w:p>
    <w:p w14:paraId="4826CAD9" w14:textId="77777777" w:rsidR="009C41BB" w:rsidRDefault="009C41BB" w:rsidP="009C41BB"/>
    <w:p w14:paraId="1340C518" w14:textId="77777777" w:rsidR="009C41BB" w:rsidRPr="00761FA2" w:rsidRDefault="009C41BB" w:rsidP="009C41BB">
      <w:pPr>
        <w:pStyle w:val="Questionstyle"/>
        <w:numPr>
          <w:ilvl w:val="0"/>
          <w:numId w:val="42"/>
        </w:numPr>
      </w:pPr>
      <w:r>
        <w:lastRenderedPageBreak/>
        <w:t xml:space="preserve">: Do you agree with the proposed approach to require that the target is calculated for all investments of the financial product? Please explain your </w:t>
      </w:r>
      <w:r w:rsidRPr="00761FA2">
        <w:t>answer.</w:t>
      </w:r>
    </w:p>
    <w:p w14:paraId="36D5F087" w14:textId="77777777" w:rsidR="009C41BB" w:rsidRPr="00761FA2" w:rsidRDefault="009C41BB" w:rsidP="009C41BB">
      <w:r w:rsidRPr="00761FA2">
        <w:t>&lt;ESMA_QUESTION_SFDR_26&gt;</w:t>
      </w:r>
    </w:p>
    <w:p w14:paraId="48793778" w14:textId="5D1F176A" w:rsidR="009C41BB" w:rsidRPr="00761FA2" w:rsidRDefault="00D75389" w:rsidP="009C41BB">
      <w:permStart w:id="1572164812" w:edGrp="everyone"/>
      <w:r w:rsidRPr="00761FA2">
        <w:t>TYPE YOUR TEXT HERE</w:t>
      </w:r>
    </w:p>
    <w:permEnd w:id="1572164812"/>
    <w:p w14:paraId="6D51DAEC" w14:textId="77777777" w:rsidR="009C41BB" w:rsidRDefault="009C41BB" w:rsidP="009C41BB">
      <w:r w:rsidRPr="00761FA2">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254DABD9" w14:textId="23C80955" w:rsidR="004C3F47" w:rsidRDefault="007317E0" w:rsidP="009C41BB">
      <w:permStart w:id="324808106" w:edGrp="everyone"/>
      <w:r>
        <w:t xml:space="preserve">Agree. </w:t>
      </w:r>
      <w:r w:rsidR="004C3F47" w:rsidRPr="004C3F47">
        <w:t>The Global GHG Accounting and Reporting Standard could be a good choice</w:t>
      </w:r>
      <w:r w:rsidR="001C3A2F">
        <w:t xml:space="preserve">. Alignment and convergence would be a secondary great </w:t>
      </w:r>
      <w:r>
        <w:t>outcome in this specific case.</w:t>
      </w:r>
    </w:p>
    <w:permEnd w:id="324808106"/>
    <w:p w14:paraId="0E6910F8" w14:textId="0ED1E512"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5BB3961C" w:rsidR="009C41BB" w:rsidRDefault="004C3F47" w:rsidP="009C41BB">
      <w:permStart w:id="1690654287" w:edGrp="everyone"/>
      <w:r w:rsidRPr="004C3F47">
        <w:t>Yes, as long as it does not overly complicate the disclosure process.</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Pr="0029371E" w:rsidRDefault="009C41BB" w:rsidP="009C41BB">
      <w:pPr>
        <w:pStyle w:val="Questionstyle"/>
        <w:numPr>
          <w:ilvl w:val="0"/>
          <w:numId w:val="42"/>
        </w:numPr>
      </w:pPr>
      <w:r>
        <w:t xml:space="preserve">: Do you find it useful to ask for disclosures regarding the consistency </w:t>
      </w:r>
      <w:r w:rsidRPr="0029371E">
        <w:t>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Pr="0029371E" w:rsidRDefault="009C41BB" w:rsidP="009C41BB">
      <w:r w:rsidRPr="0029371E">
        <w:t>&lt;ESMA_QUESTION_SFDR_29&gt;</w:t>
      </w:r>
    </w:p>
    <w:p w14:paraId="7F9B1903" w14:textId="3F073E8C" w:rsidR="009C41BB" w:rsidRPr="0029371E" w:rsidRDefault="00D70683" w:rsidP="009C41BB">
      <w:permStart w:id="811147857" w:edGrp="everyone"/>
      <w:r w:rsidRPr="0029371E">
        <w:lastRenderedPageBreak/>
        <w:t>TYPE YOUR TEXT HERE</w:t>
      </w:r>
    </w:p>
    <w:permEnd w:id="811147857"/>
    <w:p w14:paraId="7C1B77E1" w14:textId="77777777" w:rsidR="009C41BB" w:rsidRDefault="009C41BB" w:rsidP="009C41BB">
      <w:r w:rsidRPr="0029371E">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418B8D95" w:rsidR="009C41BB" w:rsidRDefault="006F0288" w:rsidP="009C41BB">
      <w:permStart w:id="1542225393" w:edGrp="everyone"/>
      <w:r w:rsidRPr="006F0288">
        <w:t>Agree. To ensure a fair comparison between entities, a single methodology should be used.</w:t>
      </w:r>
      <w:r w:rsidR="006B64F2">
        <w:t xml:space="preserve"> It is key for less experienced retail investors to have a </w:t>
      </w:r>
      <w:r w:rsidR="00B75555">
        <w:t>high-level jargon-free</w:t>
      </w:r>
      <w:r w:rsidR="006B64F2">
        <w:t xml:space="preserve"> summary.</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Pr="0029371E" w:rsidRDefault="009C41BB" w:rsidP="009C41BB">
      <w:pPr>
        <w:pStyle w:val="Questionstyle"/>
        <w:numPr>
          <w:ilvl w:val="0"/>
          <w:numId w:val="42"/>
        </w:numPr>
      </w:pPr>
      <w:r>
        <w:t xml:space="preserve">: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w:t>
      </w:r>
      <w:r w:rsidRPr="0029371E">
        <w:t>to retail investors?</w:t>
      </w:r>
    </w:p>
    <w:p w14:paraId="607383EE" w14:textId="77777777" w:rsidR="009C41BB" w:rsidRPr="0029371E" w:rsidRDefault="009C41BB" w:rsidP="009C41BB">
      <w:r w:rsidRPr="0029371E">
        <w:t>&lt;ESMA_QUESTION_SFDR_31&gt;</w:t>
      </w:r>
    </w:p>
    <w:p w14:paraId="7650FFC2" w14:textId="13F7650B" w:rsidR="00DE37A7" w:rsidRPr="0029371E" w:rsidRDefault="00921F66" w:rsidP="009C41BB">
      <w:permStart w:id="782583199" w:edGrp="everyone"/>
      <w:r w:rsidRPr="0029371E">
        <w:t>TYPE YOUR TEXT HERE</w:t>
      </w:r>
    </w:p>
    <w:permEnd w:id="782583199"/>
    <w:p w14:paraId="6EAACB4A" w14:textId="29FD5274" w:rsidR="009C41BB" w:rsidRDefault="009C41BB" w:rsidP="009C41BB">
      <w:r w:rsidRPr="0029371E">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1D9F883C" w:rsidR="009C41BB" w:rsidRDefault="008D5CB8" w:rsidP="009C41BB">
      <w:permStart w:id="1403335001" w:edGrp="everyone"/>
      <w:r w:rsidRPr="008D5CB8">
        <w:t>TYPE YOUR TEXT HER</w:t>
      </w:r>
      <w:r>
        <w:t>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lastRenderedPageBreak/>
        <w:t>&lt;ESMA_QUESTION_SFDR_33&gt;</w:t>
      </w:r>
    </w:p>
    <w:p w14:paraId="4623C717" w14:textId="38099A7B" w:rsidR="009C41BB" w:rsidRDefault="00686C40" w:rsidP="009C41BB">
      <w:permStart w:id="1422073065" w:edGrp="everyone"/>
      <w:r w:rsidRPr="00686C40">
        <w:t>Partially agree. While this could be useful, it could also potentially lead to an increase in data reporting requirements.</w:t>
      </w:r>
      <w:r w:rsidR="002514D5">
        <w:t xml:space="preserve"> This </w:t>
      </w:r>
      <w:r w:rsidR="00193878">
        <w:t xml:space="preserve">investment tree </w:t>
      </w:r>
      <w:r w:rsidR="002514D5">
        <w:t>should be optional.</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Do you agree with this approach of ensuring consistency in the use of colours in Annex II to V in the templates?</w:t>
      </w:r>
    </w:p>
    <w:p w14:paraId="6405D8BD" w14:textId="77777777" w:rsidR="009C41BB" w:rsidRDefault="009C41BB" w:rsidP="009C41BB">
      <w:r>
        <w:t>&lt;ESMA_QUESTION_SFDR_34&gt;</w:t>
      </w:r>
    </w:p>
    <w:p w14:paraId="40780579" w14:textId="10DCE85A" w:rsidR="00686C40" w:rsidRDefault="009C41BB" w:rsidP="009C41BB">
      <w:permStart w:id="335090742" w:edGrp="everyone"/>
      <w:r>
        <w:t xml:space="preserve"> </w:t>
      </w:r>
      <w:r w:rsidR="00193878">
        <w:t>Agree</w:t>
      </w:r>
      <w:r w:rsidR="00D04EE1">
        <w:t>. This visually would help the end user.</w:t>
      </w:r>
    </w:p>
    <w:permEnd w:id="335090742"/>
    <w:p w14:paraId="16A8B44E" w14:textId="2143C8B8"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1D8E7DB5" w:rsidR="009C41BB" w:rsidRDefault="005A10F8" w:rsidP="009C41BB">
      <w:permStart w:id="1624927821" w:edGrp="everyone"/>
      <w:r w:rsidRPr="005A10F8">
        <w:t>Yes. This could provide more granularity</w:t>
      </w:r>
      <w:r w:rsidR="00D04EE1">
        <w:t xml:space="preserve"> and would not over</w:t>
      </w:r>
      <w:r w:rsidR="008E6105">
        <w:t>crowd the information display.</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69D16B51" w:rsidR="009C41BB" w:rsidRDefault="008E6105" w:rsidP="009C41BB">
      <w:permStart w:id="1338527016" w:edGrp="everyone"/>
      <w:r>
        <w:t>No specific feedback on potential criteria for estimates</w:t>
      </w:r>
      <w:r w:rsidR="005A10F8" w:rsidRPr="005A10F8">
        <w:t>, provided the definitions and methodologies are clear, consistent, and practical.</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1458C115" w:rsidR="009C41BB" w:rsidRDefault="009C41BB" w:rsidP="009C41BB">
      <w:permStart w:id="1477927507" w:edGrp="everyone"/>
      <w:r>
        <w:t xml:space="preserve"> </w:t>
      </w:r>
      <w:r w:rsidR="00AF2092" w:rsidRPr="00AF2092">
        <w:t>TYPE YOUR TEXT HERE</w:t>
      </w:r>
    </w:p>
    <w:permEnd w:id="1477927507"/>
    <w:p w14:paraId="6186E95A" w14:textId="77777777" w:rsidR="009C41BB" w:rsidRDefault="009C41BB" w:rsidP="009C41BB">
      <w:r>
        <w:lastRenderedPageBreak/>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xml:space="preserve">: Do you see the need </w:t>
      </w:r>
      <w:bookmarkStart w:id="12" w:name="_Hlk138929650"/>
      <w:r>
        <w:t xml:space="preserve">to set out specific rules </w:t>
      </w:r>
      <w:bookmarkEnd w:id="12"/>
      <w:r>
        <w:t>on the calculation of the proportion of sustainable investments of financial products? Please elaborate.</w:t>
      </w:r>
    </w:p>
    <w:p w14:paraId="6B53BD21" w14:textId="77777777" w:rsidR="009C41BB" w:rsidRDefault="009C41BB" w:rsidP="009C41BB">
      <w:r>
        <w:t>&lt;ESMA_QUESTION_SFDR_38&gt;</w:t>
      </w:r>
    </w:p>
    <w:p w14:paraId="068B78BA" w14:textId="6F96B399" w:rsidR="009C41BB" w:rsidRDefault="0088268C" w:rsidP="009C41BB">
      <w:permStart w:id="1880105875" w:edGrp="everyone"/>
      <w:r>
        <w:t>No</w:t>
      </w:r>
      <w:r w:rsidR="00810BA6">
        <w:t xml:space="preserve"> specific need</w:t>
      </w:r>
      <w:r w:rsidR="00810BA6" w:rsidRPr="00810BA6">
        <w:t xml:space="preserve"> to set out specific rules</w:t>
      </w:r>
      <w:r w:rsidR="00810BA6">
        <w:t xml:space="preserve">. </w:t>
      </w:r>
      <w:r w:rsidR="002C40A7" w:rsidRPr="002C40A7">
        <w:t>Additional information c</w:t>
      </w:r>
      <w:r w:rsidR="00810BA6">
        <w:t>ould</w:t>
      </w:r>
      <w:r w:rsidR="002C40A7" w:rsidRPr="002C40A7">
        <w:t xml:space="preserve"> be useful</w:t>
      </w:r>
      <w:r w:rsidR="00810BA6">
        <w:t xml:space="preserve"> though but not </w:t>
      </w:r>
      <w:r w:rsidR="00183C90">
        <w:t>overwhelmingly required at this stage</w:t>
      </w:r>
      <w:r w:rsidR="00810BA6">
        <w:t>.</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3E9A95F8" w:rsidR="009C41BB" w:rsidRDefault="002C40A7" w:rsidP="009C41BB">
      <w:permStart w:id="2135520093" w:edGrp="everyone"/>
      <w:r w:rsidRPr="002C40A7">
        <w:t xml:space="preserve">Partially agree. While </w:t>
      </w:r>
      <w:r w:rsidR="00183C90">
        <w:t xml:space="preserve">cross-referencing </w:t>
      </w:r>
      <w:r w:rsidRPr="002C40A7">
        <w:t xml:space="preserve">could provide more precise information, it may increase the complexity of data </w:t>
      </w:r>
      <w:r w:rsidR="00183C90">
        <w:t>u</w:t>
      </w:r>
      <w:r w:rsidR="00E4300D">
        <w:t>nderstanding</w:t>
      </w:r>
      <w:r w:rsidRPr="002C40A7">
        <w:t>.</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7E1CF482" w14:textId="1A915FAD" w:rsidR="00CE50C4" w:rsidRDefault="00E4300D" w:rsidP="009C41BB">
      <w:permStart w:id="388397641" w:edGrp="everyone"/>
      <w:r w:rsidRPr="00AF2092">
        <w:t>TYPE YOUR TEXT HERE</w:t>
      </w:r>
    </w:p>
    <w:permEnd w:id="388397641"/>
    <w:p w14:paraId="4B9E0F7F" w14:textId="54313076"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lastRenderedPageBreak/>
        <w:t>&lt;ESMA_QUESTION_SFDR_41&gt;</w:t>
      </w:r>
    </w:p>
    <w:p w14:paraId="56C91D45" w14:textId="77777777" w:rsidR="00EE7E77" w:rsidRDefault="00EE7E77" w:rsidP="009C41BB">
      <w:permStart w:id="1516521151" w:edGrp="everyone"/>
      <w:r w:rsidRPr="00EE7E77">
        <w:t xml:space="preserve">TYPE YOUR TEXT HERE </w:t>
      </w:r>
    </w:p>
    <w:permEnd w:id="1516521151"/>
    <w:p w14:paraId="37566D76" w14:textId="66794E98"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A1FF0F4" w:rsidR="009C41BB" w:rsidRDefault="000B0251" w:rsidP="009C41BB">
      <w:permStart w:id="2063756698" w:edGrp="everyone"/>
      <w:r>
        <w:t xml:space="preserve">No view at this stage. There should be a collaboration on this specific topic across the various European regulations to </w:t>
      </w:r>
      <w:r w:rsidR="0081446B">
        <w:t xml:space="preserve">define best </w:t>
      </w:r>
      <w:r w:rsidR="00C21E98">
        <w:t>practices</w:t>
      </w:r>
      <w:r w:rsidR="0081446B">
        <w:t xml:space="preserve"> for </w:t>
      </w:r>
      <w:r w:rsidR="00C21E98">
        <w:t>machine-readable</w:t>
      </w:r>
      <w:r w:rsidR="0081446B">
        <w:t xml:space="preserve"> format</w:t>
      </w:r>
      <w:r w:rsidR="001A516E" w:rsidRPr="001A516E">
        <w:t>.</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3E93EFE6" w:rsidR="009C41BB" w:rsidRDefault="009028E7" w:rsidP="009C41BB">
      <w:permStart w:id="1679513234" w:edGrp="everyone"/>
      <w:r w:rsidRPr="009028E7">
        <w:t>No view at this stage.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67A520FC" id="Group 2" o:spid="_x0000_s1026" style="position:absolute;margin-left:0;margin-top:-.05pt;width:424.85pt;height:51.75pt;z-index:251659264;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0B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0251"/>
    <w:rsid w:val="000B1B90"/>
    <w:rsid w:val="000B2D70"/>
    <w:rsid w:val="000B35F1"/>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0BE"/>
    <w:rsid w:val="001043B5"/>
    <w:rsid w:val="00111EE2"/>
    <w:rsid w:val="00114AE5"/>
    <w:rsid w:val="00115964"/>
    <w:rsid w:val="00116FC3"/>
    <w:rsid w:val="00117F89"/>
    <w:rsid w:val="00121F7F"/>
    <w:rsid w:val="00122C81"/>
    <w:rsid w:val="001275B5"/>
    <w:rsid w:val="001276AF"/>
    <w:rsid w:val="00130308"/>
    <w:rsid w:val="0013460E"/>
    <w:rsid w:val="00134EFB"/>
    <w:rsid w:val="0013601B"/>
    <w:rsid w:val="001414C8"/>
    <w:rsid w:val="00142894"/>
    <w:rsid w:val="00145AC7"/>
    <w:rsid w:val="00150705"/>
    <w:rsid w:val="00151DA2"/>
    <w:rsid w:val="00152987"/>
    <w:rsid w:val="001531E0"/>
    <w:rsid w:val="00154193"/>
    <w:rsid w:val="00157759"/>
    <w:rsid w:val="00161F7C"/>
    <w:rsid w:val="00163CAA"/>
    <w:rsid w:val="00171CC5"/>
    <w:rsid w:val="00171F53"/>
    <w:rsid w:val="001732F3"/>
    <w:rsid w:val="0017367A"/>
    <w:rsid w:val="00176C27"/>
    <w:rsid w:val="00180B29"/>
    <w:rsid w:val="00183C90"/>
    <w:rsid w:val="00184522"/>
    <w:rsid w:val="001845DA"/>
    <w:rsid w:val="001846C3"/>
    <w:rsid w:val="0018499A"/>
    <w:rsid w:val="00184EE6"/>
    <w:rsid w:val="00185016"/>
    <w:rsid w:val="00185CBB"/>
    <w:rsid w:val="00185FAB"/>
    <w:rsid w:val="00193878"/>
    <w:rsid w:val="0019445C"/>
    <w:rsid w:val="00195A3B"/>
    <w:rsid w:val="001A516E"/>
    <w:rsid w:val="001A6646"/>
    <w:rsid w:val="001A7191"/>
    <w:rsid w:val="001A7C2A"/>
    <w:rsid w:val="001B4613"/>
    <w:rsid w:val="001B5DEF"/>
    <w:rsid w:val="001B6F96"/>
    <w:rsid w:val="001B78F3"/>
    <w:rsid w:val="001B7B9B"/>
    <w:rsid w:val="001C0B9E"/>
    <w:rsid w:val="001C2449"/>
    <w:rsid w:val="001C39FE"/>
    <w:rsid w:val="001C3A2F"/>
    <w:rsid w:val="001C416A"/>
    <w:rsid w:val="001C71D5"/>
    <w:rsid w:val="001C78E7"/>
    <w:rsid w:val="001D28D2"/>
    <w:rsid w:val="001D3D71"/>
    <w:rsid w:val="001D5DBD"/>
    <w:rsid w:val="001D6744"/>
    <w:rsid w:val="001D6960"/>
    <w:rsid w:val="001D741B"/>
    <w:rsid w:val="001D7E6B"/>
    <w:rsid w:val="001E3BF9"/>
    <w:rsid w:val="001E7466"/>
    <w:rsid w:val="001F049E"/>
    <w:rsid w:val="001F0508"/>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4D5"/>
    <w:rsid w:val="00251F67"/>
    <w:rsid w:val="00253135"/>
    <w:rsid w:val="00254757"/>
    <w:rsid w:val="002554C6"/>
    <w:rsid w:val="00256770"/>
    <w:rsid w:val="00262BC4"/>
    <w:rsid w:val="00263177"/>
    <w:rsid w:val="00270481"/>
    <w:rsid w:val="002724C2"/>
    <w:rsid w:val="002742CC"/>
    <w:rsid w:val="00276971"/>
    <w:rsid w:val="00276D48"/>
    <w:rsid w:val="002801F5"/>
    <w:rsid w:val="00281EC6"/>
    <w:rsid w:val="00285AAD"/>
    <w:rsid w:val="00286684"/>
    <w:rsid w:val="0029371E"/>
    <w:rsid w:val="00294F4A"/>
    <w:rsid w:val="00297997"/>
    <w:rsid w:val="002A3A96"/>
    <w:rsid w:val="002A52F1"/>
    <w:rsid w:val="002B7CAB"/>
    <w:rsid w:val="002C40A7"/>
    <w:rsid w:val="002C5816"/>
    <w:rsid w:val="002C6DB7"/>
    <w:rsid w:val="002D2AF8"/>
    <w:rsid w:val="002D4E1F"/>
    <w:rsid w:val="002D6035"/>
    <w:rsid w:val="002D609E"/>
    <w:rsid w:val="002D7006"/>
    <w:rsid w:val="002D7454"/>
    <w:rsid w:val="002E18B7"/>
    <w:rsid w:val="002E3A1C"/>
    <w:rsid w:val="002E3B7D"/>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5F30"/>
    <w:rsid w:val="0034665F"/>
    <w:rsid w:val="003475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436E"/>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4362"/>
    <w:rsid w:val="004151B3"/>
    <w:rsid w:val="00420313"/>
    <w:rsid w:val="00422AB6"/>
    <w:rsid w:val="00423C2C"/>
    <w:rsid w:val="00423DE4"/>
    <w:rsid w:val="00424CDE"/>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5ADB"/>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3F47"/>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5CD6"/>
    <w:rsid w:val="004F6D56"/>
    <w:rsid w:val="00500A65"/>
    <w:rsid w:val="00503D9B"/>
    <w:rsid w:val="00504812"/>
    <w:rsid w:val="005072BC"/>
    <w:rsid w:val="005077DE"/>
    <w:rsid w:val="00507F10"/>
    <w:rsid w:val="00510588"/>
    <w:rsid w:val="00511C99"/>
    <w:rsid w:val="00514995"/>
    <w:rsid w:val="00514C90"/>
    <w:rsid w:val="00515F4D"/>
    <w:rsid w:val="0051785F"/>
    <w:rsid w:val="005204E8"/>
    <w:rsid w:val="005239A4"/>
    <w:rsid w:val="00526261"/>
    <w:rsid w:val="00526B2E"/>
    <w:rsid w:val="00526FAE"/>
    <w:rsid w:val="00534E5F"/>
    <w:rsid w:val="00536621"/>
    <w:rsid w:val="005375B9"/>
    <w:rsid w:val="00537DC3"/>
    <w:rsid w:val="0054143E"/>
    <w:rsid w:val="005418F4"/>
    <w:rsid w:val="00542EC9"/>
    <w:rsid w:val="0054375F"/>
    <w:rsid w:val="00544090"/>
    <w:rsid w:val="0054452A"/>
    <w:rsid w:val="00544A57"/>
    <w:rsid w:val="00550083"/>
    <w:rsid w:val="00552F3B"/>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7D2"/>
    <w:rsid w:val="00594DEE"/>
    <w:rsid w:val="005A00EE"/>
    <w:rsid w:val="005A09F6"/>
    <w:rsid w:val="005A10F8"/>
    <w:rsid w:val="005A14CA"/>
    <w:rsid w:val="005A2F72"/>
    <w:rsid w:val="005A4590"/>
    <w:rsid w:val="005A469A"/>
    <w:rsid w:val="005A494B"/>
    <w:rsid w:val="005A61AC"/>
    <w:rsid w:val="005B6CD1"/>
    <w:rsid w:val="005B7150"/>
    <w:rsid w:val="005B7611"/>
    <w:rsid w:val="005C068C"/>
    <w:rsid w:val="005C1B6F"/>
    <w:rsid w:val="005C1CB4"/>
    <w:rsid w:val="005C2DDB"/>
    <w:rsid w:val="005C5EC5"/>
    <w:rsid w:val="005D0BE0"/>
    <w:rsid w:val="005D136B"/>
    <w:rsid w:val="005D13F5"/>
    <w:rsid w:val="005D15BD"/>
    <w:rsid w:val="005D610D"/>
    <w:rsid w:val="005D6F7A"/>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08EC"/>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6C40"/>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5324"/>
    <w:rsid w:val="006B64F2"/>
    <w:rsid w:val="006B656A"/>
    <w:rsid w:val="006C4483"/>
    <w:rsid w:val="006C4FB1"/>
    <w:rsid w:val="006C523F"/>
    <w:rsid w:val="006C642C"/>
    <w:rsid w:val="006D3572"/>
    <w:rsid w:val="006D4637"/>
    <w:rsid w:val="006D5390"/>
    <w:rsid w:val="006D609F"/>
    <w:rsid w:val="006D7A3A"/>
    <w:rsid w:val="006E05CD"/>
    <w:rsid w:val="006E1288"/>
    <w:rsid w:val="006E2139"/>
    <w:rsid w:val="006E31A4"/>
    <w:rsid w:val="006E6CA3"/>
    <w:rsid w:val="006F0288"/>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0"/>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1FA2"/>
    <w:rsid w:val="00762B89"/>
    <w:rsid w:val="00764085"/>
    <w:rsid w:val="00767FAE"/>
    <w:rsid w:val="0077257D"/>
    <w:rsid w:val="0077619B"/>
    <w:rsid w:val="00776B13"/>
    <w:rsid w:val="00777F6A"/>
    <w:rsid w:val="0078616F"/>
    <w:rsid w:val="00786D0A"/>
    <w:rsid w:val="0079065E"/>
    <w:rsid w:val="00796C8A"/>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58FD"/>
    <w:rsid w:val="007D655B"/>
    <w:rsid w:val="007D656F"/>
    <w:rsid w:val="007D765D"/>
    <w:rsid w:val="007D7D6A"/>
    <w:rsid w:val="007E09ED"/>
    <w:rsid w:val="007E28F2"/>
    <w:rsid w:val="007E5A46"/>
    <w:rsid w:val="007E666B"/>
    <w:rsid w:val="007F0870"/>
    <w:rsid w:val="007F5298"/>
    <w:rsid w:val="007F7EEB"/>
    <w:rsid w:val="008002E0"/>
    <w:rsid w:val="00800C56"/>
    <w:rsid w:val="008028BB"/>
    <w:rsid w:val="00803112"/>
    <w:rsid w:val="0080408D"/>
    <w:rsid w:val="008057FF"/>
    <w:rsid w:val="00807C0E"/>
    <w:rsid w:val="00810BA6"/>
    <w:rsid w:val="00811675"/>
    <w:rsid w:val="00812D47"/>
    <w:rsid w:val="0081446B"/>
    <w:rsid w:val="008171AA"/>
    <w:rsid w:val="0082073B"/>
    <w:rsid w:val="00820FB0"/>
    <w:rsid w:val="0082274D"/>
    <w:rsid w:val="00831CD3"/>
    <w:rsid w:val="00833CF1"/>
    <w:rsid w:val="008409D8"/>
    <w:rsid w:val="00841231"/>
    <w:rsid w:val="00841C9C"/>
    <w:rsid w:val="00844083"/>
    <w:rsid w:val="00850751"/>
    <w:rsid w:val="00852C6B"/>
    <w:rsid w:val="00853E06"/>
    <w:rsid w:val="00855F28"/>
    <w:rsid w:val="00856495"/>
    <w:rsid w:val="008569CD"/>
    <w:rsid w:val="00864CFA"/>
    <w:rsid w:val="00865338"/>
    <w:rsid w:val="008719FE"/>
    <w:rsid w:val="00875FB6"/>
    <w:rsid w:val="0088268C"/>
    <w:rsid w:val="008836D6"/>
    <w:rsid w:val="00883EB8"/>
    <w:rsid w:val="00884205"/>
    <w:rsid w:val="0088596C"/>
    <w:rsid w:val="0088693B"/>
    <w:rsid w:val="00897DA4"/>
    <w:rsid w:val="008A4900"/>
    <w:rsid w:val="008A62FE"/>
    <w:rsid w:val="008A6C4F"/>
    <w:rsid w:val="008A70F0"/>
    <w:rsid w:val="008B3621"/>
    <w:rsid w:val="008B3F2E"/>
    <w:rsid w:val="008B5E48"/>
    <w:rsid w:val="008C3EE4"/>
    <w:rsid w:val="008C6137"/>
    <w:rsid w:val="008C6CED"/>
    <w:rsid w:val="008C7273"/>
    <w:rsid w:val="008C754D"/>
    <w:rsid w:val="008D0372"/>
    <w:rsid w:val="008D1492"/>
    <w:rsid w:val="008D4F7C"/>
    <w:rsid w:val="008D5779"/>
    <w:rsid w:val="008D5CB8"/>
    <w:rsid w:val="008D5CFA"/>
    <w:rsid w:val="008D64C2"/>
    <w:rsid w:val="008D6593"/>
    <w:rsid w:val="008E38F0"/>
    <w:rsid w:val="008E3D4B"/>
    <w:rsid w:val="008E6105"/>
    <w:rsid w:val="008E6AC7"/>
    <w:rsid w:val="008E70C8"/>
    <w:rsid w:val="008F031E"/>
    <w:rsid w:val="008F034A"/>
    <w:rsid w:val="008F1040"/>
    <w:rsid w:val="008F1D85"/>
    <w:rsid w:val="008F4472"/>
    <w:rsid w:val="008F6E6F"/>
    <w:rsid w:val="00900567"/>
    <w:rsid w:val="009011C8"/>
    <w:rsid w:val="0090216D"/>
    <w:rsid w:val="00902523"/>
    <w:rsid w:val="009028E7"/>
    <w:rsid w:val="00904222"/>
    <w:rsid w:val="009059A0"/>
    <w:rsid w:val="00905E44"/>
    <w:rsid w:val="00912242"/>
    <w:rsid w:val="0091244E"/>
    <w:rsid w:val="009139A3"/>
    <w:rsid w:val="0091430E"/>
    <w:rsid w:val="00914500"/>
    <w:rsid w:val="00915AB2"/>
    <w:rsid w:val="00915B9C"/>
    <w:rsid w:val="00921F66"/>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67F69"/>
    <w:rsid w:val="009706BB"/>
    <w:rsid w:val="00970C96"/>
    <w:rsid w:val="009712AE"/>
    <w:rsid w:val="00971D94"/>
    <w:rsid w:val="009738B0"/>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D22"/>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6E04"/>
    <w:rsid w:val="00A17913"/>
    <w:rsid w:val="00A20B8C"/>
    <w:rsid w:val="00A25384"/>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1159"/>
    <w:rsid w:val="00A62138"/>
    <w:rsid w:val="00A73E4E"/>
    <w:rsid w:val="00A773FB"/>
    <w:rsid w:val="00A8089C"/>
    <w:rsid w:val="00A80C70"/>
    <w:rsid w:val="00A80FCD"/>
    <w:rsid w:val="00A822CD"/>
    <w:rsid w:val="00A8348C"/>
    <w:rsid w:val="00A835A1"/>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092"/>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2D1C"/>
    <w:rsid w:val="00B2323A"/>
    <w:rsid w:val="00B2344E"/>
    <w:rsid w:val="00B26885"/>
    <w:rsid w:val="00B27534"/>
    <w:rsid w:val="00B31E1B"/>
    <w:rsid w:val="00B329F8"/>
    <w:rsid w:val="00B32FA4"/>
    <w:rsid w:val="00B4705A"/>
    <w:rsid w:val="00B53150"/>
    <w:rsid w:val="00B54016"/>
    <w:rsid w:val="00B55EEB"/>
    <w:rsid w:val="00B60A46"/>
    <w:rsid w:val="00B63E25"/>
    <w:rsid w:val="00B66A6F"/>
    <w:rsid w:val="00B75555"/>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1C37"/>
    <w:rsid w:val="00C036D3"/>
    <w:rsid w:val="00C03E79"/>
    <w:rsid w:val="00C11311"/>
    <w:rsid w:val="00C16C7F"/>
    <w:rsid w:val="00C16FE3"/>
    <w:rsid w:val="00C2027E"/>
    <w:rsid w:val="00C206BA"/>
    <w:rsid w:val="00C21A1E"/>
    <w:rsid w:val="00C21E98"/>
    <w:rsid w:val="00C24FB8"/>
    <w:rsid w:val="00C25FC7"/>
    <w:rsid w:val="00C27973"/>
    <w:rsid w:val="00C31686"/>
    <w:rsid w:val="00C3248B"/>
    <w:rsid w:val="00C328BC"/>
    <w:rsid w:val="00C329F5"/>
    <w:rsid w:val="00C3516A"/>
    <w:rsid w:val="00C35BCD"/>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0C53"/>
    <w:rsid w:val="00C728F3"/>
    <w:rsid w:val="00C733E6"/>
    <w:rsid w:val="00C74089"/>
    <w:rsid w:val="00C767F9"/>
    <w:rsid w:val="00C80A49"/>
    <w:rsid w:val="00C8199E"/>
    <w:rsid w:val="00C830DE"/>
    <w:rsid w:val="00C84A02"/>
    <w:rsid w:val="00C905FA"/>
    <w:rsid w:val="00C91E56"/>
    <w:rsid w:val="00C9299F"/>
    <w:rsid w:val="00C936AF"/>
    <w:rsid w:val="00C94533"/>
    <w:rsid w:val="00C95666"/>
    <w:rsid w:val="00C95BE9"/>
    <w:rsid w:val="00CA1322"/>
    <w:rsid w:val="00CA2EC0"/>
    <w:rsid w:val="00CA4703"/>
    <w:rsid w:val="00CA4736"/>
    <w:rsid w:val="00CA5826"/>
    <w:rsid w:val="00CB1755"/>
    <w:rsid w:val="00CB299B"/>
    <w:rsid w:val="00CB5319"/>
    <w:rsid w:val="00CB53B6"/>
    <w:rsid w:val="00CB65B3"/>
    <w:rsid w:val="00CB66DC"/>
    <w:rsid w:val="00CC270C"/>
    <w:rsid w:val="00CC5015"/>
    <w:rsid w:val="00CC740F"/>
    <w:rsid w:val="00CD7391"/>
    <w:rsid w:val="00CE39E2"/>
    <w:rsid w:val="00CE50C4"/>
    <w:rsid w:val="00CE618F"/>
    <w:rsid w:val="00CF0CE5"/>
    <w:rsid w:val="00CF1D8A"/>
    <w:rsid w:val="00CF372A"/>
    <w:rsid w:val="00CF45ED"/>
    <w:rsid w:val="00CF6129"/>
    <w:rsid w:val="00D00BA4"/>
    <w:rsid w:val="00D00F60"/>
    <w:rsid w:val="00D010BF"/>
    <w:rsid w:val="00D01230"/>
    <w:rsid w:val="00D04EE1"/>
    <w:rsid w:val="00D050F1"/>
    <w:rsid w:val="00D1325D"/>
    <w:rsid w:val="00D144F9"/>
    <w:rsid w:val="00D14EF0"/>
    <w:rsid w:val="00D1594B"/>
    <w:rsid w:val="00D16555"/>
    <w:rsid w:val="00D1763F"/>
    <w:rsid w:val="00D179A2"/>
    <w:rsid w:val="00D21915"/>
    <w:rsid w:val="00D256AE"/>
    <w:rsid w:val="00D265EA"/>
    <w:rsid w:val="00D269E5"/>
    <w:rsid w:val="00D2745E"/>
    <w:rsid w:val="00D32E53"/>
    <w:rsid w:val="00D34BA7"/>
    <w:rsid w:val="00D36C8C"/>
    <w:rsid w:val="00D36E67"/>
    <w:rsid w:val="00D37034"/>
    <w:rsid w:val="00D40296"/>
    <w:rsid w:val="00D41080"/>
    <w:rsid w:val="00D42D22"/>
    <w:rsid w:val="00D44A37"/>
    <w:rsid w:val="00D51661"/>
    <w:rsid w:val="00D601D8"/>
    <w:rsid w:val="00D64526"/>
    <w:rsid w:val="00D6662D"/>
    <w:rsid w:val="00D669AC"/>
    <w:rsid w:val="00D671D2"/>
    <w:rsid w:val="00D67246"/>
    <w:rsid w:val="00D70683"/>
    <w:rsid w:val="00D711D8"/>
    <w:rsid w:val="00D75389"/>
    <w:rsid w:val="00D75CA8"/>
    <w:rsid w:val="00D77B76"/>
    <w:rsid w:val="00D81C73"/>
    <w:rsid w:val="00D82D32"/>
    <w:rsid w:val="00D8367C"/>
    <w:rsid w:val="00D842BC"/>
    <w:rsid w:val="00D904F8"/>
    <w:rsid w:val="00D91440"/>
    <w:rsid w:val="00D92A85"/>
    <w:rsid w:val="00D92EB8"/>
    <w:rsid w:val="00D94A7D"/>
    <w:rsid w:val="00D953C7"/>
    <w:rsid w:val="00DA0134"/>
    <w:rsid w:val="00DA343D"/>
    <w:rsid w:val="00DA41A0"/>
    <w:rsid w:val="00DA461A"/>
    <w:rsid w:val="00DA546B"/>
    <w:rsid w:val="00DB2253"/>
    <w:rsid w:val="00DB2D57"/>
    <w:rsid w:val="00DB3CC7"/>
    <w:rsid w:val="00DB7AB2"/>
    <w:rsid w:val="00DC0197"/>
    <w:rsid w:val="00DC7BFE"/>
    <w:rsid w:val="00DD1E52"/>
    <w:rsid w:val="00DD4200"/>
    <w:rsid w:val="00DD72E6"/>
    <w:rsid w:val="00DD7F25"/>
    <w:rsid w:val="00DE2362"/>
    <w:rsid w:val="00DE238B"/>
    <w:rsid w:val="00DE37A7"/>
    <w:rsid w:val="00DE49E6"/>
    <w:rsid w:val="00DE6C37"/>
    <w:rsid w:val="00DE747D"/>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3698E"/>
    <w:rsid w:val="00E4033D"/>
    <w:rsid w:val="00E4289F"/>
    <w:rsid w:val="00E4300D"/>
    <w:rsid w:val="00E451FD"/>
    <w:rsid w:val="00E459A3"/>
    <w:rsid w:val="00E50375"/>
    <w:rsid w:val="00E50CA5"/>
    <w:rsid w:val="00E54F56"/>
    <w:rsid w:val="00E55896"/>
    <w:rsid w:val="00E57C4C"/>
    <w:rsid w:val="00E57E3F"/>
    <w:rsid w:val="00E602AE"/>
    <w:rsid w:val="00E62551"/>
    <w:rsid w:val="00E65663"/>
    <w:rsid w:val="00E65C88"/>
    <w:rsid w:val="00E679A9"/>
    <w:rsid w:val="00E71292"/>
    <w:rsid w:val="00E72AA1"/>
    <w:rsid w:val="00E7310B"/>
    <w:rsid w:val="00E827EB"/>
    <w:rsid w:val="00E82F67"/>
    <w:rsid w:val="00E84BB2"/>
    <w:rsid w:val="00E85822"/>
    <w:rsid w:val="00E87D26"/>
    <w:rsid w:val="00E90515"/>
    <w:rsid w:val="00E9189B"/>
    <w:rsid w:val="00E91A26"/>
    <w:rsid w:val="00E94684"/>
    <w:rsid w:val="00E95285"/>
    <w:rsid w:val="00E972E1"/>
    <w:rsid w:val="00EA1644"/>
    <w:rsid w:val="00EA372E"/>
    <w:rsid w:val="00EA7761"/>
    <w:rsid w:val="00EB0062"/>
    <w:rsid w:val="00EB103C"/>
    <w:rsid w:val="00EB3981"/>
    <w:rsid w:val="00EB4721"/>
    <w:rsid w:val="00EB6F0F"/>
    <w:rsid w:val="00EC1ED4"/>
    <w:rsid w:val="00EC432D"/>
    <w:rsid w:val="00EC5699"/>
    <w:rsid w:val="00ED36BD"/>
    <w:rsid w:val="00ED49E5"/>
    <w:rsid w:val="00EE1EEC"/>
    <w:rsid w:val="00EE5FCA"/>
    <w:rsid w:val="00EE6889"/>
    <w:rsid w:val="00EE7E77"/>
    <w:rsid w:val="00EF1CB9"/>
    <w:rsid w:val="00EF3568"/>
    <w:rsid w:val="00EF3BCF"/>
    <w:rsid w:val="00EF524C"/>
    <w:rsid w:val="00EF5255"/>
    <w:rsid w:val="00EF55D4"/>
    <w:rsid w:val="00EF5D6A"/>
    <w:rsid w:val="00F001CD"/>
    <w:rsid w:val="00F00963"/>
    <w:rsid w:val="00F0225F"/>
    <w:rsid w:val="00F02D78"/>
    <w:rsid w:val="00F02F98"/>
    <w:rsid w:val="00F03390"/>
    <w:rsid w:val="00F0364C"/>
    <w:rsid w:val="00F03C61"/>
    <w:rsid w:val="00F06436"/>
    <w:rsid w:val="00F07316"/>
    <w:rsid w:val="00F07CD8"/>
    <w:rsid w:val="00F11863"/>
    <w:rsid w:val="00F11A29"/>
    <w:rsid w:val="00F16AFC"/>
    <w:rsid w:val="00F2033E"/>
    <w:rsid w:val="00F20E0E"/>
    <w:rsid w:val="00F22352"/>
    <w:rsid w:val="00F22DC2"/>
    <w:rsid w:val="00F241F4"/>
    <w:rsid w:val="00F2442C"/>
    <w:rsid w:val="00F278BA"/>
    <w:rsid w:val="00F27FB5"/>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76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2.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16</Pages>
  <Words>3563</Words>
  <Characters>20310</Characters>
  <Application>Microsoft Office Word</Application>
  <DocSecurity>0</DocSecurity>
  <Lines>169</Lines>
  <Paragraphs>47</Paragraphs>
  <ScaleCrop>false</ScaleCrop>
  <Company>HP</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Gwendoline Grollier</cp:lastModifiedBy>
  <cp:revision>86</cp:revision>
  <cp:lastPrinted>2022-02-14T13:26:00Z</cp:lastPrinted>
  <dcterms:created xsi:type="dcterms:W3CDTF">2023-06-29T13:50:00Z</dcterms:created>
  <dcterms:modified xsi:type="dcterms:W3CDTF">2023-07-03T21:13:00Z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GrammarlyDocumentId">
    <vt:lpwstr>db4b7a13e0466d04a0c2772e6c015875f7f4130d0b6b0e8ff45e66a3949e7d72</vt:lpwstr>
  </property>
</Properties>
</file>