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009F0E7D">
      <w:pPr>
        <w:numPr>
          <w:ilvl w:val="0"/>
          <w:numId w:val="1"/>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F0E7D">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F0E7D">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F0E7D">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F0E7D">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F0E7D">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F0E7D">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F0E7D">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F0E7D">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5908C3">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7B267E98" w:rsidR="005418F4" w:rsidRPr="005418F4" w:rsidRDefault="000168E9" w:rsidP="005418F4">
                <w:pPr>
                  <w:spacing w:after="250"/>
                  <w:rPr>
                    <w:rFonts w:ascii="Arial" w:eastAsiaTheme="minorEastAsia" w:hAnsi="Arial" w:cs="Arial"/>
                    <w:color w:val="808080"/>
                    <w:szCs w:val="20"/>
                  </w:rPr>
                </w:pPr>
                <w:r>
                  <w:rPr>
                    <w:rFonts w:ascii="Arial" w:eastAsiaTheme="minorEastAsia" w:hAnsi="Arial" w:cs="Arial"/>
                    <w:color w:val="808080"/>
                    <w:szCs w:val="20"/>
                  </w:rPr>
                  <w:t>Shift Project, Ltd</w:t>
                </w:r>
              </w:p>
            </w:tc>
          </w:sdtContent>
        </w:sdt>
      </w:tr>
      <w:tr w:rsidR="005418F4" w:rsidRPr="005418F4" w14:paraId="1994CDD1" w14:textId="77777777" w:rsidTr="005908C3">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3E6AF69D" w:rsidR="005418F4" w:rsidRPr="005418F4" w:rsidRDefault="005908C3"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60CAE">
                  <w:rPr>
                    <w:rFonts w:ascii="Arial" w:eastAsiaTheme="minorEastAsia" w:hAnsi="Arial" w:cs="Arial"/>
                    <w:color w:val="1A1A1A" w:themeColor="background1" w:themeShade="1A"/>
                    <w:szCs w:val="20"/>
                  </w:rPr>
                  <w:t>Advisory to Financial Institutions</w:t>
                </w:r>
              </w:sdtContent>
            </w:sdt>
          </w:p>
        </w:tc>
      </w:tr>
      <w:tr w:rsidR="005418F4" w:rsidRPr="005418F4" w14:paraId="6D2BB9B6" w14:textId="77777777" w:rsidTr="005908C3">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Content>
            <w:tc>
              <w:tcPr>
                <w:tcW w:w="5595" w:type="dxa"/>
                <w:shd w:val="clear" w:color="auto" w:fill="auto"/>
                <w:vAlign w:val="center"/>
              </w:tcPr>
              <w:p w14:paraId="67C0DEAE" w14:textId="662A24C7" w:rsidR="005418F4" w:rsidRPr="005418F4" w:rsidRDefault="000168E9"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5908C3">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5B5DDBD8" w:rsidR="005418F4" w:rsidRPr="005418F4" w:rsidRDefault="000168E9"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International</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F0E7D">
      <w:pPr>
        <w:pStyle w:val="Questionstyle"/>
        <w:numPr>
          <w:ilvl w:val="0"/>
          <w:numId w:val="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4A55641A" w14:textId="651BCE62" w:rsidR="009C41BB" w:rsidRDefault="000168E9" w:rsidP="009C41BB">
      <w:permStart w:id="1348034591" w:edGrp="everyone"/>
      <w:r>
        <w:t>We fully support ESMA’s aims of strengthening the social indicators. The inclusion of new mandatory indicators is essential to this aim, as well as for improving alignment with the European Sustainability Reporting Standards. We fully support the inclusion of the following indicators:</w:t>
      </w:r>
    </w:p>
    <w:p w14:paraId="06C47E49" w14:textId="77777777" w:rsidR="005C7BEA" w:rsidRPr="005C7BEA" w:rsidRDefault="000168E9" w:rsidP="009F0E7D">
      <w:pPr>
        <w:pStyle w:val="ListParagraph"/>
        <w:numPr>
          <w:ilvl w:val="0"/>
          <w:numId w:val="3"/>
        </w:numPr>
        <w:rPr>
          <w:b/>
        </w:rPr>
      </w:pPr>
      <w:r w:rsidRPr="005C7BEA">
        <w:rPr>
          <w:b/>
        </w:rPr>
        <w:t xml:space="preserve">Share of employees earning less than the adequate wage: </w:t>
      </w:r>
    </w:p>
    <w:p w14:paraId="76C97AB6" w14:textId="545309D9" w:rsidR="000168E9" w:rsidRDefault="005C7BEA" w:rsidP="005C7BEA">
      <w:pPr>
        <w:pStyle w:val="ListParagraph"/>
      </w:pPr>
      <w:r>
        <w:t>T</w:t>
      </w:r>
      <w:r w:rsidR="000168E9">
        <w:t xml:space="preserve">his indicator provides critical insight into the </w:t>
      </w:r>
      <w:r w:rsidR="004857DA">
        <w:t xml:space="preserve">extent to which portfolio companies are </w:t>
      </w:r>
      <w:r>
        <w:t xml:space="preserve">exacerbating or reducing the systemic risk of inequality, respecting the human right of workers to a living wage, and contributing to a just transition. </w:t>
      </w:r>
    </w:p>
    <w:p w14:paraId="036B2162" w14:textId="59F2AB2A" w:rsidR="005C7BEA" w:rsidRDefault="005C7BEA" w:rsidP="005C7BEA">
      <w:pPr>
        <w:pStyle w:val="ListParagraph"/>
      </w:pPr>
    </w:p>
    <w:p w14:paraId="0609EDE3" w14:textId="4EFC6367" w:rsidR="005C7BEA" w:rsidRDefault="005C7BEA" w:rsidP="009F0E7D">
      <w:pPr>
        <w:pStyle w:val="ListParagraph"/>
        <w:numPr>
          <w:ilvl w:val="0"/>
          <w:numId w:val="3"/>
        </w:numPr>
        <w:spacing w:after="0" w:line="259" w:lineRule="auto"/>
        <w:jc w:val="both"/>
        <w:rPr>
          <w:b/>
        </w:rPr>
      </w:pPr>
      <w:r w:rsidRPr="005C7BEA">
        <w:rPr>
          <w:b/>
        </w:rPr>
        <w:t>Interference in the formation of trade unions or election of worker representatives</w:t>
      </w:r>
      <w:r>
        <w:rPr>
          <w:b/>
        </w:rPr>
        <w:t>:</w:t>
      </w:r>
    </w:p>
    <w:p w14:paraId="58C484A7" w14:textId="0E1F0094" w:rsidR="0048518E" w:rsidRDefault="005C7BEA" w:rsidP="004E0B51">
      <w:pPr>
        <w:spacing w:line="259" w:lineRule="auto"/>
        <w:ind w:left="720"/>
      </w:pPr>
      <w:r>
        <w:t xml:space="preserve">This is integrally related to the indicator on adequate wages since the opportunity to join a trade union and, through that, to </w:t>
      </w:r>
      <w:r w:rsidR="004E0B51">
        <w:t>bargain collectively,</w:t>
      </w:r>
      <w:r>
        <w:t xml:space="preserve"> are not only human rights but critical to ensuring the fair distribution of value in our economies, and reducing inequalities. Evidence shows clearly that where workers are not able to be represented and to bargain collectively</w:t>
      </w:r>
      <w:r w:rsidR="00A12FA3">
        <w:t>,</w:t>
      </w:r>
      <w:r>
        <w:t xml:space="preserve"> wages grow more slowly than where these human rights are met.</w:t>
      </w:r>
      <w:r>
        <w:br/>
      </w:r>
      <w:r>
        <w:br/>
        <w:t>This said, the indicator as formulated risks failing in its objective, since</w:t>
      </w:r>
      <w:r w:rsidR="00112256">
        <w:t xml:space="preserve"> it focuses simply on statements from companies as the basis for assessing non-interference. Yet such statements are sometimes reflected in practice and sometimes not, and investors will lack the resources to make individual enquiries to try to discern the difference. We therefore propose that the </w:t>
      </w:r>
      <w:r w:rsidR="00112256">
        <w:lastRenderedPageBreak/>
        <w:t xml:space="preserve">indicator include also an element on transparency regarding trade union and/or collective bargain coverage for workers. </w:t>
      </w:r>
      <w:r w:rsidR="0048518E">
        <w:t>It would therefore read:</w:t>
      </w:r>
    </w:p>
    <w:p w14:paraId="0621CF44" w14:textId="10056C9A" w:rsidR="0048518E" w:rsidRDefault="0048518E" w:rsidP="0048518E">
      <w:pPr>
        <w:spacing w:after="0" w:line="259" w:lineRule="auto"/>
        <w:ind w:left="720"/>
        <w:jc w:val="both"/>
        <w:rPr>
          <w:b/>
          <w:highlight w:val="yellow"/>
          <w:u w:val="single"/>
        </w:rPr>
      </w:pPr>
      <w:r w:rsidRPr="0048518E">
        <w:rPr>
          <w:b/>
        </w:rPr>
        <w:t xml:space="preserve">Interference in the formation of trade unions or election of worker representatives </w:t>
      </w:r>
      <w:r w:rsidRPr="0048518E">
        <w:rPr>
          <w:b/>
          <w:highlight w:val="yellow"/>
          <w:u w:val="single"/>
        </w:rPr>
        <w:t>and transparency on trade union and collective bargaining coverage</w:t>
      </w:r>
      <w:r>
        <w:rPr>
          <w:b/>
          <w:highlight w:val="yellow"/>
          <w:u w:val="single"/>
        </w:rPr>
        <w:t>.</w:t>
      </w:r>
    </w:p>
    <w:p w14:paraId="3B2403F2" w14:textId="77777777" w:rsidR="0048518E" w:rsidRPr="0048518E" w:rsidRDefault="0048518E" w:rsidP="0048518E">
      <w:pPr>
        <w:spacing w:after="0" w:line="259" w:lineRule="auto"/>
        <w:ind w:left="720"/>
        <w:jc w:val="both"/>
        <w:rPr>
          <w:b/>
        </w:rPr>
      </w:pPr>
    </w:p>
    <w:p w14:paraId="0922DDE9" w14:textId="7ACBEE0E" w:rsidR="0048518E" w:rsidRDefault="00112256" w:rsidP="004E0B51">
      <w:pPr>
        <w:spacing w:line="259" w:lineRule="auto"/>
        <w:ind w:left="720"/>
      </w:pPr>
      <w:r>
        <w:t xml:space="preserve">This additional information would enable </w:t>
      </w:r>
      <w:r w:rsidR="00626809">
        <w:t>an assessment of</w:t>
      </w:r>
      <w:r>
        <w:t xml:space="preserve"> </w:t>
      </w:r>
      <w:r w:rsidR="004E0B51">
        <w:t>the</w:t>
      </w:r>
      <w:r>
        <w:t xml:space="preserve"> evidence</w:t>
      </w:r>
      <w:r w:rsidR="00A12FA3">
        <w:t xml:space="preserve"> that</w:t>
      </w:r>
      <w:r>
        <w:t xml:space="preserve"> </w:t>
      </w:r>
      <w:r w:rsidR="00626809">
        <w:t>company</w:t>
      </w:r>
      <w:r>
        <w:t xml:space="preserve"> statements are reflected in </w:t>
      </w:r>
      <w:r w:rsidR="00A12FA3">
        <w:t xml:space="preserve">company </w:t>
      </w:r>
      <w:r>
        <w:t>practice</w:t>
      </w:r>
      <w:r w:rsidR="004E0B51">
        <w:t>:</w:t>
      </w:r>
      <w:r>
        <w:t xml:space="preserve"> it is </w:t>
      </w:r>
      <w:r w:rsidR="00626809">
        <w:t xml:space="preserve">generally not credible for a </w:t>
      </w:r>
      <w:r w:rsidR="00A12FA3">
        <w:t>company</w:t>
      </w:r>
      <w:r>
        <w:t xml:space="preserve"> to maintain that </w:t>
      </w:r>
      <w:r w:rsidR="00A12FA3">
        <w:t>it</w:t>
      </w:r>
      <w:r>
        <w:t xml:space="preserve"> is committed to non-interference </w:t>
      </w:r>
      <w:r w:rsidR="00626809">
        <w:t>when</w:t>
      </w:r>
      <w:r>
        <w:t xml:space="preserve"> zero employees have chosen to exercise their rights regarding union participation</w:t>
      </w:r>
      <w:r w:rsidR="00A465F4">
        <w:t xml:space="preserve"> – that is an unlikely reality for any large company</w:t>
      </w:r>
      <w:r>
        <w:t xml:space="preserve">. </w:t>
      </w:r>
      <w:r w:rsidR="004E0B51">
        <w:t xml:space="preserve">At a minimum, </w:t>
      </w:r>
      <w:r w:rsidR="00626809">
        <w:t>those are the situations that would require scrutiny by investors</w:t>
      </w:r>
      <w:r w:rsidR="004E0B51">
        <w:t>.</w:t>
      </w:r>
    </w:p>
    <w:permEnd w:id="1348034591"/>
    <w:p w14:paraId="48EE2711" w14:textId="6FB83700" w:rsidR="009C41BB" w:rsidRDefault="009C41BB" w:rsidP="004E0B51">
      <w:pPr>
        <w:spacing w:line="259" w:lineRule="auto"/>
        <w:ind w:left="720"/>
      </w:pPr>
      <w:r>
        <w:t>&lt;ESMA_QUESTION_SFDR_1&gt;</w:t>
      </w:r>
    </w:p>
    <w:p w14:paraId="735D870C" w14:textId="77777777" w:rsidR="009C41BB" w:rsidRDefault="009C41BB" w:rsidP="009C41BB"/>
    <w:p w14:paraId="6612C953" w14:textId="77777777" w:rsidR="009C41BB" w:rsidRDefault="009C41BB" w:rsidP="009F0E7D">
      <w:pPr>
        <w:pStyle w:val="Questionstyle"/>
        <w:numPr>
          <w:ilvl w:val="0"/>
          <w:numId w:val="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60A3FE03" w14:textId="662CF7A6" w:rsidR="004E0B51" w:rsidRDefault="004E0B51" w:rsidP="004E0B51">
      <w:pPr>
        <w:spacing w:line="259" w:lineRule="auto"/>
        <w:ind w:left="720"/>
      </w:pPr>
      <w:permStart w:id="1140268191" w:edGrp="everyone"/>
      <w:r>
        <w:t>W</w:t>
      </w:r>
      <w:r w:rsidRPr="004E0B51">
        <w:t xml:space="preserve">e would recommend to </w:t>
      </w:r>
      <w:r>
        <w:t>change</w:t>
      </w:r>
      <w:r w:rsidRPr="004E0B51">
        <w:t xml:space="preserve"> the three following indicators from opt-in to mandatory indicators</w:t>
      </w:r>
      <w:r w:rsidR="00A12FA3">
        <w:t xml:space="preserve"> and to modify them as explained below</w:t>
      </w:r>
      <w:r>
        <w:t>:</w:t>
      </w:r>
    </w:p>
    <w:p w14:paraId="1D547B11" w14:textId="615B5AAD" w:rsidR="004E0B51" w:rsidRPr="004E0B51" w:rsidRDefault="004E0B51" w:rsidP="004E0B51">
      <w:pPr>
        <w:spacing w:line="259" w:lineRule="auto"/>
        <w:ind w:left="720"/>
        <w:rPr>
          <w:b/>
        </w:rPr>
      </w:pPr>
      <w:r w:rsidRPr="004E0B51">
        <w:rPr>
          <w:b/>
        </w:rPr>
        <w:t xml:space="preserve">1.  </w:t>
      </w:r>
      <w:proofErr w:type="gramStart"/>
      <w:r w:rsidRPr="004E0B51">
        <w:rPr>
          <w:b/>
        </w:rPr>
        <w:t>Excessive  use</w:t>
      </w:r>
      <w:proofErr w:type="gramEnd"/>
      <w:r w:rsidRPr="004E0B51">
        <w:rPr>
          <w:b/>
        </w:rPr>
        <w:t xml:space="preserve"> of non-employee workers in investee companies; </w:t>
      </w:r>
    </w:p>
    <w:p w14:paraId="4D01F159" w14:textId="3258B0FC" w:rsidR="004E0B51" w:rsidRPr="004E0B51" w:rsidRDefault="004E0B51" w:rsidP="004E0B51">
      <w:pPr>
        <w:spacing w:line="259" w:lineRule="auto"/>
        <w:ind w:left="720"/>
        <w:rPr>
          <w:b/>
        </w:rPr>
      </w:pPr>
      <w:r w:rsidRPr="004E0B51">
        <w:rPr>
          <w:b/>
        </w:rPr>
        <w:t xml:space="preserve">2. Excessive use of non-guaranteed hour contracts in investee companies; and </w:t>
      </w:r>
    </w:p>
    <w:p w14:paraId="5E94C9AF" w14:textId="39CAA318" w:rsidR="004E0B51" w:rsidRPr="004E0B51" w:rsidRDefault="004E0B51" w:rsidP="004E0B51">
      <w:pPr>
        <w:spacing w:line="259" w:lineRule="auto"/>
        <w:ind w:left="720"/>
      </w:pPr>
      <w:r w:rsidRPr="004E0B51">
        <w:rPr>
          <w:b/>
        </w:rPr>
        <w:t>3. Excessive use of temporary contract employees in investee companies</w:t>
      </w:r>
      <w:r w:rsidRPr="004E0B51">
        <w:t xml:space="preserve">. </w:t>
      </w:r>
    </w:p>
    <w:p w14:paraId="2FF56595" w14:textId="1AACBA99" w:rsidR="009C41BB" w:rsidRDefault="004E0B51" w:rsidP="004E0B51">
      <w:pPr>
        <w:ind w:left="720"/>
      </w:pPr>
      <w:r>
        <w:t>These indicators are critical to understand the levels of precarity within a company’s workforce</w:t>
      </w:r>
      <w:r w:rsidR="00A465F4">
        <w:t xml:space="preserve"> and investor portfolio,</w:t>
      </w:r>
      <w:r>
        <w:t xml:space="preserve"> </w:t>
      </w:r>
      <w:r w:rsidR="00A465F4">
        <w:t>as well as</w:t>
      </w:r>
      <w:r>
        <w:t xml:space="preserve"> the related risks to </w:t>
      </w:r>
      <w:r w:rsidR="00A12FA3">
        <w:t>workers’</w:t>
      </w:r>
      <w:r>
        <w:t xml:space="preserve"> human rights, implications for inequality, and related risks to the business. ILO data clearly shows that </w:t>
      </w:r>
      <w:r w:rsidR="00DE67E7" w:rsidRPr="00647F15">
        <w:t>non-employee workers generally receive lower wages,</w:t>
      </w:r>
      <w:r w:rsidR="00DE67E7">
        <w:t xml:space="preserve"> work</w:t>
      </w:r>
      <w:r w:rsidR="00DE67E7" w:rsidRPr="00647F15">
        <w:t xml:space="preserve"> longer and more irregular hours, and</w:t>
      </w:r>
      <w:r w:rsidR="00DE67E7">
        <w:t xml:space="preserve"> have</w:t>
      </w:r>
      <w:r w:rsidR="00DE67E7" w:rsidRPr="00647F15">
        <w:t xml:space="preserve"> less access to social security benefits and protection from employment termination. They are more likely to be exposed to occupational safety and health risks, forced labour, and restrictions on their freedom of association and collective bargaining rights. </w:t>
      </w:r>
      <w:r w:rsidR="00DE67E7">
        <w:t>Companies’ non-employee workers may have some protections from such outcomes within the EU but lack the</w:t>
      </w:r>
      <w:r w:rsidR="00A12FA3">
        <w:t>se</w:t>
      </w:r>
      <w:r w:rsidR="00DE67E7">
        <w:t xml:space="preserve"> in other jurisdictions.</w:t>
      </w:r>
      <w:r w:rsidR="00DE67E7">
        <w:br/>
      </w:r>
      <w:r w:rsidR="00DE67E7">
        <w:br/>
        <w:t xml:space="preserve">However, the use of the term ‘excessive’ in these indicators makes them hard to apply in practice, both because it is undefined and because considerations of what is ‘excessive’ may vary by industry, depending, for example, on the legitimate seasonality of work. We therefore propose that the term ‘excessive’ be replaced by ‘significant’ and that the indicators include a provision regarding explanations of whether these workers are in fact provided with an adequate wage and social security. The </w:t>
      </w:r>
      <w:r w:rsidR="00A12FA3">
        <w:t xml:space="preserve">indicators </w:t>
      </w:r>
      <w:r w:rsidR="00DE67E7">
        <w:t>would therefore read:</w:t>
      </w:r>
    </w:p>
    <w:p w14:paraId="616B3BDA" w14:textId="66F51281" w:rsidR="00DE67E7" w:rsidRPr="004E0B51" w:rsidRDefault="00DE67E7" w:rsidP="00DE67E7">
      <w:pPr>
        <w:spacing w:line="259" w:lineRule="auto"/>
        <w:ind w:left="720"/>
        <w:rPr>
          <w:b/>
        </w:rPr>
      </w:pPr>
      <w:r w:rsidRPr="004E0B51">
        <w:rPr>
          <w:b/>
        </w:rPr>
        <w:lastRenderedPageBreak/>
        <w:t xml:space="preserve">1.  </w:t>
      </w:r>
      <w:proofErr w:type="gramStart"/>
      <w:r>
        <w:rPr>
          <w:b/>
        </w:rPr>
        <w:t>Significant</w:t>
      </w:r>
      <w:r w:rsidRPr="004E0B51">
        <w:rPr>
          <w:b/>
        </w:rPr>
        <w:t xml:space="preserve">  use</w:t>
      </w:r>
      <w:proofErr w:type="gramEnd"/>
      <w:r w:rsidRPr="004E0B51">
        <w:rPr>
          <w:b/>
        </w:rPr>
        <w:t xml:space="preserve"> of non-employee workers in investee companies</w:t>
      </w:r>
      <w:r>
        <w:rPr>
          <w:b/>
        </w:rPr>
        <w:t>, in the absence of an explanation that they are provided with an adequate wage and social benefits</w:t>
      </w:r>
      <w:r w:rsidRPr="004E0B51">
        <w:rPr>
          <w:b/>
        </w:rPr>
        <w:t xml:space="preserve">; </w:t>
      </w:r>
    </w:p>
    <w:p w14:paraId="69E40BDC" w14:textId="6211F73A" w:rsidR="00DE67E7" w:rsidRPr="004E0B51" w:rsidRDefault="00DE67E7" w:rsidP="00DE67E7">
      <w:pPr>
        <w:spacing w:line="259" w:lineRule="auto"/>
        <w:ind w:left="720"/>
        <w:rPr>
          <w:b/>
        </w:rPr>
      </w:pPr>
      <w:r w:rsidRPr="004E0B51">
        <w:rPr>
          <w:b/>
        </w:rPr>
        <w:t xml:space="preserve">2. </w:t>
      </w:r>
      <w:r>
        <w:rPr>
          <w:b/>
        </w:rPr>
        <w:t>Significant</w:t>
      </w:r>
      <w:r w:rsidRPr="004E0B51">
        <w:rPr>
          <w:b/>
        </w:rPr>
        <w:t xml:space="preserve"> use of non-guaranteed hour contracts in investee companies</w:t>
      </w:r>
      <w:r>
        <w:rPr>
          <w:b/>
        </w:rPr>
        <w:t>, in the absence of an explanation that they are provided with an adequate wage and social benefits</w:t>
      </w:r>
      <w:r w:rsidRPr="004E0B51">
        <w:rPr>
          <w:b/>
        </w:rPr>
        <w:t xml:space="preserve">; and </w:t>
      </w:r>
    </w:p>
    <w:p w14:paraId="6CA7E5D0" w14:textId="31ED0DD1" w:rsidR="00DE67E7" w:rsidRDefault="00DE67E7" w:rsidP="00DE67E7">
      <w:pPr>
        <w:spacing w:line="259" w:lineRule="auto"/>
        <w:ind w:left="720"/>
      </w:pPr>
      <w:r w:rsidRPr="004E0B51">
        <w:rPr>
          <w:b/>
        </w:rPr>
        <w:t xml:space="preserve">3. </w:t>
      </w:r>
      <w:r>
        <w:rPr>
          <w:b/>
        </w:rPr>
        <w:t>Significant</w:t>
      </w:r>
      <w:r w:rsidRPr="004E0B51">
        <w:rPr>
          <w:b/>
        </w:rPr>
        <w:t xml:space="preserve"> use of temporary contract employees in investee companies</w:t>
      </w:r>
      <w:r>
        <w:rPr>
          <w:b/>
        </w:rPr>
        <w:t>, in the absence of an explanation that they are provided with an adequate wage and social benefits</w:t>
      </w:r>
      <w:r w:rsidRPr="004E0B51">
        <w:t xml:space="preserve">. </w:t>
      </w:r>
    </w:p>
    <w:p w14:paraId="2B8CA3E9" w14:textId="581AC751" w:rsidR="00DE67E7" w:rsidRDefault="00DE67E7" w:rsidP="00DE67E7">
      <w:pPr>
        <w:spacing w:line="259" w:lineRule="auto"/>
        <w:ind w:left="720"/>
      </w:pPr>
      <w:r>
        <w:t xml:space="preserve">This formulation would enable </w:t>
      </w:r>
      <w:r w:rsidR="00A465F4">
        <w:t>an important distinction between</w:t>
      </w:r>
      <w:r>
        <w:t xml:space="preserve"> </w:t>
      </w:r>
      <w:proofErr w:type="spellStart"/>
      <w:r>
        <w:t>between</w:t>
      </w:r>
      <w:proofErr w:type="spellEnd"/>
      <w:r>
        <w:t xml:space="preserve"> </w:t>
      </w:r>
      <w:r w:rsidR="00A465F4">
        <w:t>portfolio companies</w:t>
      </w:r>
      <w:r>
        <w:t xml:space="preserve"> that use significant proportions of workers in these forms of relationship but also provide minimally decent working conditions, and those that provide no evidence of such decent treatment</w:t>
      </w:r>
      <w:r w:rsidR="0000501A">
        <w:t xml:space="preserve">. This </w:t>
      </w:r>
      <w:r w:rsidR="00A465F4">
        <w:t xml:space="preserve">insight </w:t>
      </w:r>
      <w:r w:rsidR="0000501A">
        <w:t xml:space="preserve">would enable </w:t>
      </w:r>
      <w:r w:rsidR="00A465F4">
        <w:t>investors</w:t>
      </w:r>
      <w:r w:rsidR="0000501A">
        <w:t xml:space="preserve"> to focus on</w:t>
      </w:r>
      <w:r>
        <w:t xml:space="preserve"> the areas of highest risk in their portfolios with regard to workforce composition and decent work</w:t>
      </w:r>
      <w:r w:rsidR="0000501A">
        <w:t xml:space="preserve"> and to reflect that in their own disclosures</w:t>
      </w:r>
      <w:r>
        <w:t>. It would reflect the language of the related ESRS disclosures</w:t>
      </w:r>
      <w:r w:rsidR="0000501A">
        <w:t>.</w:t>
      </w:r>
      <w:r>
        <w:t xml:space="preserve"> </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F0E7D">
      <w:pPr>
        <w:pStyle w:val="Questionstyle"/>
        <w:numPr>
          <w:ilvl w:val="0"/>
          <w:numId w:val="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20507C21" w14:textId="77777777" w:rsidR="00DE67E7" w:rsidRDefault="00DE67E7" w:rsidP="009C41BB">
      <w:permStart w:id="1930569352" w:edGrp="everyone"/>
      <w:r>
        <w:t xml:space="preserve">As set out in our response to Q2, we support the first three of these indicators and propose that they should be moved into the ‘mandatory’ category, for the reasons explained there. </w:t>
      </w:r>
    </w:p>
    <w:p w14:paraId="790DBDAF" w14:textId="53A6B0F1" w:rsidR="00DE67E7" w:rsidRDefault="00DE67E7" w:rsidP="009C41BB">
      <w:r>
        <w:t>Regarding the remaining two indicators, we do not believe that these have the capacity to provide meaningful information for investors</w:t>
      </w:r>
      <w:r w:rsidR="00E53BC1">
        <w:t>, and propose they should be amended or deleted</w:t>
      </w:r>
      <w:r>
        <w:t>. More specifically:</w:t>
      </w:r>
    </w:p>
    <w:p w14:paraId="5F9549EB" w14:textId="21701C24" w:rsidR="00DE67E7" w:rsidRDefault="00DE67E7" w:rsidP="009F0E7D">
      <w:pPr>
        <w:numPr>
          <w:ilvl w:val="0"/>
          <w:numId w:val="4"/>
        </w:numPr>
        <w:spacing w:after="0" w:line="259" w:lineRule="auto"/>
        <w:jc w:val="both"/>
      </w:pPr>
      <w:r>
        <w:t>Regarding the indicator that reads, ‘Insufficient employment of persons with disabilities within the workforce’, we would note that there are significant differences between EU Member States regarding the legality of providing data that would correspond to this indicator</w:t>
      </w:r>
      <w:r w:rsidR="0044282E">
        <w:t xml:space="preserve">. Moreover, there is no clarity as to what could or should be deemed ‘insufficient’. ESMA might either delete this indicator or </w:t>
      </w:r>
      <w:proofErr w:type="spellStart"/>
      <w:r w:rsidR="0044282E">
        <w:t>modifty</w:t>
      </w:r>
      <w:proofErr w:type="spellEnd"/>
      <w:r w:rsidR="0044282E">
        <w:t xml:space="preserve"> it to refer to </w:t>
      </w:r>
      <w:r w:rsidR="008A29C9">
        <w:t>a</w:t>
      </w:r>
      <w:r w:rsidR="0044282E">
        <w:t xml:space="preserve"> ‘</w:t>
      </w:r>
      <w:r w:rsidR="0044282E" w:rsidRPr="008A29C9">
        <w:rPr>
          <w:b/>
        </w:rPr>
        <w:t xml:space="preserve">Lack of transparency regarding </w:t>
      </w:r>
      <w:proofErr w:type="spellStart"/>
      <w:r w:rsidR="0044282E" w:rsidRPr="008A29C9">
        <w:rPr>
          <w:b/>
        </w:rPr>
        <w:t>employement</w:t>
      </w:r>
      <w:proofErr w:type="spellEnd"/>
      <w:r w:rsidR="0044282E" w:rsidRPr="008A29C9">
        <w:rPr>
          <w:b/>
        </w:rPr>
        <w:t xml:space="preserve"> of persons with disabilities</w:t>
      </w:r>
      <w:r w:rsidR="0044282E">
        <w:t>’, whereby both a statement by companies regarding the level of their employment of persons with disabilities, or a statement providing a legitimate reason why they cannot secure or provide such data may be judged a reasonable response.</w:t>
      </w:r>
    </w:p>
    <w:p w14:paraId="3C5FF3DC" w14:textId="320FD602" w:rsidR="00DE67E7" w:rsidRDefault="0044282E" w:rsidP="009F0E7D">
      <w:pPr>
        <w:numPr>
          <w:ilvl w:val="0"/>
          <w:numId w:val="4"/>
        </w:numPr>
        <w:spacing w:after="0" w:line="259" w:lineRule="auto"/>
        <w:jc w:val="both"/>
      </w:pPr>
      <w:r>
        <w:lastRenderedPageBreak/>
        <w:t>Regarding the two indicators related to grievance mechanisms, while we fully support the need for companies to have effective operational-level grievance mechanisms</w:t>
      </w:r>
      <w:r w:rsidR="008A29C9">
        <w:t xml:space="preserve"> in place for groups who may be negatively impacted by their operations</w:t>
      </w:r>
      <w:r>
        <w:t xml:space="preserve">, the simple fact of having a mechanism in place does not enable investors to assess whether it is in any regard effective as a means of identifying and addressing the concerns of stakeholders. Evidence shows that this is too often not the case. These indicators would therefore conflate both good and bad practice and as such provide no </w:t>
      </w:r>
      <w:r w:rsidR="00A465F4">
        <w:t>insight of value at the level of a portfolio. It</w:t>
      </w:r>
      <w:r>
        <w:t xml:space="preserve"> </w:t>
      </w:r>
      <w:r w:rsidR="00A465F4">
        <w:t xml:space="preserve">would rather </w:t>
      </w:r>
      <w:r>
        <w:t xml:space="preserve">risk encouraging </w:t>
      </w:r>
      <w:r w:rsidR="00A465F4">
        <w:t xml:space="preserve">portfolio </w:t>
      </w:r>
      <w:r>
        <w:t>companies to put in place tick-box mechanisms without attention to their purpose and efficacy. The information necessary to make that judgment will not be readily available to investors at scale.</w:t>
      </w:r>
      <w:r w:rsidR="008A29C9">
        <w:t xml:space="preserve"> We therefore propose the deletions of these two indicators.</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F0E7D">
      <w:pPr>
        <w:pStyle w:val="Questionstyle"/>
        <w:numPr>
          <w:ilvl w:val="0"/>
          <w:numId w:val="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493069E8" w:rsidR="009C41BB" w:rsidRDefault="0044282E" w:rsidP="009C41BB">
      <w:permStart w:id="2056993415" w:edGrp="everyone"/>
      <w:r>
        <w:t xml:space="preserve">We recommend that ESMA consider a small number of additional social indicators that are aligned with the ESRS and </w:t>
      </w:r>
      <w:r w:rsidR="00A465F4">
        <w:t xml:space="preserve">which </w:t>
      </w:r>
      <w:r>
        <w:t xml:space="preserve">provide valuable insight into </w:t>
      </w:r>
      <w:r w:rsidR="00A465F4">
        <w:t xml:space="preserve">portfolio </w:t>
      </w:r>
      <w:r>
        <w:t xml:space="preserve">companies’ social performance. </w:t>
      </w:r>
      <w:r w:rsidR="008A29C9">
        <w:t>Please note that in response to Question 5, we also propose some deletions of indicators that lack the ability to provide meaningful insight, such that adding the ones suggested here would still leave a net reduction in the number of indicators, as compared with those proposed by ESMA.</w:t>
      </w:r>
    </w:p>
    <w:p w14:paraId="7E038D8A" w14:textId="615BB75B" w:rsidR="0044282E" w:rsidRDefault="0044282E" w:rsidP="009F0E7D">
      <w:pPr>
        <w:pStyle w:val="ListParagraph"/>
        <w:numPr>
          <w:ilvl w:val="0"/>
          <w:numId w:val="5"/>
        </w:numPr>
      </w:pPr>
      <w:r w:rsidRPr="0044282E">
        <w:rPr>
          <w:b/>
        </w:rPr>
        <w:t>‘The percentage of women in management positions’</w:t>
      </w:r>
      <w:r w:rsidR="008A29C9">
        <w:rPr>
          <w:b/>
        </w:rPr>
        <w:t xml:space="preserve">: </w:t>
      </w:r>
      <w:r w:rsidR="008A29C9" w:rsidRPr="008A29C9">
        <w:t>this indicator would</w:t>
      </w:r>
      <w:r>
        <w:t xml:space="preserve"> provide greater clarity on companies’ diversity and corporate culture than simply the proportion of women in their governing bodies.</w:t>
      </w:r>
    </w:p>
    <w:p w14:paraId="3BF51A85" w14:textId="77777777" w:rsidR="008A29C9" w:rsidRDefault="008A29C9" w:rsidP="008A29C9">
      <w:pPr>
        <w:pStyle w:val="ListParagraph"/>
      </w:pPr>
    </w:p>
    <w:p w14:paraId="2007645E" w14:textId="471D1BF4" w:rsidR="0044282E" w:rsidRPr="00E53BC1" w:rsidRDefault="0044282E" w:rsidP="009F0E7D">
      <w:pPr>
        <w:pStyle w:val="ListParagraph"/>
        <w:numPr>
          <w:ilvl w:val="0"/>
          <w:numId w:val="5"/>
        </w:numPr>
      </w:pPr>
      <w:r w:rsidRPr="00E53BC1">
        <w:t>In addition, the following indicators provide insight into the extent to which</w:t>
      </w:r>
      <w:r w:rsidR="00B30275" w:rsidRPr="00E53BC1">
        <w:t xml:space="preserve"> </w:t>
      </w:r>
      <w:r w:rsidR="00A465F4">
        <w:t xml:space="preserve">portfolio companies’ </w:t>
      </w:r>
      <w:r w:rsidR="00B30275" w:rsidRPr="00E53BC1">
        <w:t>governing bodies are attuned to and exercising necessary oversight of material sustainability matters</w:t>
      </w:r>
      <w:r w:rsidR="008A29C9">
        <w:t>, and would be valuable additions for investor insight and investor disclosures</w:t>
      </w:r>
      <w:r w:rsidR="00B30275" w:rsidRPr="00E53BC1">
        <w:t>:</w:t>
      </w:r>
    </w:p>
    <w:p w14:paraId="2D58ADAD" w14:textId="1A74A47B" w:rsidR="00B30275" w:rsidRPr="00E53BC1" w:rsidRDefault="00B30275" w:rsidP="009F0E7D">
      <w:pPr>
        <w:numPr>
          <w:ilvl w:val="0"/>
          <w:numId w:val="6"/>
        </w:numPr>
        <w:spacing w:after="0" w:line="259" w:lineRule="auto"/>
        <w:ind w:left="1080"/>
        <w:jc w:val="both"/>
        <w:rPr>
          <w:b/>
        </w:rPr>
      </w:pPr>
      <w:r w:rsidRPr="00E53BC1">
        <w:rPr>
          <w:b/>
        </w:rPr>
        <w:t>The availability of expertise on material sustainability matters to the investee company’s management, administrative and oversight bodies</w:t>
      </w:r>
    </w:p>
    <w:p w14:paraId="3E0B88AF" w14:textId="0BE6C539" w:rsidR="00B30275" w:rsidRPr="00E53BC1" w:rsidRDefault="00B30275" w:rsidP="009F0E7D">
      <w:pPr>
        <w:numPr>
          <w:ilvl w:val="0"/>
          <w:numId w:val="6"/>
        </w:numPr>
        <w:spacing w:after="0" w:line="259" w:lineRule="auto"/>
        <w:ind w:left="1080"/>
        <w:jc w:val="both"/>
        <w:rPr>
          <w:b/>
        </w:rPr>
      </w:pPr>
      <w:r w:rsidRPr="00E53BC1">
        <w:rPr>
          <w:b/>
        </w:rPr>
        <w:t>Transparency regarding both the processes through which the governing bodies are informed about material impacts, risks and opportunities and sustainability due diligence, and the sustainability matters specifically discussed by these bodies</w:t>
      </w:r>
    </w:p>
    <w:p w14:paraId="1B3A705D" w14:textId="4840B280" w:rsidR="00B30275" w:rsidRPr="00E53BC1" w:rsidRDefault="008A29C9" w:rsidP="009F0E7D">
      <w:pPr>
        <w:numPr>
          <w:ilvl w:val="0"/>
          <w:numId w:val="5"/>
        </w:numPr>
        <w:spacing w:after="0" w:line="259" w:lineRule="auto"/>
        <w:ind w:left="1080"/>
        <w:jc w:val="both"/>
        <w:rPr>
          <w:b/>
          <w:i/>
        </w:rPr>
      </w:pPr>
      <w:r>
        <w:rPr>
          <w:b/>
        </w:rPr>
        <w:t>Significant</w:t>
      </w:r>
      <w:r w:rsidR="00B30275" w:rsidRPr="00E53BC1">
        <w:rPr>
          <w:b/>
        </w:rPr>
        <w:t xml:space="preserve"> payment</w:t>
      </w:r>
      <w:r w:rsidR="00B30275" w:rsidRPr="00E53BC1">
        <w:rPr>
          <w:b/>
          <w:i/>
        </w:rPr>
        <w:t xml:space="preserve"> </w:t>
      </w:r>
      <w:r w:rsidR="00B30275" w:rsidRPr="00E53BC1">
        <w:rPr>
          <w:b/>
        </w:rPr>
        <w:t>times to small and medium enterprises</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F0E7D">
      <w:pPr>
        <w:pStyle w:val="Questionstyle"/>
        <w:numPr>
          <w:ilvl w:val="0"/>
          <w:numId w:val="2"/>
        </w:numPr>
      </w:pPr>
      <w:bookmarkStart w:id="4" w:name="_Hlk131609833"/>
      <w:r>
        <w:t xml:space="preserve">: Do you agree with the changes proposed to the existing mandatory and opt-in social indicators in Annex I, Table I and III (i.e. replacing the UN Global Compact </w:t>
      </w:r>
      <w:r>
        <w:lastRenderedPageBreak/>
        <w:t>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B30275">
      <w:r>
        <w:t>&lt;ESMA_QUESTION_SFDR_5&gt;</w:t>
      </w:r>
    </w:p>
    <w:p w14:paraId="54912908" w14:textId="77777777" w:rsidR="00B30275" w:rsidRPr="008A29C9" w:rsidRDefault="00B30275" w:rsidP="00B30275">
      <w:pPr>
        <w:spacing w:line="259" w:lineRule="auto"/>
        <w:rPr>
          <w:b/>
        </w:rPr>
      </w:pPr>
      <w:permStart w:id="452221127" w:edGrp="everyone"/>
      <w:r w:rsidRPr="008A29C9">
        <w:rPr>
          <w:b/>
        </w:rPr>
        <w:t xml:space="preserve">We would propose that ESMA delete PAI indicator #10 in Table 1 of Annex I and preserve, in amended form, indicator #11. </w:t>
      </w:r>
      <w:r w:rsidRPr="008A29C9">
        <w:rPr>
          <w:b/>
        </w:rPr>
        <w:br/>
      </w:r>
    </w:p>
    <w:p w14:paraId="1093ADF8" w14:textId="26B5BED4" w:rsidR="00B30275" w:rsidRDefault="00B30275" w:rsidP="00B30275">
      <w:pPr>
        <w:spacing w:line="259" w:lineRule="auto"/>
      </w:pPr>
      <w:r w:rsidRPr="00B30275">
        <w:t>Indicator #10</w:t>
      </w:r>
      <w:r>
        <w:t xml:space="preserve"> does not enable meaningful information for investors</w:t>
      </w:r>
      <w:r w:rsidR="008A29C9">
        <w:t>, nor meaningful information about their portfolios</w:t>
      </w:r>
      <w:r>
        <w:t>. The UN Guiding Principles and OECD Guidelines are standards of conduct with regard to respect for human rights</w:t>
      </w:r>
      <w:r w:rsidR="005908C3">
        <w:t>. They relate to human rights impacts</w:t>
      </w:r>
      <w:r>
        <w:t xml:space="preserve"> across companies’ operations and value chains, including instances where companies may cause or may contribute to </w:t>
      </w:r>
      <w:r w:rsidR="005908C3">
        <w:t>impacts</w:t>
      </w:r>
      <w:r>
        <w:t xml:space="preserve"> through their own activities, or where </w:t>
      </w:r>
      <w:r w:rsidR="005908C3">
        <w:t>impacts</w:t>
      </w:r>
      <w:r>
        <w:t xml:space="preserve"> may be linked to their operations, products or services through a business relationship, without contribution on their part. </w:t>
      </w:r>
    </w:p>
    <w:p w14:paraId="00B04478" w14:textId="4E5EFD88" w:rsidR="005908C3" w:rsidRDefault="00B30275" w:rsidP="00B30275">
      <w:pPr>
        <w:spacing w:line="259" w:lineRule="auto"/>
      </w:pPr>
      <w:r>
        <w:t>While the corporate responsibility to respect human rights is a baseline expectation of all companies, this should not be understood to mean that a company can easily ‘comply’ with this expectation and move on.  This is not</w:t>
      </w:r>
      <w:r w:rsidR="005908C3">
        <w:t>, in esse</w:t>
      </w:r>
      <w:r w:rsidR="008A29C9">
        <w:t>n</w:t>
      </w:r>
      <w:r w:rsidR="005908C3">
        <w:t>ce,</w:t>
      </w:r>
      <w:r>
        <w:t xml:space="preserve"> a compliance exercise – it’s about the way a business thinks about and understands how its </w:t>
      </w:r>
      <w:r w:rsidR="005908C3">
        <w:t>decisions and actions</w:t>
      </w:r>
      <w:r w:rsidR="008A29C9">
        <w:t>,</w:t>
      </w:r>
      <w:r w:rsidR="005908C3">
        <w:t xml:space="preserve"> including with regard to its choice of business model, strategy and value chain partners, can create risks to vulnerable people’s </w:t>
      </w:r>
      <w:r w:rsidR="008A29C9">
        <w:t>human rights</w:t>
      </w:r>
      <w:r w:rsidR="005908C3">
        <w:t xml:space="preserve">, and how it adapts and learns in order to reduce those risks. </w:t>
      </w:r>
    </w:p>
    <w:p w14:paraId="387A2206" w14:textId="77777777" w:rsidR="005908C3" w:rsidRDefault="00B30275" w:rsidP="00B30275">
      <w:pPr>
        <w:spacing w:line="259" w:lineRule="auto"/>
      </w:pPr>
      <w:r>
        <w:t xml:space="preserve">The challenging nature of human rights harms and their relationship to corporate activities and value chains means that the human rights risk context is frequently changing and requires that human rights due diligence </w:t>
      </w:r>
      <w:r w:rsidR="005908C3">
        <w:t>is</w:t>
      </w:r>
      <w:r>
        <w:t xml:space="preserve"> an on-going process. </w:t>
      </w:r>
      <w:r w:rsidR="005908C3">
        <w:t>At present</w:t>
      </w:r>
      <w:r>
        <w:t xml:space="preserve">, few companies have extended such due diligence fully across their operations and upstream and downstream value chain. It takes time. </w:t>
      </w:r>
    </w:p>
    <w:p w14:paraId="154F5BFC" w14:textId="77777777" w:rsidR="005908C3" w:rsidRDefault="00B30275" w:rsidP="00B30275">
      <w:pPr>
        <w:spacing w:line="259" w:lineRule="auto"/>
      </w:pPr>
      <w:r>
        <w:t xml:space="preserve">As a result, an indicator regarding ‘violations’ of these standards of conduct is meaningless to all intents and purposes. If it is reduced simply to an assessment of lawsuits and formal complaints, that vastly underestimates the issues warranting attention in a portfolio. If </w:t>
      </w:r>
      <w:r w:rsidR="005908C3">
        <w:t>it is</w:t>
      </w:r>
      <w:r>
        <w:t xml:space="preserve"> interpreted to mean all the human rights harms occurring at any time that should be subject to due diligence, then no portfolio company would ever meet the grade.  </w:t>
      </w:r>
    </w:p>
    <w:p w14:paraId="0F7481BE" w14:textId="5A702243" w:rsidR="00B30275" w:rsidRDefault="005908C3" w:rsidP="005908C3">
      <w:pPr>
        <w:spacing w:line="259" w:lineRule="auto"/>
        <w:rPr>
          <w:i/>
        </w:rPr>
      </w:pPr>
      <w:r>
        <w:t xml:space="preserve">In this regard, indicator #11 is a better guide for investors assessing </w:t>
      </w:r>
      <w:proofErr w:type="spellStart"/>
      <w:r>
        <w:t>portolios</w:t>
      </w:r>
      <w:proofErr w:type="spellEnd"/>
      <w:r>
        <w:t xml:space="preserve">, </w:t>
      </w:r>
      <w:r w:rsidR="008A29C9">
        <w:t>and</w:t>
      </w:r>
      <w:r>
        <w:t xml:space="preserve"> we strongly advise that indicator #10 be </w:t>
      </w:r>
      <w:r w:rsidR="008A29C9">
        <w:t>deleted</w:t>
      </w:r>
      <w:r>
        <w:t xml:space="preserve">. </w:t>
      </w:r>
    </w:p>
    <w:p w14:paraId="4538F833" w14:textId="1ADF4034" w:rsidR="005908C3" w:rsidRDefault="005908C3" w:rsidP="005908C3">
      <w:pPr>
        <w:spacing w:line="259" w:lineRule="auto"/>
      </w:pPr>
      <w:r w:rsidRPr="005908C3">
        <w:t>With regard to Indicator #11</w:t>
      </w:r>
      <w:r>
        <w:t>, we fully support the need to replace the refe</w:t>
      </w:r>
      <w:r w:rsidR="008A29C9">
        <w:t>r</w:t>
      </w:r>
      <w:r>
        <w:t>ence to the UN Global Compact Principles (a voluntary, if laudable, set of principles that companies have to sign up to) with the UN Guiding Principles on Business and Human Rights (a standard of conduct endorsed by governments and which applies to all companies.) These two standards reference the human rights contained in the International Bill of Human Rights and in the ILO Declaration on Fundamental Principles and Rights at Work. The indicator should therefore be amended to avoid confusing the two standards of conduct with the two sets of standards that enumerate sets of human rights. We propose that it should read:</w:t>
      </w:r>
    </w:p>
    <w:p w14:paraId="4FF2DFAE" w14:textId="4946F9F6" w:rsidR="005908C3" w:rsidRPr="005908C3" w:rsidRDefault="005908C3" w:rsidP="005908C3">
      <w:pPr>
        <w:spacing w:line="259" w:lineRule="auto"/>
        <w:rPr>
          <w:b/>
        </w:rPr>
      </w:pPr>
      <w:r w:rsidRPr="005908C3">
        <w:rPr>
          <w:b/>
          <w:sz w:val="23"/>
          <w:szCs w:val="23"/>
        </w:rPr>
        <w:lastRenderedPageBreak/>
        <w:t xml:space="preserve">Lack of processes and compliance mechanisms to monitor compliance with the </w:t>
      </w:r>
      <w:r w:rsidR="008A29C9">
        <w:rPr>
          <w:b/>
          <w:sz w:val="23"/>
          <w:szCs w:val="23"/>
        </w:rPr>
        <w:t xml:space="preserve">UN Guiding Principles </w:t>
      </w:r>
      <w:r w:rsidR="008A29C9" w:rsidRPr="008A29C9">
        <w:rPr>
          <w:b/>
          <w:sz w:val="23"/>
          <w:szCs w:val="23"/>
          <w:u w:val="single"/>
        </w:rPr>
        <w:t>on Business and Human Rights</w:t>
      </w:r>
      <w:r w:rsidR="008A29C9">
        <w:rPr>
          <w:b/>
          <w:sz w:val="23"/>
          <w:szCs w:val="23"/>
        </w:rPr>
        <w:t xml:space="preserve"> or the </w:t>
      </w:r>
      <w:r w:rsidRPr="005908C3">
        <w:rPr>
          <w:b/>
          <w:sz w:val="23"/>
          <w:szCs w:val="23"/>
        </w:rPr>
        <w:t xml:space="preserve">OECD Guidelines for Multinational Enterprises, </w:t>
      </w:r>
      <w:r w:rsidRPr="005908C3">
        <w:rPr>
          <w:b/>
          <w:sz w:val="23"/>
          <w:szCs w:val="23"/>
          <w:u w:val="single"/>
        </w:rPr>
        <w:t>including with regard to</w:t>
      </w:r>
      <w:r w:rsidRPr="005908C3">
        <w:rPr>
          <w:b/>
          <w:sz w:val="23"/>
          <w:szCs w:val="23"/>
        </w:rPr>
        <w:t xml:space="preserve"> the principles and rights set out in the eight fundamental conventions identified in the ILO Declaration</w:t>
      </w:r>
      <w:r w:rsidR="008A29C9">
        <w:rPr>
          <w:b/>
          <w:sz w:val="23"/>
          <w:szCs w:val="23"/>
        </w:rPr>
        <w:t xml:space="preserve"> </w:t>
      </w:r>
      <w:r w:rsidR="008A29C9" w:rsidRPr="008A29C9">
        <w:rPr>
          <w:b/>
          <w:sz w:val="23"/>
          <w:szCs w:val="23"/>
          <w:u w:val="single"/>
        </w:rPr>
        <w:t>on Fundamental Principles and Rights at Work</w:t>
      </w:r>
      <w:r w:rsidRPr="005908C3">
        <w:rPr>
          <w:b/>
          <w:sz w:val="23"/>
          <w:szCs w:val="23"/>
        </w:rPr>
        <w:t xml:space="preserve"> </w:t>
      </w:r>
      <w:r w:rsidRPr="00A60983">
        <w:rPr>
          <w:b/>
          <w:sz w:val="23"/>
          <w:szCs w:val="23"/>
          <w:u w:val="single"/>
        </w:rPr>
        <w:t>and the International Bill of Human Rights</w:t>
      </w:r>
    </w:p>
    <w:p w14:paraId="5DF657EA" w14:textId="47C1A184" w:rsidR="005908C3" w:rsidRPr="00A60983" w:rsidRDefault="00A60983" w:rsidP="005908C3">
      <w:pPr>
        <w:spacing w:line="259" w:lineRule="auto"/>
        <w:jc w:val="both"/>
        <w:rPr>
          <w:highlight w:val="yellow"/>
        </w:rPr>
      </w:pPr>
      <w:r>
        <w:rPr>
          <w:highlight w:val="yellow"/>
        </w:rPr>
        <w:t xml:space="preserve">We also note that the metric for this KPI does not reflect the language of the indicator, as it refers only to policies, and not to relevant processes. Furthermore, it would be </w:t>
      </w:r>
      <w:proofErr w:type="spellStart"/>
      <w:r w:rsidR="008A29C9">
        <w:rPr>
          <w:highlight w:val="yellow"/>
        </w:rPr>
        <w:t>important</w:t>
      </w:r>
      <w:r>
        <w:rPr>
          <w:highlight w:val="yellow"/>
        </w:rPr>
        <w:t>to</w:t>
      </w:r>
      <w:proofErr w:type="spellEnd"/>
      <w:r>
        <w:rPr>
          <w:highlight w:val="yellow"/>
        </w:rPr>
        <w:t xml:space="preserve"> align it further with ESRS 2 Disclosure Requirement GOV-2.  As such, it would read:</w:t>
      </w:r>
    </w:p>
    <w:p w14:paraId="4B7132DC" w14:textId="343FA98F" w:rsidR="005908C3" w:rsidRPr="00A60983" w:rsidRDefault="00A60983" w:rsidP="005908C3">
      <w:pPr>
        <w:spacing w:line="259" w:lineRule="auto"/>
        <w:jc w:val="both"/>
        <w:rPr>
          <w:b/>
          <w:highlight w:val="yellow"/>
        </w:rPr>
      </w:pPr>
      <w:r w:rsidRPr="00A60983">
        <w:rPr>
          <w:b/>
          <w:highlight w:val="yellow"/>
        </w:rPr>
        <w:t xml:space="preserve">Share of investments in investee companies without policies or </w:t>
      </w:r>
      <w:r w:rsidRPr="00A60983">
        <w:rPr>
          <w:b/>
          <w:highlight w:val="yellow"/>
          <w:u w:val="single"/>
        </w:rPr>
        <w:t xml:space="preserve">processes, including a sustainability due diligence process supported by internal controls and board oversight, to </w:t>
      </w:r>
      <w:proofErr w:type="gramStart"/>
      <w:r w:rsidRPr="00A60983">
        <w:rPr>
          <w:b/>
          <w:highlight w:val="yellow"/>
          <w:u w:val="single"/>
        </w:rPr>
        <w:t>enable  and</w:t>
      </w:r>
      <w:proofErr w:type="gramEnd"/>
      <w:r w:rsidRPr="00A60983">
        <w:rPr>
          <w:b/>
          <w:highlight w:val="yellow"/>
        </w:rPr>
        <w:t xml:space="preserve"> monitor compliance with the </w:t>
      </w:r>
      <w:r w:rsidRPr="00A60983">
        <w:rPr>
          <w:b/>
          <w:highlight w:val="yellow"/>
          <w:u w:val="single"/>
        </w:rPr>
        <w:t>UN Guiding Principles on Business and Human Rights and</w:t>
      </w:r>
      <w:r w:rsidRPr="00A60983">
        <w:rPr>
          <w:b/>
          <w:highlight w:val="yellow"/>
        </w:rPr>
        <w:t xml:space="preserve"> OECD Guidelines for Multinational Enterprises</w:t>
      </w:r>
    </w:p>
    <w:p w14:paraId="095891E5" w14:textId="1AE5D3FC" w:rsidR="00A60983" w:rsidRPr="00A60983" w:rsidRDefault="00A60983" w:rsidP="005908C3">
      <w:pPr>
        <w:spacing w:line="259" w:lineRule="auto"/>
        <w:jc w:val="both"/>
        <w:rPr>
          <w:highlight w:val="yellow"/>
        </w:rPr>
      </w:pPr>
      <w:r>
        <w:rPr>
          <w:highlight w:val="yellow"/>
        </w:rPr>
        <w:t xml:space="preserve">We would highlight that, amended in this way, this indicator would cover the issues currently covered in human rights indicators in Table 3, enabling </w:t>
      </w:r>
      <w:r w:rsidR="008A29C9">
        <w:rPr>
          <w:highlight w:val="yellow"/>
        </w:rPr>
        <w:t>a further reduction in</w:t>
      </w:r>
      <w:r>
        <w:rPr>
          <w:highlight w:val="yellow"/>
        </w:rPr>
        <w:t xml:space="preserve"> these </w:t>
      </w:r>
      <w:proofErr w:type="spellStart"/>
      <w:r>
        <w:rPr>
          <w:highlight w:val="yellow"/>
        </w:rPr>
        <w:t>indicators</w:t>
      </w:r>
      <w:r w:rsidR="008A29C9">
        <w:rPr>
          <w:highlight w:val="yellow"/>
        </w:rPr>
        <w:t>M</w:t>
      </w:r>
      <w:r>
        <w:rPr>
          <w:highlight w:val="yellow"/>
        </w:rPr>
        <w:t>any</w:t>
      </w:r>
      <w:proofErr w:type="spellEnd"/>
      <w:r>
        <w:rPr>
          <w:highlight w:val="yellow"/>
        </w:rPr>
        <w:t xml:space="preserve"> of those indicators could be deleted without any loss of valuable information </w:t>
      </w:r>
      <w:r w:rsidR="008A29C9">
        <w:rPr>
          <w:highlight w:val="yellow"/>
        </w:rPr>
        <w:t>regarding investor portfolios</w:t>
      </w:r>
      <w:r>
        <w:rPr>
          <w:highlight w:val="yellow"/>
        </w:rPr>
        <w:t>, for the reasons set out below:</w:t>
      </w:r>
    </w:p>
    <w:p w14:paraId="1EBC78CF" w14:textId="2887222A" w:rsidR="00A60983" w:rsidRPr="008A29C9" w:rsidRDefault="00A60983" w:rsidP="009F0E7D">
      <w:pPr>
        <w:numPr>
          <w:ilvl w:val="0"/>
          <w:numId w:val="7"/>
        </w:numPr>
        <w:spacing w:after="0" w:line="259" w:lineRule="auto"/>
        <w:jc w:val="both"/>
        <w:rPr>
          <w:b/>
        </w:rPr>
      </w:pPr>
      <w:r w:rsidRPr="00A60983">
        <w:rPr>
          <w:b/>
        </w:rPr>
        <w:t>Indicator #1</w:t>
      </w:r>
      <w:r w:rsidRPr="00A60983">
        <w:rPr>
          <w:b/>
        </w:rPr>
        <w:t>:</w:t>
      </w:r>
      <w:r w:rsidRPr="00A60983">
        <w:rPr>
          <w:b/>
        </w:rPr>
        <w:t xml:space="preserve"> </w:t>
      </w:r>
      <w:r w:rsidRPr="00A60983">
        <w:rPr>
          <w:b/>
          <w:color w:val="333333"/>
          <w:highlight w:val="white"/>
        </w:rPr>
        <w:t>Investments in companies without workplace accident prevention policies</w:t>
      </w:r>
    </w:p>
    <w:p w14:paraId="3F736548" w14:textId="25668B3B" w:rsidR="00A60983" w:rsidRPr="00A60983" w:rsidRDefault="00A60983" w:rsidP="00A60983">
      <w:pPr>
        <w:spacing w:line="259" w:lineRule="auto"/>
        <w:ind w:left="720"/>
        <w:jc w:val="both"/>
        <w:rPr>
          <w:color w:val="333333"/>
          <w:highlight w:val="white"/>
        </w:rPr>
      </w:pPr>
      <w:r w:rsidRPr="00A60983">
        <w:rPr>
          <w:color w:val="333333"/>
          <w:highlight w:val="white"/>
        </w:rPr>
        <w:t xml:space="preserve">This KPI </w:t>
      </w:r>
      <w:r>
        <w:rPr>
          <w:color w:val="333333"/>
          <w:highlight w:val="white"/>
        </w:rPr>
        <w:t>is of</w:t>
      </w:r>
      <w:r w:rsidRPr="00A60983">
        <w:rPr>
          <w:color w:val="333333"/>
          <w:highlight w:val="white"/>
        </w:rPr>
        <w:t xml:space="preserve"> </w:t>
      </w:r>
      <w:r w:rsidRPr="00A60983">
        <w:rPr>
          <w:color w:val="333333"/>
          <w:highlight w:val="white"/>
        </w:rPr>
        <w:t>little</w:t>
      </w:r>
      <w:r w:rsidRPr="00A60983">
        <w:rPr>
          <w:color w:val="333333"/>
          <w:highlight w:val="white"/>
        </w:rPr>
        <w:t xml:space="preserve"> value </w:t>
      </w:r>
      <w:r>
        <w:rPr>
          <w:color w:val="333333"/>
          <w:highlight w:val="white"/>
        </w:rPr>
        <w:t>absent</w:t>
      </w:r>
      <w:r w:rsidRPr="00A60983">
        <w:rPr>
          <w:color w:val="333333"/>
          <w:highlight w:val="white"/>
        </w:rPr>
        <w:t xml:space="preserve"> the actual data on accidents and injuries provided by Indicator #2. </w:t>
      </w:r>
      <w:r w:rsidRPr="00A60983">
        <w:rPr>
          <w:color w:val="333333"/>
          <w:highlight w:val="white"/>
        </w:rPr>
        <w:t xml:space="preserve">Moreover, the majority of companies have some kind of </w:t>
      </w:r>
      <w:r w:rsidRPr="00A60983">
        <w:rPr>
          <w:color w:val="333333"/>
          <w:highlight w:val="white"/>
        </w:rPr>
        <w:t>OHS policy</w:t>
      </w:r>
      <w:r w:rsidRPr="00A60983">
        <w:rPr>
          <w:color w:val="333333"/>
          <w:highlight w:val="white"/>
        </w:rPr>
        <w:t xml:space="preserve">, since it is frequently a </w:t>
      </w:r>
      <w:r w:rsidRPr="00A60983">
        <w:rPr>
          <w:color w:val="333333"/>
          <w:highlight w:val="white"/>
        </w:rPr>
        <w:t>legal requirement</w:t>
      </w:r>
      <w:r w:rsidRPr="00A60983">
        <w:rPr>
          <w:color w:val="333333"/>
          <w:highlight w:val="white"/>
        </w:rPr>
        <w:t xml:space="preserve">, </w:t>
      </w:r>
      <w:r>
        <w:rPr>
          <w:color w:val="333333"/>
          <w:highlight w:val="white"/>
        </w:rPr>
        <w:t>and</w:t>
      </w:r>
      <w:r w:rsidRPr="00A60983">
        <w:rPr>
          <w:color w:val="333333"/>
          <w:highlight w:val="white"/>
        </w:rPr>
        <w:t xml:space="preserve"> this indicator provides no clarity regarding the quality of that policy or the efficacy of its implementation</w:t>
      </w:r>
      <w:r w:rsidRPr="00A60983">
        <w:rPr>
          <w:color w:val="333333"/>
          <w:highlight w:val="white"/>
        </w:rPr>
        <w:t>.</w:t>
      </w:r>
    </w:p>
    <w:p w14:paraId="61BAF9A1" w14:textId="64924B0F" w:rsidR="00A60983" w:rsidRDefault="00A60983" w:rsidP="009F0E7D">
      <w:pPr>
        <w:numPr>
          <w:ilvl w:val="0"/>
          <w:numId w:val="7"/>
        </w:numPr>
        <w:spacing w:after="0" w:line="259" w:lineRule="auto"/>
        <w:jc w:val="both"/>
        <w:rPr>
          <w:b/>
        </w:rPr>
      </w:pPr>
      <w:r w:rsidRPr="00A60983">
        <w:rPr>
          <w:b/>
        </w:rPr>
        <w:t>Indicator #4</w:t>
      </w:r>
      <w:r w:rsidR="00160CAE">
        <w:rPr>
          <w:b/>
        </w:rPr>
        <w:t>:</w:t>
      </w:r>
      <w:r w:rsidRPr="00A60983">
        <w:rPr>
          <w:b/>
        </w:rPr>
        <w:t xml:space="preserve"> Lack of supplier code of conduct</w:t>
      </w:r>
    </w:p>
    <w:p w14:paraId="2D93FDB9" w14:textId="18D49666" w:rsidR="00160CAE" w:rsidRDefault="00A60983" w:rsidP="00A60983">
      <w:pPr>
        <w:spacing w:after="0" w:line="259" w:lineRule="auto"/>
        <w:ind w:left="720"/>
        <w:jc w:val="both"/>
      </w:pPr>
      <w:r>
        <w:t>Supplier c</w:t>
      </w:r>
      <w:r w:rsidRPr="00A60983">
        <w:t>odes of conduct</w:t>
      </w:r>
      <w:r>
        <w:t xml:space="preserve"> vary widely in their quality and content. They can be aligned with international </w:t>
      </w:r>
      <w:proofErr w:type="spellStart"/>
      <w:r>
        <w:t>labor</w:t>
      </w:r>
      <w:proofErr w:type="spellEnd"/>
      <w:r>
        <w:t xml:space="preserve"> rights standards, or </w:t>
      </w:r>
      <w:r w:rsidR="00160CAE">
        <w:t>fall to lower standards. Some companies use their relationships with suppliers to ensure they have the capabilities to implement their codes</w:t>
      </w:r>
      <w:r w:rsidR="008A29C9">
        <w:t>;</w:t>
      </w:r>
      <w:r w:rsidR="00160CAE">
        <w:t xml:space="preserve"> some assume they do so without checking</w:t>
      </w:r>
      <w:r w:rsidR="008A29C9">
        <w:t>; and</w:t>
      </w:r>
      <w:r w:rsidR="00160CAE">
        <w:t xml:space="preserve"> some blame them if they fail to do so without </w:t>
      </w:r>
      <w:r w:rsidR="008A29C9">
        <w:t>considerin</w:t>
      </w:r>
      <w:r w:rsidR="00160CAE">
        <w:t xml:space="preserve">g whether their own purchasing practices make it hard for </w:t>
      </w:r>
      <w:r w:rsidR="008A29C9">
        <w:t>suppliers</w:t>
      </w:r>
      <w:r w:rsidR="00160CAE">
        <w:t xml:space="preserve"> to comply with the codes. The fact of having a supplier code of conduct is therefore not a meaningful indicator</w:t>
      </w:r>
      <w:r w:rsidR="00626809">
        <w:t>.  It</w:t>
      </w:r>
      <w:r w:rsidR="00160CAE">
        <w:t xml:space="preserve"> risks misleading investors as to what they can reasonably assume about companies’ performance when they have this information</w:t>
      </w:r>
      <w:r w:rsidR="00626809">
        <w:t>, and in turn will mislead those assessing investor portfolios</w:t>
      </w:r>
      <w:r w:rsidR="00160CAE">
        <w:t>.</w:t>
      </w:r>
      <w:r w:rsidRPr="00A60983">
        <w:t xml:space="preserve"> </w:t>
      </w:r>
    </w:p>
    <w:p w14:paraId="746BBF2E" w14:textId="77777777" w:rsidR="00160CAE" w:rsidRPr="00A60983" w:rsidRDefault="00160CAE" w:rsidP="00A60983">
      <w:pPr>
        <w:spacing w:after="0" w:line="259" w:lineRule="auto"/>
        <w:ind w:left="720"/>
        <w:jc w:val="both"/>
      </w:pPr>
    </w:p>
    <w:p w14:paraId="026C9161" w14:textId="5B566852" w:rsidR="00160CAE" w:rsidRPr="00160CAE" w:rsidRDefault="00160CAE" w:rsidP="009F0E7D">
      <w:pPr>
        <w:numPr>
          <w:ilvl w:val="0"/>
          <w:numId w:val="7"/>
        </w:numPr>
        <w:spacing w:after="0" w:line="259" w:lineRule="auto"/>
        <w:jc w:val="both"/>
        <w:rPr>
          <w:b/>
        </w:rPr>
      </w:pPr>
      <w:r w:rsidRPr="00160CAE">
        <w:rPr>
          <w:b/>
        </w:rPr>
        <w:t>Indicator #7</w:t>
      </w:r>
      <w:r w:rsidRPr="00160CAE">
        <w:rPr>
          <w:b/>
        </w:rPr>
        <w:t>:</w:t>
      </w:r>
      <w:r w:rsidRPr="00160CAE">
        <w:rPr>
          <w:b/>
        </w:rPr>
        <w:t xml:space="preserve"> Incidents of discrimination</w:t>
      </w:r>
    </w:p>
    <w:p w14:paraId="1A11DE7A" w14:textId="3E2E1C51" w:rsidR="00160CAE" w:rsidRPr="00160CAE" w:rsidRDefault="00160CAE" w:rsidP="00160CAE">
      <w:pPr>
        <w:spacing w:line="259" w:lineRule="auto"/>
        <w:ind w:left="720"/>
        <w:jc w:val="both"/>
      </w:pPr>
      <w:r>
        <w:rPr>
          <w:i/>
        </w:rPr>
        <w:tab/>
      </w:r>
      <w:r w:rsidRPr="00160CAE">
        <w:t xml:space="preserve">This indicator fails to enable </w:t>
      </w:r>
      <w:r w:rsidR="00A465F4">
        <w:t>a distinction</w:t>
      </w:r>
      <w:r w:rsidRPr="00160CAE">
        <w:t xml:space="preserve"> between </w:t>
      </w:r>
      <w:r w:rsidR="00A465F4">
        <w:t xml:space="preserve">portfolio </w:t>
      </w:r>
      <w:r w:rsidRPr="00160CAE">
        <w:t xml:space="preserve">companies where employees do not report incidents because they are afraid to do so or don’t know how to, and </w:t>
      </w:r>
      <w:r w:rsidR="00A465F4">
        <w:t xml:space="preserve">portfolio </w:t>
      </w:r>
      <w:r w:rsidRPr="00160CAE">
        <w:t xml:space="preserve">companies where there are no reported incidents because </w:t>
      </w:r>
      <w:r w:rsidR="00A465F4">
        <w:t>those companies have</w:t>
      </w:r>
      <w:r w:rsidRPr="00160CAE">
        <w:t xml:space="preserve"> taken </w:t>
      </w:r>
      <w:r w:rsidR="00A465F4">
        <w:t xml:space="preserve">care </w:t>
      </w:r>
      <w:r w:rsidRPr="00160CAE">
        <w:t xml:space="preserve">to </w:t>
      </w:r>
      <w:r w:rsidR="00A465F4">
        <w:t>prevent</w:t>
      </w:r>
      <w:r w:rsidRPr="00160CAE">
        <w:t xml:space="preserve"> discrimination. </w:t>
      </w:r>
      <w:r w:rsidR="00A465F4">
        <w:t>Moreover, a</w:t>
      </w:r>
      <w:r w:rsidR="00626809">
        <w:t>t a company w</w:t>
      </w:r>
      <w:r>
        <w:t>here a mechanism</w:t>
      </w:r>
      <w:r w:rsidR="00A465F4">
        <w:t xml:space="preserve"> to report discrimination</w:t>
      </w:r>
      <w:r>
        <w:t xml:space="preserve"> is trusted, there may be more reported incidents than at a company </w:t>
      </w:r>
      <w:r w:rsidR="00626809">
        <w:t>where there are more</w:t>
      </w:r>
      <w:r>
        <w:t xml:space="preserve"> actual cases of discrimination but </w:t>
      </w:r>
      <w:r w:rsidR="00626809">
        <w:t>there is no</w:t>
      </w:r>
      <w:r>
        <w:t xml:space="preserve"> trust in the ability to report them and have them addressed. </w:t>
      </w:r>
      <w:r w:rsidR="00A465F4">
        <w:t>W</w:t>
      </w:r>
      <w:r w:rsidRPr="00160CAE">
        <w:t xml:space="preserve">here incidents do arise, the more important information is how the company remedies the situation and </w:t>
      </w:r>
      <w:proofErr w:type="gramStart"/>
      <w:r w:rsidRPr="00160CAE">
        <w:t>takes action</w:t>
      </w:r>
      <w:proofErr w:type="gramEnd"/>
      <w:r w:rsidRPr="00160CAE">
        <w:t xml:space="preserve"> to avoid recurrence. This indicator fails to meet that need. </w:t>
      </w:r>
    </w:p>
    <w:p w14:paraId="6CEF9ED6" w14:textId="52D81C62" w:rsidR="00160CAE" w:rsidRPr="00160CAE" w:rsidRDefault="00160CAE" w:rsidP="009F0E7D">
      <w:pPr>
        <w:numPr>
          <w:ilvl w:val="0"/>
          <w:numId w:val="7"/>
        </w:numPr>
        <w:spacing w:after="0" w:line="259" w:lineRule="auto"/>
        <w:jc w:val="both"/>
        <w:rPr>
          <w:b/>
        </w:rPr>
      </w:pPr>
      <w:r w:rsidRPr="00160CAE">
        <w:rPr>
          <w:b/>
        </w:rPr>
        <w:lastRenderedPageBreak/>
        <w:t>Indicator #8</w:t>
      </w:r>
      <w:r>
        <w:rPr>
          <w:b/>
        </w:rPr>
        <w:t>:</w:t>
      </w:r>
      <w:r w:rsidRPr="00160CAE">
        <w:rPr>
          <w:b/>
        </w:rPr>
        <w:t xml:space="preserve"> </w:t>
      </w:r>
      <w:r w:rsidRPr="00160CAE">
        <w:rPr>
          <w:b/>
          <w:color w:val="333333"/>
          <w:highlight w:val="white"/>
        </w:rPr>
        <w:t>Excessive CEO pay ratio</w:t>
      </w:r>
    </w:p>
    <w:p w14:paraId="3FAD667D" w14:textId="0C37500C" w:rsidR="00160CAE" w:rsidRPr="00160CAE" w:rsidRDefault="00160CAE" w:rsidP="00160CAE">
      <w:pPr>
        <w:spacing w:line="259" w:lineRule="auto"/>
        <w:ind w:left="720"/>
        <w:jc w:val="both"/>
      </w:pPr>
      <w:r>
        <w:rPr>
          <w:i/>
        </w:rPr>
        <w:tab/>
      </w:r>
      <w:r>
        <w:t>There is evidence that this type of indicator, and the transparency it has created round CEO salaries</w:t>
      </w:r>
      <w:r w:rsidR="00626809">
        <w:t>,</w:t>
      </w:r>
      <w:r>
        <w:t xml:space="preserve"> has in practice created a competitive race upwards </w:t>
      </w:r>
      <w:r w:rsidR="00626809">
        <w:t xml:space="preserve">in remuneration </w:t>
      </w:r>
      <w:r>
        <w:t>on the part of both CEOs and remuneration committees, thereby increasing inequality rather than curbing it, as was the intent when be introduced. We propose its deletion and again underline the value of having a</w:t>
      </w:r>
      <w:r w:rsidR="0048518E">
        <w:t xml:space="preserve"> mandatory</w:t>
      </w:r>
      <w:r>
        <w:t xml:space="preserve"> indicator on the provision of an adequate wage</w:t>
      </w:r>
      <w:r w:rsidR="0048518E">
        <w:t xml:space="preserve"> to employees, </w:t>
      </w:r>
      <w:r>
        <w:t>as the better way to gain insight into how value is distributed in portfolio companies</w:t>
      </w:r>
      <w:r w:rsidR="00626809">
        <w:t xml:space="preserve">, </w:t>
      </w:r>
      <w:r>
        <w:t>and whether companies</w:t>
      </w:r>
      <w:r w:rsidR="00626809">
        <w:t xml:space="preserve"> – and portfolios –</w:t>
      </w:r>
      <w:r>
        <w:t xml:space="preserve"> are actively contributing to the systemic risk of growing inequality.</w:t>
      </w:r>
    </w:p>
    <w:p w14:paraId="76C28003" w14:textId="47B9E622" w:rsidR="0048518E" w:rsidRDefault="0048518E" w:rsidP="009F0E7D">
      <w:pPr>
        <w:numPr>
          <w:ilvl w:val="0"/>
          <w:numId w:val="7"/>
        </w:numPr>
        <w:spacing w:after="0" w:line="259" w:lineRule="auto"/>
        <w:jc w:val="both"/>
        <w:rPr>
          <w:b/>
        </w:rPr>
      </w:pPr>
      <w:r w:rsidRPr="0048518E">
        <w:rPr>
          <w:b/>
        </w:rPr>
        <w:t>Indicator #9</w:t>
      </w:r>
      <w:r>
        <w:rPr>
          <w:b/>
        </w:rPr>
        <w:t>:</w:t>
      </w:r>
      <w:r w:rsidRPr="0048518E">
        <w:rPr>
          <w:b/>
        </w:rPr>
        <w:t xml:space="preserve"> Lack of human rights policy</w:t>
      </w:r>
    </w:p>
    <w:p w14:paraId="0BC0D5A6" w14:textId="4647A5D7" w:rsidR="0048518E" w:rsidRDefault="0048518E" w:rsidP="0048518E">
      <w:pPr>
        <w:spacing w:after="0" w:line="259" w:lineRule="auto"/>
        <w:ind w:left="720"/>
        <w:jc w:val="both"/>
      </w:pPr>
      <w:r w:rsidRPr="0048518E">
        <w:t>This indicator</w:t>
      </w:r>
      <w:r>
        <w:t xml:space="preserve"> gives no insight into whether the policy is good or bad, implemented or not implemented. It is not a basis on</w:t>
      </w:r>
      <w:r w:rsidR="00626809">
        <w:t xml:space="preserve"> which</w:t>
      </w:r>
      <w:r>
        <w:t xml:space="preserve"> </w:t>
      </w:r>
      <w:r w:rsidR="00626809">
        <w:t>to</w:t>
      </w:r>
      <w:r>
        <w:t xml:space="preserve"> assess whether risks to human rights are being effectively identified and addressed by portfolio companies. The intent behind its inclusion can be better met through the proposed reformulation of Indicator #11 in Table 1, as set out above, which addresses the implementation of a policy through company systems.</w:t>
      </w:r>
    </w:p>
    <w:p w14:paraId="42EB8859" w14:textId="77777777" w:rsidR="0048518E" w:rsidRPr="0048518E" w:rsidRDefault="0048518E" w:rsidP="0048518E">
      <w:pPr>
        <w:spacing w:after="0" w:line="259" w:lineRule="auto"/>
        <w:ind w:left="720"/>
        <w:jc w:val="both"/>
      </w:pPr>
    </w:p>
    <w:p w14:paraId="7FD10928" w14:textId="3A4C6157" w:rsidR="0048518E" w:rsidRPr="0048518E" w:rsidRDefault="0048518E" w:rsidP="009F0E7D">
      <w:pPr>
        <w:numPr>
          <w:ilvl w:val="0"/>
          <w:numId w:val="7"/>
        </w:numPr>
        <w:spacing w:after="0" w:line="259" w:lineRule="auto"/>
        <w:jc w:val="both"/>
        <w:rPr>
          <w:b/>
        </w:rPr>
      </w:pPr>
      <w:r w:rsidRPr="0048518E">
        <w:rPr>
          <w:b/>
        </w:rPr>
        <w:t>Indicator #10</w:t>
      </w:r>
      <w:r>
        <w:rPr>
          <w:b/>
        </w:rPr>
        <w:t>:</w:t>
      </w:r>
      <w:r w:rsidRPr="0048518E">
        <w:rPr>
          <w:b/>
        </w:rPr>
        <w:t xml:space="preserve"> Lack of due diligence</w:t>
      </w:r>
    </w:p>
    <w:p w14:paraId="11594B28" w14:textId="74812CC7" w:rsidR="0048518E" w:rsidRPr="0048518E" w:rsidRDefault="0048518E" w:rsidP="0048518E">
      <w:pPr>
        <w:spacing w:line="259" w:lineRule="auto"/>
        <w:jc w:val="both"/>
      </w:pPr>
      <w:r>
        <w:rPr>
          <w:i/>
        </w:rPr>
        <w:tab/>
        <w:t xml:space="preserve"> </w:t>
      </w:r>
      <w:r>
        <w:t xml:space="preserve">This indicator is better </w:t>
      </w:r>
      <w:proofErr w:type="gramStart"/>
      <w:r>
        <w:t>addressed  through</w:t>
      </w:r>
      <w:proofErr w:type="gramEnd"/>
      <w:r>
        <w:t xml:space="preserve"> the </w:t>
      </w:r>
      <w:r>
        <w:t xml:space="preserve">proposed reformulation of Indicator #11 in </w:t>
      </w:r>
      <w:r>
        <w:tab/>
      </w:r>
      <w:r>
        <w:t>Table 1, as set out above</w:t>
      </w:r>
      <w:r>
        <w:t xml:space="preserve">, which would address due diligence and avoid duplication between </w:t>
      </w:r>
      <w:r>
        <w:tab/>
        <w:t>these indicators.</w:t>
      </w:r>
    </w:p>
    <w:p w14:paraId="0F123AB6" w14:textId="7BD95CE3" w:rsidR="0048518E" w:rsidRPr="0048518E" w:rsidRDefault="0048518E" w:rsidP="009F0E7D">
      <w:pPr>
        <w:numPr>
          <w:ilvl w:val="0"/>
          <w:numId w:val="7"/>
        </w:numPr>
        <w:spacing w:after="0" w:line="259" w:lineRule="auto"/>
        <w:jc w:val="both"/>
        <w:rPr>
          <w:b/>
        </w:rPr>
      </w:pPr>
      <w:r w:rsidRPr="0048518E">
        <w:rPr>
          <w:b/>
        </w:rPr>
        <w:t>Indicator #11</w:t>
      </w:r>
      <w:r>
        <w:rPr>
          <w:b/>
        </w:rPr>
        <w:t>:</w:t>
      </w:r>
      <w:r w:rsidRPr="0048518E">
        <w:rPr>
          <w:b/>
        </w:rPr>
        <w:t xml:space="preserve"> </w:t>
      </w:r>
      <w:r w:rsidRPr="0048518E">
        <w:rPr>
          <w:b/>
          <w:color w:val="333333"/>
          <w:highlight w:val="white"/>
        </w:rPr>
        <w:t>Lack of processes and measures for preventing trafficking in human beings</w:t>
      </w:r>
    </w:p>
    <w:p w14:paraId="233D9AFD" w14:textId="37608EB4" w:rsidR="005908C3" w:rsidRDefault="0048518E" w:rsidP="0048518E">
      <w:pPr>
        <w:pStyle w:val="ListParagraph"/>
        <w:spacing w:line="259" w:lineRule="auto"/>
        <w:jc w:val="both"/>
        <w:rPr>
          <w:color w:val="333333"/>
        </w:rPr>
      </w:pPr>
      <w:r>
        <w:rPr>
          <w:color w:val="333333"/>
        </w:rPr>
        <w:t>The</w:t>
      </w:r>
      <w:r w:rsidRPr="0048518E">
        <w:rPr>
          <w:color w:val="333333"/>
        </w:rPr>
        <w:t xml:space="preserve"> metric</w:t>
      </w:r>
      <w:r>
        <w:rPr>
          <w:color w:val="333333"/>
        </w:rPr>
        <w:t xml:space="preserve"> for this KPI does not reflect the language of the indicator. The </w:t>
      </w:r>
      <w:r w:rsidR="00626809">
        <w:rPr>
          <w:color w:val="333333"/>
        </w:rPr>
        <w:t>indicator</w:t>
      </w:r>
      <w:r>
        <w:rPr>
          <w:color w:val="333333"/>
        </w:rPr>
        <w:t xml:space="preserve"> refers to processes and measure</w:t>
      </w:r>
      <w:r w:rsidR="00626809">
        <w:rPr>
          <w:color w:val="333333"/>
        </w:rPr>
        <w:t>s</w:t>
      </w:r>
      <w:r>
        <w:rPr>
          <w:color w:val="333333"/>
        </w:rPr>
        <w:t>, whereas the metric</w:t>
      </w:r>
      <w:r w:rsidRPr="0048518E">
        <w:rPr>
          <w:color w:val="333333"/>
        </w:rPr>
        <w:t xml:space="preserve"> is limited to the existence of a policy</w:t>
      </w:r>
      <w:r>
        <w:rPr>
          <w:color w:val="333333"/>
        </w:rPr>
        <w:t>. As such</w:t>
      </w:r>
      <w:r w:rsidRPr="0048518E">
        <w:rPr>
          <w:color w:val="333333"/>
        </w:rPr>
        <w:t xml:space="preserve">, it </w:t>
      </w:r>
      <w:r>
        <w:rPr>
          <w:color w:val="333333"/>
        </w:rPr>
        <w:t>has the same limitations and problems as</w:t>
      </w:r>
      <w:r w:rsidRPr="0048518E">
        <w:rPr>
          <w:color w:val="333333"/>
        </w:rPr>
        <w:t xml:space="preserve"> Indicator #9 on human rights policy.</w:t>
      </w:r>
      <w:r>
        <w:rPr>
          <w:color w:val="333333"/>
        </w:rPr>
        <w:t xml:space="preserve"> </w:t>
      </w:r>
    </w:p>
    <w:p w14:paraId="13EFB7C6" w14:textId="3D6BF1F5" w:rsidR="0048518E" w:rsidRDefault="0048518E" w:rsidP="0048518E">
      <w:pPr>
        <w:pStyle w:val="ListParagraph"/>
        <w:spacing w:line="259" w:lineRule="auto"/>
        <w:jc w:val="both"/>
        <w:rPr>
          <w:i/>
        </w:rPr>
      </w:pPr>
    </w:p>
    <w:p w14:paraId="18C4CB79" w14:textId="77BFA86C" w:rsidR="0048518E" w:rsidRPr="0048518E" w:rsidRDefault="0048518E" w:rsidP="009F0E7D">
      <w:pPr>
        <w:numPr>
          <w:ilvl w:val="0"/>
          <w:numId w:val="7"/>
        </w:numPr>
        <w:spacing w:after="0" w:line="259" w:lineRule="auto"/>
        <w:jc w:val="both"/>
        <w:rPr>
          <w:b/>
        </w:rPr>
      </w:pPr>
      <w:r w:rsidRPr="0048518E">
        <w:rPr>
          <w:b/>
        </w:rPr>
        <w:t>Indicator #12</w:t>
      </w:r>
      <w:r>
        <w:rPr>
          <w:b/>
        </w:rPr>
        <w:t>:</w:t>
      </w:r>
      <w:r w:rsidRPr="0048518E">
        <w:rPr>
          <w:b/>
        </w:rPr>
        <w:t xml:space="preserve"> </w:t>
      </w:r>
      <w:r w:rsidRPr="0048518E">
        <w:rPr>
          <w:b/>
          <w:color w:val="333333"/>
          <w:highlight w:val="white"/>
        </w:rPr>
        <w:t>Operations and suppliers at significant risk of incidents of child labour</w:t>
      </w:r>
    </w:p>
    <w:p w14:paraId="4810D82F" w14:textId="66FA41E7" w:rsidR="0048518E" w:rsidRPr="00055628" w:rsidRDefault="0048518E" w:rsidP="0048518E">
      <w:pPr>
        <w:spacing w:line="259" w:lineRule="auto"/>
        <w:ind w:left="720"/>
        <w:jc w:val="both"/>
      </w:pPr>
      <w:r>
        <w:rPr>
          <w:i/>
        </w:rPr>
        <w:tab/>
      </w:r>
      <w:r>
        <w:t xml:space="preserve">Child </w:t>
      </w:r>
      <w:proofErr w:type="spellStart"/>
      <w:r>
        <w:t>labor</w:t>
      </w:r>
      <w:proofErr w:type="spellEnd"/>
      <w:r>
        <w:t xml:space="preserve"> is typically an endemic problem in certain industries and geographies, and less so in others. </w:t>
      </w:r>
      <w:r w:rsidR="00055628">
        <w:t xml:space="preserve">The generalized level of risk in </w:t>
      </w:r>
      <w:r w:rsidR="00626809">
        <w:t>(</w:t>
      </w:r>
      <w:r w:rsidR="00055628">
        <w:t>often shared</w:t>
      </w:r>
      <w:r w:rsidR="00626809">
        <w:t>)</w:t>
      </w:r>
      <w:r w:rsidR="00055628">
        <w:t xml:space="preserve"> supply chains offers little insight, even if it is accurately measured (which is often not the case). </w:t>
      </w:r>
      <w:r w:rsidR="00626809">
        <w:t xml:space="preserve">The relevant information is whether companies in investor portfolios are part of the solution to this phenomenon or whether they are exacerbating it through their practices. </w:t>
      </w:r>
      <w:r w:rsidR="00626809">
        <w:t>By contrast, t</w:t>
      </w:r>
      <w:r w:rsidR="00055628">
        <w:t>his indicator</w:t>
      </w:r>
      <w:r>
        <w:t xml:space="preserve"> risks incentivizing companies not to identify risks of child </w:t>
      </w:r>
      <w:proofErr w:type="spellStart"/>
      <w:r>
        <w:t>labor</w:t>
      </w:r>
      <w:proofErr w:type="spellEnd"/>
      <w:r w:rsidR="00055628">
        <w:t xml:space="preserve"> in order to reduce the ‘risk’ level they report</w:t>
      </w:r>
      <w:r>
        <w:t xml:space="preserve">, whereas </w:t>
      </w:r>
      <w:r w:rsidR="00055628">
        <w:t>good practice is to seek out instances so they – and their root causes – can be addressed.</w:t>
      </w:r>
      <w:r>
        <w:t xml:space="preserve"> </w:t>
      </w:r>
    </w:p>
    <w:p w14:paraId="494257D1" w14:textId="217AFD61" w:rsidR="0048518E" w:rsidRPr="00055628" w:rsidRDefault="0048518E" w:rsidP="009F0E7D">
      <w:pPr>
        <w:numPr>
          <w:ilvl w:val="0"/>
          <w:numId w:val="8"/>
        </w:numPr>
        <w:spacing w:after="0" w:line="259" w:lineRule="auto"/>
        <w:jc w:val="both"/>
        <w:rPr>
          <w:b/>
          <w:color w:val="333333"/>
          <w:highlight w:val="white"/>
        </w:rPr>
      </w:pPr>
      <w:r w:rsidRPr="00055628">
        <w:rPr>
          <w:b/>
        </w:rPr>
        <w:t xml:space="preserve">Indicator #13 </w:t>
      </w:r>
      <w:r w:rsidRPr="00055628">
        <w:rPr>
          <w:b/>
          <w:color w:val="333333"/>
          <w:highlight w:val="white"/>
        </w:rPr>
        <w:t>Operations and suppliers at significant risk of incidents of forced labour</w:t>
      </w:r>
    </w:p>
    <w:p w14:paraId="4ADB3098" w14:textId="58A6A5CA" w:rsidR="0048518E" w:rsidRPr="00626809" w:rsidRDefault="00055628" w:rsidP="00626809">
      <w:pPr>
        <w:spacing w:line="259" w:lineRule="auto"/>
        <w:ind w:left="360"/>
        <w:jc w:val="both"/>
      </w:pPr>
      <w:r>
        <w:rPr>
          <w:i/>
        </w:rPr>
        <w:tab/>
      </w:r>
      <w:r w:rsidRPr="00055628">
        <w:t xml:space="preserve">This indicator has the same problems as indicator #12, with the heightened difficulty that </w:t>
      </w:r>
      <w:r w:rsidRPr="00055628">
        <w:tab/>
        <w:t xml:space="preserve">forced </w:t>
      </w:r>
      <w:proofErr w:type="spellStart"/>
      <w:r w:rsidRPr="00055628">
        <w:t>labor</w:t>
      </w:r>
      <w:proofErr w:type="spellEnd"/>
      <w:r w:rsidRPr="00055628">
        <w:t xml:space="preserve"> is a </w:t>
      </w:r>
      <w:r w:rsidR="00626809">
        <w:t xml:space="preserve">typically </w:t>
      </w:r>
      <w:r w:rsidRPr="00055628">
        <w:t xml:space="preserve">hidden issue given that workers in situations of forced </w:t>
      </w:r>
      <w:proofErr w:type="spellStart"/>
      <w:r w:rsidRPr="00055628">
        <w:t>labor</w:t>
      </w:r>
      <w:proofErr w:type="spellEnd"/>
      <w:r w:rsidRPr="00055628">
        <w:t xml:space="preserve"> are </w:t>
      </w:r>
      <w:r w:rsidR="00626809">
        <w:tab/>
      </w:r>
      <w:r w:rsidRPr="00055628">
        <w:t xml:space="preserve">typically afraid to come forward and hard to identify through classic social audits. This makes </w:t>
      </w:r>
      <w:r w:rsidR="00626809">
        <w:tab/>
      </w:r>
      <w:r w:rsidRPr="00055628">
        <w:t>the very premise of estimating levels of risk even more dubious as a basis for an indicator.</w:t>
      </w:r>
    </w:p>
    <w:p w14:paraId="55E413D4" w14:textId="277B4849" w:rsidR="0048518E" w:rsidRPr="00F01184" w:rsidRDefault="0048518E" w:rsidP="009F0E7D">
      <w:pPr>
        <w:numPr>
          <w:ilvl w:val="0"/>
          <w:numId w:val="7"/>
        </w:numPr>
        <w:spacing w:after="0" w:line="259" w:lineRule="auto"/>
        <w:jc w:val="both"/>
        <w:rPr>
          <w:b/>
        </w:rPr>
      </w:pPr>
      <w:r w:rsidRPr="00F01184">
        <w:rPr>
          <w:b/>
          <w:color w:val="333333"/>
          <w:highlight w:val="white"/>
        </w:rPr>
        <w:t xml:space="preserve"> </w:t>
      </w:r>
      <w:r w:rsidRPr="00F01184">
        <w:rPr>
          <w:b/>
        </w:rPr>
        <w:t>Indicator #1</w:t>
      </w:r>
      <w:r w:rsidR="00F01184" w:rsidRPr="00F01184">
        <w:rPr>
          <w:b/>
        </w:rPr>
        <w:t>4:</w:t>
      </w:r>
      <w:r w:rsidRPr="00F01184">
        <w:rPr>
          <w:b/>
        </w:rPr>
        <w:t xml:space="preserve"> </w:t>
      </w:r>
      <w:r w:rsidRPr="00F01184">
        <w:rPr>
          <w:b/>
          <w:color w:val="333333"/>
          <w:highlight w:val="white"/>
        </w:rPr>
        <w:t>Number of identified cases of severe human rights issues and incidents</w:t>
      </w:r>
    </w:p>
    <w:p w14:paraId="714997B0" w14:textId="266A6013" w:rsidR="0048518E" w:rsidRPr="00F01184" w:rsidRDefault="00F01184" w:rsidP="00F01184">
      <w:pPr>
        <w:spacing w:line="259" w:lineRule="auto"/>
        <w:ind w:left="720"/>
        <w:jc w:val="both"/>
        <w:rPr>
          <w:color w:val="333333"/>
          <w:highlight w:val="white"/>
        </w:rPr>
      </w:pPr>
      <w:r w:rsidRPr="00F01184">
        <w:rPr>
          <w:color w:val="333333"/>
          <w:highlight w:val="white"/>
        </w:rPr>
        <w:tab/>
        <w:t xml:space="preserve">As in the case of indicator #7 in Table 3, this indicator provides no definition of what would be considered a ‘severe human rights issue or incident’. It would conflate situations where </w:t>
      </w:r>
      <w:r w:rsidR="00A465F4">
        <w:rPr>
          <w:color w:val="333333"/>
          <w:highlight w:val="white"/>
        </w:rPr>
        <w:t xml:space="preserve">portfolio </w:t>
      </w:r>
      <w:r w:rsidRPr="00F01184">
        <w:rPr>
          <w:color w:val="333333"/>
          <w:highlight w:val="white"/>
        </w:rPr>
        <w:t xml:space="preserve">companies identify issues and take effective action to address them, provide </w:t>
      </w:r>
      <w:r w:rsidRPr="00F01184">
        <w:rPr>
          <w:color w:val="333333"/>
          <w:highlight w:val="white"/>
        </w:rPr>
        <w:lastRenderedPageBreak/>
        <w:t xml:space="preserve">any necessary remedy and learn lessons, with situations where </w:t>
      </w:r>
      <w:r w:rsidR="00A465F4">
        <w:rPr>
          <w:color w:val="333333"/>
          <w:highlight w:val="white"/>
        </w:rPr>
        <w:t xml:space="preserve">portfolio companies ignore </w:t>
      </w:r>
      <w:r w:rsidRPr="00F01184">
        <w:rPr>
          <w:color w:val="333333"/>
          <w:highlight w:val="white"/>
        </w:rPr>
        <w:t xml:space="preserve">incidents and </w:t>
      </w:r>
      <w:r w:rsidR="003C31F2">
        <w:rPr>
          <w:color w:val="333333"/>
          <w:highlight w:val="white"/>
        </w:rPr>
        <w:t xml:space="preserve">make </w:t>
      </w:r>
      <w:r w:rsidRPr="00F01184">
        <w:rPr>
          <w:color w:val="333333"/>
          <w:highlight w:val="white"/>
        </w:rPr>
        <w:t xml:space="preserve">no changes </w:t>
      </w:r>
      <w:r w:rsidR="003C31F2">
        <w:rPr>
          <w:color w:val="333333"/>
          <w:highlight w:val="white"/>
        </w:rPr>
        <w:t>to their practices</w:t>
      </w:r>
      <w:r w:rsidRPr="00F01184">
        <w:rPr>
          <w:color w:val="333333"/>
          <w:highlight w:val="white"/>
        </w:rPr>
        <w:t>. Investors</w:t>
      </w:r>
      <w:bookmarkStart w:id="5" w:name="_GoBack"/>
      <w:bookmarkEnd w:id="5"/>
      <w:r w:rsidRPr="00F01184">
        <w:rPr>
          <w:color w:val="333333"/>
          <w:highlight w:val="white"/>
        </w:rPr>
        <w:t xml:space="preserve"> precisely need to be able to distinguish these so they can recognize and</w:t>
      </w:r>
      <w:r w:rsidRPr="00F01184">
        <w:t xml:space="preserve"> reward </w:t>
      </w:r>
      <w:r w:rsidRPr="00F01184">
        <w:t xml:space="preserve">companies taking effective action </w:t>
      </w:r>
      <w:proofErr w:type="gramStart"/>
      <w:r w:rsidRPr="00F01184">
        <w:t xml:space="preserve">and  </w:t>
      </w:r>
      <w:r w:rsidRPr="00F01184">
        <w:t>address</w:t>
      </w:r>
      <w:proofErr w:type="gramEnd"/>
      <w:r w:rsidRPr="00F01184">
        <w:t xml:space="preserve"> </w:t>
      </w:r>
      <w:r w:rsidRPr="00F01184">
        <w:t>those that fail to do so</w:t>
      </w:r>
      <w:r w:rsidRPr="00F01184">
        <w:t xml:space="preserve"> through </w:t>
      </w:r>
      <w:r w:rsidRPr="00F01184">
        <w:t xml:space="preserve">their </w:t>
      </w:r>
      <w:r w:rsidRPr="00F01184">
        <w:t xml:space="preserve">engagement </w:t>
      </w:r>
      <w:r w:rsidRPr="00F01184">
        <w:t xml:space="preserve">strategies </w:t>
      </w:r>
      <w:r w:rsidRPr="00F01184">
        <w:t xml:space="preserve">or investment decisions. </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F0E7D">
      <w:pPr>
        <w:pStyle w:val="Questionstyle"/>
        <w:numPr>
          <w:ilvl w:val="0"/>
          <w:numId w:val="2"/>
        </w:numPr>
      </w:pPr>
      <w:bookmarkStart w:id="6" w:name="_Hlk131609834"/>
      <w:r>
        <w:t>: For real estate assets, do you consider relevant to apply any PAI indicator related to social matters to the entity in charge of the management of the real estate assets the FMP invested in?</w:t>
      </w:r>
    </w:p>
    <w:bookmarkEnd w:id="6"/>
    <w:p w14:paraId="686F603D" w14:textId="77777777" w:rsidR="009C41BB" w:rsidRDefault="009C41BB" w:rsidP="009C41BB">
      <w:r>
        <w:t>&lt;ESMA_QUESTION_SFDR_6&gt;</w:t>
      </w:r>
    </w:p>
    <w:p w14:paraId="5D6F556D" w14:textId="5D2CBE19" w:rsidR="00F01184" w:rsidRDefault="00E53BC1" w:rsidP="009C41BB">
      <w:permStart w:id="887372501" w:edGrp="everyone"/>
      <w:r>
        <w:t xml:space="preserve"> We would suggest including a social KPI that focuses on the most typically material considerations for this industry. This might be articulated as follows:</w:t>
      </w:r>
    </w:p>
    <w:p w14:paraId="21CAD4E4" w14:textId="5BE3FB4A" w:rsidR="00E53BC1" w:rsidRPr="00626809" w:rsidRDefault="00E53BC1" w:rsidP="009F0E7D">
      <w:pPr>
        <w:pStyle w:val="ListParagraph"/>
        <w:numPr>
          <w:ilvl w:val="0"/>
          <w:numId w:val="5"/>
        </w:numPr>
        <w:rPr>
          <w:b/>
        </w:rPr>
      </w:pPr>
      <w:r w:rsidRPr="00626809">
        <w:rPr>
          <w:b/>
        </w:rPr>
        <w:t>Indicator: Sustainability due diligence process for impacts on vulnerable workers in the value chain</w:t>
      </w:r>
    </w:p>
    <w:p w14:paraId="13CBEF29" w14:textId="1F50BBCD" w:rsidR="009C41BB" w:rsidRDefault="00E53BC1" w:rsidP="009F0E7D">
      <w:pPr>
        <w:pStyle w:val="ListParagraph"/>
        <w:numPr>
          <w:ilvl w:val="0"/>
          <w:numId w:val="5"/>
        </w:numPr>
      </w:pPr>
      <w:r>
        <w:t>Metric:</w:t>
      </w:r>
      <w:r w:rsidRPr="00E53BC1">
        <w:rPr>
          <w:i/>
          <w:highlight w:val="yellow"/>
        </w:rPr>
        <w:t xml:space="preserve"> </w:t>
      </w:r>
      <w:r w:rsidRPr="00E53BC1">
        <w:rPr>
          <w:highlight w:val="yellow"/>
        </w:rPr>
        <w:t xml:space="preserve">Due diligence process implemented to address impacts on workers involved </w:t>
      </w:r>
      <w:r>
        <w:rPr>
          <w:highlight w:val="yellow"/>
        </w:rPr>
        <w:t xml:space="preserve">(a) </w:t>
      </w:r>
      <w:r w:rsidRPr="00E53BC1">
        <w:rPr>
          <w:highlight w:val="yellow"/>
        </w:rPr>
        <w:t xml:space="preserve">in construction and </w:t>
      </w:r>
      <w:r>
        <w:rPr>
          <w:highlight w:val="yellow"/>
        </w:rPr>
        <w:t xml:space="preserve">(b) </w:t>
      </w:r>
      <w:r w:rsidRPr="00E53BC1">
        <w:rPr>
          <w:highlight w:val="yellow"/>
        </w:rPr>
        <w:t xml:space="preserve">facility management services, </w:t>
      </w:r>
      <w:r>
        <w:rPr>
          <w:highlight w:val="yellow"/>
        </w:rPr>
        <w:t>including with</w:t>
      </w:r>
      <w:r w:rsidRPr="00E53BC1">
        <w:rPr>
          <w:highlight w:val="yellow"/>
        </w:rPr>
        <w:t xml:space="preserve"> regard to </w:t>
      </w:r>
      <w:r w:rsidR="00626809">
        <w:rPr>
          <w:highlight w:val="yellow"/>
        </w:rPr>
        <w:t>(</w:t>
      </w:r>
      <w:proofErr w:type="spellStart"/>
      <w:r w:rsidR="00626809">
        <w:rPr>
          <w:highlight w:val="yellow"/>
        </w:rPr>
        <w:t>i</w:t>
      </w:r>
      <w:proofErr w:type="spellEnd"/>
      <w:r w:rsidR="00626809">
        <w:rPr>
          <w:highlight w:val="yellow"/>
        </w:rPr>
        <w:t xml:space="preserve">) </w:t>
      </w:r>
      <w:r w:rsidRPr="00E53BC1">
        <w:rPr>
          <w:highlight w:val="yellow"/>
        </w:rPr>
        <w:t xml:space="preserve">operational health and safety </w:t>
      </w:r>
      <w:r w:rsidR="00626809">
        <w:rPr>
          <w:highlight w:val="yellow"/>
        </w:rPr>
        <w:t xml:space="preserve">(ii) </w:t>
      </w:r>
      <w:r w:rsidRPr="00E53BC1">
        <w:rPr>
          <w:highlight w:val="yellow"/>
        </w:rPr>
        <w:t xml:space="preserve">the payment of adequate wages, and </w:t>
      </w:r>
      <w:r w:rsidR="00626809">
        <w:rPr>
          <w:highlight w:val="yellow"/>
        </w:rPr>
        <w:t xml:space="preserve">(iii) </w:t>
      </w:r>
      <w:r w:rsidRPr="00E53BC1">
        <w:rPr>
          <w:highlight w:val="yellow"/>
        </w:rPr>
        <w:t xml:space="preserve">equal </w:t>
      </w:r>
      <w:proofErr w:type="spellStart"/>
      <w:r w:rsidRPr="00E53BC1">
        <w:rPr>
          <w:highlight w:val="yellow"/>
        </w:rPr>
        <w:t>labor</w:t>
      </w:r>
      <w:proofErr w:type="spellEnd"/>
      <w:r w:rsidRPr="00E53BC1">
        <w:rPr>
          <w:highlight w:val="yellow"/>
        </w:rPr>
        <w:t xml:space="preserve"> rights protections for non-employee workers, temporary workers and workers with non-guaranteed hours.</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F0E7D">
      <w:pPr>
        <w:pStyle w:val="Questionstyle"/>
        <w:numPr>
          <w:ilvl w:val="0"/>
          <w:numId w:val="2"/>
        </w:numPr>
      </w:pPr>
      <w:bookmarkStart w:id="7"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7"/>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F0E7D">
      <w:pPr>
        <w:pStyle w:val="Questionstyle"/>
        <w:numPr>
          <w:ilvl w:val="0"/>
          <w:numId w:val="2"/>
        </w:numPr>
      </w:pPr>
      <w:bookmarkStart w:id="8" w:name="_Hlk131609837"/>
      <w:r>
        <w:t>: Do you see any challenges in the interaction between the definition ‘enterprise value’ and ‘current value of investment’ for the calculation of the PAI indicators?</w:t>
      </w:r>
    </w:p>
    <w:bookmarkEnd w:id="8"/>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lastRenderedPageBreak/>
        <w:t>&lt;ESMA_QUESTION_SFDR_8&gt;</w:t>
      </w:r>
    </w:p>
    <w:p w14:paraId="0AC5B76C" w14:textId="77777777" w:rsidR="009C41BB" w:rsidRDefault="009C41BB" w:rsidP="009C41BB"/>
    <w:p w14:paraId="5E1A73BD" w14:textId="77777777" w:rsidR="009C41BB" w:rsidRDefault="009C41BB" w:rsidP="009F0E7D">
      <w:pPr>
        <w:pStyle w:val="Questionstyle"/>
        <w:numPr>
          <w:ilvl w:val="0"/>
          <w:numId w:val="2"/>
        </w:numPr>
      </w:pPr>
      <w:bookmarkStart w:id="9" w:name="_Hlk131609838"/>
      <w:r>
        <w:t xml:space="preserve">: Do you have any comments or proposed adjustments to the new formulae suggested in Annex I?  </w:t>
      </w:r>
    </w:p>
    <w:bookmarkEnd w:id="9"/>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F0E7D">
      <w:pPr>
        <w:pStyle w:val="Questionstyle"/>
        <w:numPr>
          <w:ilvl w:val="0"/>
          <w:numId w:val="2"/>
        </w:numPr>
      </w:pPr>
      <w:bookmarkStart w:id="10"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10"/>
    <w:p w14:paraId="59ECBC6E" w14:textId="77777777" w:rsidR="009C41BB" w:rsidRDefault="009C41BB" w:rsidP="009C41BB">
      <w:r>
        <w:t>&lt;ESMA_QUESTION_SFDR_10&gt;</w:t>
      </w:r>
    </w:p>
    <w:p w14:paraId="6A059EBA" w14:textId="6BEC831B" w:rsidR="009C41BB" w:rsidRDefault="00E53BC1" w:rsidP="009C41BB">
      <w:permStart w:id="1591695117" w:edGrp="everyone"/>
      <w:r>
        <w:t>Technical changes would be required in a number of cases to align with proposed amendments to indicators outlined in our response</w:t>
      </w:r>
      <w:r w:rsidR="00626809">
        <w:t>s</w:t>
      </w:r>
      <w:r>
        <w:t xml:space="preserve"> to questions 1, 2 and 5 above.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F0E7D">
      <w:pPr>
        <w:pStyle w:val="Questionstyle"/>
        <w:numPr>
          <w:ilvl w:val="0"/>
          <w:numId w:val="2"/>
        </w:numPr>
      </w:pPr>
      <w:bookmarkStart w:id="11" w:name="_Hlk131609841"/>
      <w:r>
        <w:t>: Do you agree with the proposal to require the disclosure of the share of information for the PAI indicators for which the financial market participant relies on information directly from investee companies?</w:t>
      </w:r>
    </w:p>
    <w:bookmarkEnd w:id="11"/>
    <w:p w14:paraId="3B6463EF" w14:textId="77777777" w:rsidR="009C41BB" w:rsidRDefault="009C41BB" w:rsidP="009C41BB">
      <w:r>
        <w:t>&lt;ESMA_QUESTION_SFDR_11&gt;</w:t>
      </w:r>
    </w:p>
    <w:p w14:paraId="155A94A1" w14:textId="0A460BBF" w:rsidR="009C41BB" w:rsidRDefault="004237AA" w:rsidP="004237AA">
      <w:permStart w:id="1653823566" w:edGrp="everyone"/>
      <w:r w:rsidRPr="004237AA">
        <w:t xml:space="preserve">We </w:t>
      </w:r>
      <w:r>
        <w:t xml:space="preserve">support </w:t>
      </w:r>
      <w:r w:rsidRPr="004237AA">
        <w:t>this proposal</w:t>
      </w:r>
      <w:r>
        <w:t xml:space="preserve"> as an important contextual data point that enables clarity reg</w:t>
      </w:r>
      <w:r w:rsidR="00626809">
        <w:t>a</w:t>
      </w:r>
      <w:r>
        <w:t>rding the source</w:t>
      </w:r>
      <w:r w:rsidR="00626809">
        <w:t>s</w:t>
      </w:r>
      <w:r>
        <w:t xml:space="preserve"> of information used in response to the indicators.</w:t>
      </w:r>
      <w:r w:rsidRPr="004237AA">
        <w:t xml:space="preserve"> </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F0E7D">
      <w:pPr>
        <w:pStyle w:val="Questionstyle"/>
        <w:numPr>
          <w:ilvl w:val="0"/>
          <w:numId w:val="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lastRenderedPageBreak/>
        <w:t>&lt;ESMA_QUESTION_SFDR_12&gt;</w:t>
      </w:r>
    </w:p>
    <w:p w14:paraId="2339BDE1" w14:textId="77777777" w:rsidR="009C41BB" w:rsidRDefault="009C41BB" w:rsidP="009C41BB"/>
    <w:p w14:paraId="79363208" w14:textId="77777777" w:rsidR="009C41BB" w:rsidRDefault="009C41BB" w:rsidP="009F0E7D">
      <w:pPr>
        <w:pStyle w:val="Questionstyle"/>
        <w:numPr>
          <w:ilvl w:val="0"/>
          <w:numId w:val="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60B9D5FC" w:rsidR="009C41BB" w:rsidRPr="00746169" w:rsidRDefault="009A61A4" w:rsidP="00746169">
      <w:pPr>
        <w:jc w:val="both"/>
        <w:rPr>
          <w:highlight w:val="yellow"/>
        </w:rPr>
      </w:pPr>
      <w:permStart w:id="1426525783" w:edGrp="everyone"/>
      <w:r w:rsidRPr="00746169">
        <w:rPr>
          <w:highlight w:val="yellow"/>
        </w:rPr>
        <w:t xml:space="preserve">We would strongly advise against adopting a one-size-fits-all rule for the inclusion of the value chain in PAI calculations. This would more appropriately be addressed in each relevant PAI since the </w:t>
      </w:r>
      <w:r w:rsidR="00B53F78" w:rsidRPr="00746169">
        <w:rPr>
          <w:highlight w:val="yellow"/>
        </w:rPr>
        <w:t xml:space="preserve">nature of the value chain information required may differ </w:t>
      </w:r>
      <w:r w:rsidRPr="00746169">
        <w:rPr>
          <w:highlight w:val="yellow"/>
        </w:rPr>
        <w:t>between KPIs</w:t>
      </w:r>
      <w:r w:rsidR="00B53F78" w:rsidRPr="00746169">
        <w:rPr>
          <w:highlight w:val="yellow"/>
        </w:rPr>
        <w:t xml:space="preserve">. </w:t>
      </w:r>
      <w:r w:rsidRPr="00746169">
        <w:rPr>
          <w:highlight w:val="yellow"/>
        </w:rPr>
        <w:t>With regard to s</w:t>
      </w:r>
      <w:r w:rsidRPr="00746169">
        <w:rPr>
          <w:highlight w:val="yellow"/>
        </w:rPr>
        <w:t xml:space="preserve">ocial indicators related to sustainability due diligence and the implementation of the </w:t>
      </w:r>
      <w:r w:rsidRPr="00746169">
        <w:rPr>
          <w:highlight w:val="yellow"/>
        </w:rPr>
        <w:t xml:space="preserve">UN Guiding Principles on Business and Human Rights and the </w:t>
      </w:r>
      <w:r w:rsidRPr="00746169">
        <w:rPr>
          <w:highlight w:val="yellow"/>
        </w:rPr>
        <w:t xml:space="preserve">OECD </w:t>
      </w:r>
      <w:r w:rsidRPr="00746169">
        <w:rPr>
          <w:highlight w:val="yellow"/>
        </w:rPr>
        <w:t>Guidelines, while these</w:t>
      </w:r>
      <w:r w:rsidRPr="00746169">
        <w:rPr>
          <w:highlight w:val="yellow"/>
        </w:rPr>
        <w:t xml:space="preserve"> require information related to the investee company’s value chain, this information is not quantitative, </w:t>
      </w:r>
      <w:r w:rsidR="00626809">
        <w:rPr>
          <w:highlight w:val="yellow"/>
        </w:rPr>
        <w:t>but</w:t>
      </w:r>
      <w:r w:rsidRPr="00746169">
        <w:rPr>
          <w:highlight w:val="yellow"/>
        </w:rPr>
        <w:t xml:space="preserve"> concerns qualitative information </w:t>
      </w:r>
      <w:r w:rsidR="00626809">
        <w:rPr>
          <w:highlight w:val="yellow"/>
        </w:rPr>
        <w:t xml:space="preserve">about </w:t>
      </w:r>
      <w:r w:rsidRPr="00746169">
        <w:rPr>
          <w:highlight w:val="yellow"/>
        </w:rPr>
        <w:t xml:space="preserve">how the investee company’s due diligence addresses </w:t>
      </w:r>
      <w:proofErr w:type="gramStart"/>
      <w:r w:rsidR="00746169">
        <w:rPr>
          <w:highlight w:val="yellow"/>
        </w:rPr>
        <w:t>impacts</w:t>
      </w:r>
      <w:proofErr w:type="gramEnd"/>
      <w:r w:rsidR="00746169">
        <w:rPr>
          <w:highlight w:val="yellow"/>
        </w:rPr>
        <w:t xml:space="preserve"> in the </w:t>
      </w:r>
      <w:r w:rsidRPr="00746169">
        <w:rPr>
          <w:highlight w:val="yellow"/>
        </w:rPr>
        <w:t>value chain</w:t>
      </w:r>
      <w:r w:rsidR="00746169">
        <w:rPr>
          <w:highlight w:val="yellow"/>
        </w:rPr>
        <w:t>. There is no reason such information could not be reported by any investee company.</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F0E7D">
      <w:pPr>
        <w:pStyle w:val="Questionstyle"/>
        <w:numPr>
          <w:ilvl w:val="0"/>
          <w:numId w:val="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F0E7D">
      <w:pPr>
        <w:pStyle w:val="Questionstyle"/>
        <w:numPr>
          <w:ilvl w:val="0"/>
          <w:numId w:val="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F0E7D">
      <w:pPr>
        <w:pStyle w:val="Questionstyle"/>
        <w:numPr>
          <w:ilvl w:val="0"/>
          <w:numId w:val="2"/>
        </w:numPr>
        <w:rPr>
          <w:rFonts w:cstheme="minorHAnsi"/>
          <w:color w:val="000000"/>
        </w:rPr>
      </w:pPr>
      <w:r>
        <w:lastRenderedPageBreak/>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F0E7D">
      <w:pPr>
        <w:pStyle w:val="Questionstyle"/>
        <w:numPr>
          <w:ilvl w:val="0"/>
          <w:numId w:val="2"/>
        </w:numPr>
      </w:pPr>
      <w:r>
        <w:t>: Do you agree with the ESAs’ assessment of the DNSH framework under SFDR?</w:t>
      </w:r>
    </w:p>
    <w:p w14:paraId="4F8008B2" w14:textId="77777777" w:rsidR="009C41BB" w:rsidRDefault="009C41BB" w:rsidP="009C41BB">
      <w:r>
        <w:t>&lt;ESMA_QUESTION_SFDR_17&gt;</w:t>
      </w:r>
    </w:p>
    <w:p w14:paraId="7DDA6D60" w14:textId="77777777" w:rsidR="009C41BB" w:rsidRDefault="009C41BB" w:rsidP="009C41BB">
      <w:permStart w:id="791154279" w:edGrp="everyone"/>
      <w:r>
        <w:t>TYPE YOUR TEXT HERE</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F0E7D">
      <w:pPr>
        <w:pStyle w:val="Questionstyle"/>
        <w:numPr>
          <w:ilvl w:val="0"/>
          <w:numId w:val="2"/>
        </w:numPr>
      </w:pPr>
      <w:r>
        <w:t xml:space="preserve">: With regard to the DNSH disclosures in the SFDR Delegated Regulation, do you consider it relevant to make disclosures about the quantitative thresholds FMPs use to </w:t>
      </w:r>
      <w:proofErr w:type="gramStart"/>
      <w:r>
        <w:t>take into account</w:t>
      </w:r>
      <w:proofErr w:type="gramEnd"/>
      <w:r>
        <w:t xml:space="preserve"> the PAI indicators for DNSH purposes mandatory? Please explain your reasoning.</w:t>
      </w:r>
    </w:p>
    <w:p w14:paraId="75983884" w14:textId="77777777" w:rsidR="009C41BB" w:rsidRDefault="009C41BB" w:rsidP="009C41BB">
      <w:r>
        <w:t>&lt;ESMA_QUESTION_SFDR_18&gt;</w:t>
      </w:r>
    </w:p>
    <w:p w14:paraId="6BBD22C7" w14:textId="77777777" w:rsidR="009C41BB" w:rsidRDefault="009C41BB" w:rsidP="009C41BB">
      <w:permStart w:id="984368250" w:edGrp="everyone"/>
      <w:r>
        <w:t>TYPE YOUR TEXT HERE</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F0E7D">
      <w:pPr>
        <w:pStyle w:val="Questionstyle"/>
        <w:numPr>
          <w:ilvl w:val="0"/>
          <w:numId w:val="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77777777" w:rsidR="009C41BB" w:rsidRDefault="009C41BB" w:rsidP="009C41BB">
      <w:permStart w:id="403253184" w:edGrp="everyone"/>
      <w:r>
        <w:t>TYPE YOUR TEXT HERE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F0E7D">
      <w:pPr>
        <w:pStyle w:val="Questionstyle"/>
        <w:numPr>
          <w:ilvl w:val="0"/>
          <w:numId w:val="2"/>
        </w:numPr>
      </w:pPr>
      <w:r>
        <w:lastRenderedPageBreak/>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7777777" w:rsidR="009C41BB" w:rsidRDefault="009C41BB" w:rsidP="009C41BB">
      <w:permStart w:id="10765956" w:edGrp="everyone"/>
      <w:r>
        <w:t>TYPE YOUR TEXT HERE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F0E7D">
      <w:pPr>
        <w:pStyle w:val="Questionstyle"/>
        <w:numPr>
          <w:ilvl w:val="0"/>
          <w:numId w:val="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F0E7D">
      <w:pPr>
        <w:pStyle w:val="Questionstyle"/>
        <w:numPr>
          <w:ilvl w:val="0"/>
          <w:numId w:val="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77777777" w:rsidR="009C41BB" w:rsidRDefault="009C41BB" w:rsidP="009C41BB">
      <w:permStart w:id="2084635173" w:edGrp="everyone"/>
      <w:r>
        <w:t>TYPE YOUR TEXT HERE</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F0E7D">
      <w:pPr>
        <w:pStyle w:val="Questionstyle"/>
        <w:numPr>
          <w:ilvl w:val="0"/>
          <w:numId w:val="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F0E7D">
      <w:pPr>
        <w:pStyle w:val="Questionstyle"/>
        <w:numPr>
          <w:ilvl w:val="0"/>
          <w:numId w:val="2"/>
        </w:numPr>
      </w:pPr>
      <w:r>
        <w:lastRenderedPageBreak/>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F0E7D">
      <w:pPr>
        <w:pStyle w:val="Questionstyle"/>
        <w:numPr>
          <w:ilvl w:val="0"/>
          <w:numId w:val="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F0E7D">
      <w:pPr>
        <w:pStyle w:val="Questionstyle"/>
        <w:numPr>
          <w:ilvl w:val="0"/>
          <w:numId w:val="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F0E7D">
      <w:pPr>
        <w:pStyle w:val="Questionstyle"/>
        <w:numPr>
          <w:ilvl w:val="0"/>
          <w:numId w:val="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w:t>
      </w:r>
      <w:r>
        <w:lastRenderedPageBreak/>
        <w:t xml:space="preserve">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7777777" w:rsidR="009C41BB" w:rsidRDefault="009C41BB" w:rsidP="009C41BB">
      <w:permStart w:id="324808106" w:edGrp="everyone"/>
      <w:r>
        <w:t>TYPE YOUR TEXT HERE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F0E7D">
      <w:pPr>
        <w:pStyle w:val="Questionstyle"/>
        <w:numPr>
          <w:ilvl w:val="0"/>
          <w:numId w:val="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F0E7D">
      <w:pPr>
        <w:pStyle w:val="Questionstyle"/>
        <w:numPr>
          <w:ilvl w:val="0"/>
          <w:numId w:val="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F0E7D">
      <w:pPr>
        <w:pStyle w:val="Questionstyle"/>
        <w:numPr>
          <w:ilvl w:val="0"/>
          <w:numId w:val="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F0E7D">
      <w:pPr>
        <w:pStyle w:val="Questionstyle"/>
        <w:numPr>
          <w:ilvl w:val="0"/>
          <w:numId w:val="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F0E7D">
      <w:pPr>
        <w:pStyle w:val="Questionstyle"/>
        <w:numPr>
          <w:ilvl w:val="0"/>
          <w:numId w:val="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F0E7D">
      <w:pPr>
        <w:pStyle w:val="Questionstyle"/>
        <w:numPr>
          <w:ilvl w:val="0"/>
          <w:numId w:val="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F0E7D">
      <w:pPr>
        <w:pStyle w:val="Questionstyle"/>
        <w:numPr>
          <w:ilvl w:val="0"/>
          <w:numId w:val="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F0E7D">
      <w:pPr>
        <w:pStyle w:val="Questionstyle"/>
        <w:numPr>
          <w:ilvl w:val="0"/>
          <w:numId w:val="2"/>
        </w:numPr>
      </w:pPr>
      <w:r>
        <w:lastRenderedPageBreak/>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F0E7D">
      <w:pPr>
        <w:pStyle w:val="Questionstyle"/>
        <w:numPr>
          <w:ilvl w:val="0"/>
          <w:numId w:val="2"/>
        </w:numPr>
      </w:pPr>
      <w:r>
        <w:t>: Do you have any feedback with regard to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F0E7D">
      <w:pPr>
        <w:pStyle w:val="Questionstyle"/>
        <w:numPr>
          <w:ilvl w:val="0"/>
          <w:numId w:val="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F0E7D">
      <w:pPr>
        <w:pStyle w:val="Questionstyle"/>
        <w:numPr>
          <w:ilvl w:val="0"/>
          <w:numId w:val="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7777777" w:rsidR="009C41BB" w:rsidRDefault="009C41BB" w:rsidP="009C41BB">
      <w:permStart w:id="1880105875" w:edGrp="everyone"/>
      <w:r>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F0E7D">
      <w:pPr>
        <w:pStyle w:val="Questionstyle"/>
        <w:numPr>
          <w:ilvl w:val="0"/>
          <w:numId w:val="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lastRenderedPageBreak/>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F0E7D">
      <w:pPr>
        <w:pStyle w:val="Questionstyle"/>
        <w:numPr>
          <w:ilvl w:val="0"/>
          <w:numId w:val="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F0E7D">
      <w:pPr>
        <w:pStyle w:val="Questionstyle"/>
        <w:numPr>
          <w:ilvl w:val="0"/>
          <w:numId w:val="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F0E7D">
      <w:pPr>
        <w:pStyle w:val="Questionstyle"/>
        <w:numPr>
          <w:ilvl w:val="0"/>
          <w:numId w:val="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F0E7D">
      <w:pPr>
        <w:pStyle w:val="Questionstyle"/>
        <w:numPr>
          <w:ilvl w:val="0"/>
          <w:numId w:val="2"/>
        </w:numPr>
      </w:pPr>
      <w:r>
        <w:lastRenderedPageBreak/>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24FAF" w14:textId="77777777" w:rsidR="009F0E7D" w:rsidRDefault="009F0E7D" w:rsidP="00707738">
      <w:pPr>
        <w:spacing w:after="0" w:line="240" w:lineRule="auto"/>
      </w:pPr>
      <w:r>
        <w:separator/>
      </w:r>
    </w:p>
  </w:endnote>
  <w:endnote w:type="continuationSeparator" w:id="0">
    <w:p w14:paraId="4649F31B" w14:textId="77777777" w:rsidR="009F0E7D" w:rsidRDefault="009F0E7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E5D2" w14:textId="77777777" w:rsidR="005908C3" w:rsidRDefault="00590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670219"/>
      <w:docPartObj>
        <w:docPartGallery w:val="Page Numbers (Bottom of Page)"/>
        <w:docPartUnique/>
      </w:docPartObj>
    </w:sdtPr>
    <w:sdtEndPr>
      <w:rPr>
        <w:noProof/>
      </w:rPr>
    </w:sdtEndPr>
    <w:sdtContent>
      <w:p w14:paraId="57337071" w14:textId="77777777" w:rsidR="005908C3" w:rsidRDefault="005908C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B6D8C38" w14:textId="77777777" w:rsidR="005908C3" w:rsidRDefault="00590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0CA09" w14:textId="77777777" w:rsidR="005908C3" w:rsidRDefault="00590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7FACC" w14:textId="77777777" w:rsidR="009F0E7D" w:rsidRDefault="009F0E7D" w:rsidP="00707738">
      <w:pPr>
        <w:spacing w:after="0" w:line="240" w:lineRule="auto"/>
      </w:pPr>
      <w:r>
        <w:separator/>
      </w:r>
    </w:p>
  </w:footnote>
  <w:footnote w:type="continuationSeparator" w:id="0">
    <w:p w14:paraId="2601B28C" w14:textId="77777777" w:rsidR="009F0E7D" w:rsidRDefault="009F0E7D" w:rsidP="00707738">
      <w:pPr>
        <w:spacing w:after="0" w:line="240" w:lineRule="auto"/>
      </w:pPr>
      <w:r>
        <w:continuationSeparator/>
      </w:r>
    </w:p>
  </w:footnote>
  <w:footnote w:id="1">
    <w:p w14:paraId="5BF82E71" w14:textId="77777777" w:rsidR="005908C3" w:rsidRDefault="005908C3"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50E9" w14:textId="77777777" w:rsidR="005908C3" w:rsidRDefault="00590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27F85" w14:textId="1A763933" w:rsidR="005908C3" w:rsidRDefault="005908C3">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83AE" w14:textId="77777777" w:rsidR="005908C3" w:rsidRDefault="00590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502E"/>
    <w:multiLevelType w:val="hybridMultilevel"/>
    <w:tmpl w:val="7CC86F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13A2A"/>
    <w:multiLevelType w:val="hybridMultilevel"/>
    <w:tmpl w:val="A1FA9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4CB5C3C"/>
    <w:multiLevelType w:val="multilevel"/>
    <w:tmpl w:val="416C3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C51A3D"/>
    <w:multiLevelType w:val="hybridMultilevel"/>
    <w:tmpl w:val="E6C471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808D1"/>
    <w:multiLevelType w:val="multilevel"/>
    <w:tmpl w:val="D046B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E13816"/>
    <w:multiLevelType w:val="multilevel"/>
    <w:tmpl w:val="A356B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0"/>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hideSpellingErrors/>
  <w:hideGrammaticalErrors/>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1A"/>
    <w:rsid w:val="00005041"/>
    <w:rsid w:val="0000519F"/>
    <w:rsid w:val="00010643"/>
    <w:rsid w:val="00011399"/>
    <w:rsid w:val="00012092"/>
    <w:rsid w:val="00012894"/>
    <w:rsid w:val="00014682"/>
    <w:rsid w:val="00014D80"/>
    <w:rsid w:val="00014FC1"/>
    <w:rsid w:val="000168E9"/>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628"/>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2256"/>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0CAE"/>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1F2"/>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7AA"/>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282E"/>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518E"/>
    <w:rsid w:val="004857DA"/>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0B51"/>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08C3"/>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C7BEA"/>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26809"/>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616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29C9"/>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1A4"/>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0E7D"/>
    <w:rsid w:val="009F1DFD"/>
    <w:rsid w:val="009F3D64"/>
    <w:rsid w:val="009F4FA5"/>
    <w:rsid w:val="009F5660"/>
    <w:rsid w:val="00A017EB"/>
    <w:rsid w:val="00A02A9C"/>
    <w:rsid w:val="00A05373"/>
    <w:rsid w:val="00A0770D"/>
    <w:rsid w:val="00A11D13"/>
    <w:rsid w:val="00A12FA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5F4"/>
    <w:rsid w:val="00A466B1"/>
    <w:rsid w:val="00A509B8"/>
    <w:rsid w:val="00A520DD"/>
    <w:rsid w:val="00A54E20"/>
    <w:rsid w:val="00A60983"/>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0275"/>
    <w:rsid w:val="00B31E1B"/>
    <w:rsid w:val="00B329F8"/>
    <w:rsid w:val="00B32FA4"/>
    <w:rsid w:val="00B4705A"/>
    <w:rsid w:val="00B53150"/>
    <w:rsid w:val="00B53F78"/>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7E7"/>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3BC1"/>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1184"/>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49F4"/>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3.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5.xml><?xml version="1.0" encoding="utf-8"?>
<ds:datastoreItem xmlns:ds="http://schemas.openxmlformats.org/officeDocument/2006/customXml" ds:itemID="{BBB9E76C-E0F4-8E4D-AE17-A4F089AF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C:\Users\Gdipierri\Desktop\dot\JC ESAs letter 2023.dotx</Template>
  <TotalTime>112</TotalTime>
  <Pages>21</Pages>
  <Words>5539</Words>
  <Characters>30909</Characters>
  <Application>Microsoft Office Word</Application>
  <DocSecurity>0</DocSecurity>
  <Lines>490</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Caroline Rees</cp:lastModifiedBy>
  <cp:revision>4</cp:revision>
  <cp:lastPrinted>2022-02-14T13:26:00Z</cp:lastPrinted>
  <dcterms:created xsi:type="dcterms:W3CDTF">2023-07-03T16:17:00Z</dcterms:created>
  <dcterms:modified xsi:type="dcterms:W3CDTF">2023-07-03T19:46:00Z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