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14A1291B" w:rsidR="005418F4" w:rsidRPr="005418F4" w:rsidRDefault="00040F41" w:rsidP="005418F4">
                <w:pPr>
                  <w:spacing w:after="250"/>
                  <w:rPr>
                    <w:rFonts w:ascii="Arial" w:eastAsiaTheme="minorEastAsia" w:hAnsi="Arial" w:cs="Arial"/>
                    <w:color w:val="808080"/>
                    <w:szCs w:val="20"/>
                  </w:rPr>
                </w:pPr>
                <w:r>
                  <w:rPr>
                    <w:rFonts w:ascii="Arial" w:eastAsiaTheme="minorEastAsia" w:hAnsi="Arial" w:cs="Arial"/>
                    <w:color w:val="808080"/>
                    <w:szCs w:val="20"/>
                  </w:rPr>
                  <w:t xml:space="preserve">Triodos </w:t>
                </w:r>
                <w:r w:rsidR="0045261A">
                  <w:rPr>
                    <w:rFonts w:ascii="Arial" w:eastAsiaTheme="minorEastAsia" w:hAnsi="Arial" w:cs="Arial"/>
                    <w:color w:val="808080"/>
                    <w:szCs w:val="20"/>
                  </w:rPr>
                  <w:t>Investment Management</w:t>
                </w:r>
                <w:r w:rsidR="00246A15">
                  <w:rPr>
                    <w:rFonts w:ascii="Arial" w:eastAsiaTheme="minorEastAsia" w:hAnsi="Arial" w:cs="Arial"/>
                    <w:color w:val="808080"/>
                    <w:szCs w:val="20"/>
                  </w:rPr>
                  <w:t xml:space="preserve"> </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524B6EE8"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46A15">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2AA8A673" w:rsidR="005418F4" w:rsidRPr="005418F4" w:rsidRDefault="00040F41"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Netherlands</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25776C1F" w14:textId="77777777" w:rsidR="00246A15" w:rsidRDefault="00246A15" w:rsidP="00246A15">
      <w:r>
        <w:t>&lt;ESMA_QUESTION_SFDR_1&gt;</w:t>
      </w:r>
    </w:p>
    <w:p w14:paraId="7A4DB187" w14:textId="77777777" w:rsidR="00040F41" w:rsidRPr="009C0840" w:rsidRDefault="00040F41" w:rsidP="00040F41">
      <w:pPr>
        <w:pStyle w:val="paragraph"/>
        <w:textAlignment w:val="baseline"/>
        <w:rPr>
          <w:rStyle w:val="normaltextrun"/>
          <w:rFonts w:ascii="Arial" w:hAnsi="Arial" w:cs="Arial"/>
          <w:color w:val="000000" w:themeColor="text1"/>
          <w:lang w:val="en-US"/>
        </w:rPr>
      </w:pPr>
      <w:r w:rsidRPr="009C0840">
        <w:rPr>
          <w:rStyle w:val="normaltextrun"/>
          <w:rFonts w:ascii="Arial" w:hAnsi="Arial" w:cs="Arial"/>
          <w:color w:val="000000" w:themeColor="text1"/>
          <w:lang w:val="en-US"/>
        </w:rPr>
        <w:t xml:space="preserve">Overall, we support the intention to consider extending the list of social indicators for principal adverse impacts to ensure appropriate consideration of all E, S and G matters. </w:t>
      </w:r>
    </w:p>
    <w:p w14:paraId="0EF8CFEF" w14:textId="141CC248" w:rsidR="00040F41" w:rsidRPr="009C0840" w:rsidRDefault="00040F41" w:rsidP="00040F41">
      <w:pPr>
        <w:pStyle w:val="paragraph"/>
        <w:textAlignment w:val="baseline"/>
        <w:rPr>
          <w:rFonts w:ascii="Arial" w:hAnsi="Arial" w:cs="Arial"/>
          <w:color w:val="000000" w:themeColor="text1"/>
          <w:lang w:val="en-US"/>
        </w:rPr>
      </w:pPr>
      <w:r w:rsidRPr="009C0840">
        <w:rPr>
          <w:rStyle w:val="normaltextrun"/>
          <w:rFonts w:ascii="Arial" w:hAnsi="Arial" w:cs="Arial"/>
          <w:color w:val="000000" w:themeColor="text1"/>
          <w:lang w:val="en-US"/>
        </w:rPr>
        <w:t xml:space="preserve">However, we suggest further consideration of the choice and formulation of the indicators. Moreover, it is crucial to ensure that the corresponding corporate disclosures are mandated by the European Sustainability Reporting Standards (ESRS). Investors and other Financial Market Participants (FMPs) have been calling for improved availability of quality, comparable and reliable corporate sustainability-related disclosures for years. Now, concerns amount over the dangers of SFDR-related disclosures not being mandatory in the first set of ESRS. </w:t>
      </w:r>
    </w:p>
    <w:p w14:paraId="3C2A42E8" w14:textId="58BE1C53" w:rsidR="00040F41" w:rsidRPr="009C0840" w:rsidRDefault="00040F41" w:rsidP="00040F41">
      <w:pPr>
        <w:spacing w:after="0" w:line="240" w:lineRule="auto"/>
        <w:rPr>
          <w:rFonts w:ascii="Arial" w:eastAsia="Times New Roman" w:hAnsi="Arial" w:cs="Arial"/>
          <w:color w:val="000000" w:themeColor="text1"/>
          <w:sz w:val="24"/>
          <w:szCs w:val="24"/>
          <w:lang w:val="en-US" w:eastAsia="nl-NL"/>
        </w:rPr>
      </w:pPr>
      <w:r w:rsidRPr="00040F41">
        <w:rPr>
          <w:rFonts w:ascii="Arial" w:eastAsia="Times New Roman" w:hAnsi="Arial" w:cs="Arial"/>
          <w:color w:val="000000" w:themeColor="text1"/>
          <w:sz w:val="24"/>
          <w:szCs w:val="24"/>
          <w:lang w:val="en-US" w:eastAsia="nl-NL"/>
        </w:rPr>
        <w:t xml:space="preserve">In relation to the new mandatory PAI indicators, interference in trade union foundation is not an explicit requirement in S1. Interference in trade union foundation could also not be a material aspect of the policy required by S1, so companies may not address this aspect. This </w:t>
      </w:r>
      <w:proofErr w:type="gramStart"/>
      <w:r w:rsidRPr="00040F41">
        <w:rPr>
          <w:rFonts w:ascii="Arial" w:eastAsia="Times New Roman" w:hAnsi="Arial" w:cs="Arial"/>
          <w:color w:val="000000" w:themeColor="text1"/>
          <w:sz w:val="24"/>
          <w:szCs w:val="24"/>
          <w:lang w:val="en-US" w:eastAsia="nl-NL"/>
        </w:rPr>
        <w:t>could  create</w:t>
      </w:r>
      <w:proofErr w:type="gramEnd"/>
      <w:r w:rsidRPr="00040F41">
        <w:rPr>
          <w:rFonts w:ascii="Arial" w:eastAsia="Times New Roman" w:hAnsi="Arial" w:cs="Arial"/>
          <w:color w:val="000000" w:themeColor="text1"/>
          <w:sz w:val="24"/>
          <w:szCs w:val="24"/>
          <w:lang w:val="en-US" w:eastAsia="nl-NL"/>
        </w:rPr>
        <w:t xml:space="preserve"> extra data complication, as the failure to mention this topic in a policy related to workforce does not mean that there is adverse impact.</w:t>
      </w:r>
      <w:r w:rsidRPr="00040F41">
        <w:rPr>
          <w:rFonts w:ascii="Arial" w:eastAsia="Times New Roman" w:hAnsi="Arial" w:cs="Arial"/>
          <w:color w:val="000000" w:themeColor="text1"/>
          <w:sz w:val="24"/>
          <w:szCs w:val="24"/>
          <w:lang w:val="en-US" w:eastAsia="nl-NL"/>
        </w:rPr>
        <w:br/>
      </w:r>
      <w:r w:rsidRPr="00040F41">
        <w:rPr>
          <w:rFonts w:ascii="Arial" w:eastAsia="Times New Roman" w:hAnsi="Arial" w:cs="Arial"/>
          <w:color w:val="000000" w:themeColor="text1"/>
          <w:sz w:val="24"/>
          <w:szCs w:val="24"/>
          <w:lang w:val="en-US" w:eastAsia="nl-NL"/>
        </w:rPr>
        <w:br/>
        <w:t xml:space="preserve">S1-10 on less-than-adequate wage is also not a mandatory disclosure requirement for all undertakings, but only if material. Data will therefore by lacking for those undertakings who do not consider this topic to be material. The CSRD rules on </w:t>
      </w:r>
      <w:r w:rsidRPr="00040F41">
        <w:rPr>
          <w:rFonts w:ascii="Arial" w:eastAsia="Times New Roman" w:hAnsi="Arial" w:cs="Arial"/>
          <w:color w:val="000000" w:themeColor="text1"/>
          <w:sz w:val="24"/>
          <w:szCs w:val="24"/>
          <w:lang w:val="en-US" w:eastAsia="nl-NL"/>
        </w:rPr>
        <w:lastRenderedPageBreak/>
        <w:t>materiality and the determination of material topics leave considerable leeway to reporting undertakings, and there is a risk that data availability will be of a poor quality</w:t>
      </w:r>
      <w:r w:rsidRPr="009C0840">
        <w:rPr>
          <w:rFonts w:ascii="Arial" w:eastAsia="Times New Roman" w:hAnsi="Arial" w:cs="Arial"/>
          <w:color w:val="000000" w:themeColor="text1"/>
          <w:sz w:val="24"/>
          <w:szCs w:val="24"/>
          <w:lang w:val="en-US" w:eastAsia="nl-NL"/>
        </w:rPr>
        <w:t xml:space="preserve">. </w:t>
      </w:r>
      <w:r w:rsidRPr="009C0840">
        <w:rPr>
          <w:rFonts w:ascii="Arial" w:hAnsi="Arial" w:cs="Arial"/>
          <w:color w:val="000000" w:themeColor="text1"/>
          <w:sz w:val="24"/>
          <w:szCs w:val="24"/>
          <w:lang w:val="en-US"/>
        </w:rPr>
        <w:t>It</w:t>
      </w:r>
      <w:r w:rsidRPr="009C0840">
        <w:rPr>
          <w:rFonts w:ascii="Arial" w:hAnsi="Arial" w:cs="Arial"/>
          <w:color w:val="000000" w:themeColor="text1"/>
          <w:sz w:val="24"/>
          <w:szCs w:val="24"/>
        </w:rPr>
        <w:t xml:space="preserve"> is thus essential that the final version of the RTS 2.0 aligns </w:t>
      </w:r>
      <w:proofErr w:type="gramStart"/>
      <w:r w:rsidRPr="009C0840">
        <w:rPr>
          <w:rFonts w:ascii="Arial" w:hAnsi="Arial" w:cs="Arial"/>
          <w:color w:val="000000" w:themeColor="text1"/>
          <w:sz w:val="24"/>
          <w:szCs w:val="24"/>
        </w:rPr>
        <w:t>with  the</w:t>
      </w:r>
      <w:proofErr w:type="gramEnd"/>
      <w:r w:rsidRPr="009C0840">
        <w:rPr>
          <w:rFonts w:ascii="Arial" w:hAnsi="Arial" w:cs="Arial"/>
          <w:color w:val="000000" w:themeColor="text1"/>
          <w:sz w:val="24"/>
          <w:szCs w:val="24"/>
        </w:rPr>
        <w:t xml:space="preserve">  first set or sector-agnostic ESRS both in terms of content and timing, and that the ESRS will retain mandatory requirements of social indicators.</w:t>
      </w:r>
    </w:p>
    <w:p w14:paraId="2CFCC353" w14:textId="77777777" w:rsidR="00040F41" w:rsidRPr="009C0840" w:rsidRDefault="00040F41" w:rsidP="00040F41">
      <w:pPr>
        <w:spacing w:after="0" w:line="240" w:lineRule="auto"/>
        <w:rPr>
          <w:rFonts w:ascii="Arial" w:eastAsia="Times New Roman" w:hAnsi="Arial" w:cs="Arial"/>
          <w:color w:val="000000" w:themeColor="text1"/>
          <w:sz w:val="24"/>
          <w:szCs w:val="24"/>
          <w:lang w:val="en-US" w:eastAsia="nl-NL"/>
        </w:rPr>
      </w:pPr>
    </w:p>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6174085E" w14:textId="5FBE9E46" w:rsidR="00040F41" w:rsidRPr="009C0840" w:rsidRDefault="00040F41" w:rsidP="00040F41">
      <w:pPr>
        <w:rPr>
          <w:rFonts w:ascii="Arial" w:hAnsi="Arial" w:cs="Arial"/>
          <w:color w:val="000000" w:themeColor="text1"/>
          <w:sz w:val="24"/>
          <w:szCs w:val="24"/>
        </w:rPr>
      </w:pPr>
      <w:r w:rsidRPr="009C0840">
        <w:rPr>
          <w:rFonts w:ascii="Arial" w:hAnsi="Arial" w:cs="Arial"/>
          <w:color w:val="000000" w:themeColor="text1"/>
          <w:sz w:val="24"/>
          <w:szCs w:val="24"/>
        </w:rPr>
        <w:t xml:space="preserve">We would support the inclusion of these additional opt-in social indicators, especially regarding workforce, but we </w:t>
      </w:r>
      <w:r w:rsidRPr="009C0840">
        <w:rPr>
          <w:rFonts w:ascii="Arial" w:eastAsia="Times New Roman" w:hAnsi="Arial" w:cs="Arial"/>
          <w:color w:val="000000" w:themeColor="text1"/>
          <w:sz w:val="24"/>
          <w:szCs w:val="24"/>
          <w:lang w:val="en-US" w:eastAsia="nl-NL"/>
        </w:rPr>
        <w:t xml:space="preserve">note that the document </w:t>
      </w:r>
      <w:r w:rsidRPr="009C0840">
        <w:rPr>
          <w:rFonts w:ascii="Arial" w:eastAsia="Calibri" w:hAnsi="Arial" w:cs="Arial"/>
          <w:color w:val="000000" w:themeColor="text1"/>
          <w:sz w:val="24"/>
          <w:szCs w:val="24"/>
        </w:rPr>
        <w:t xml:space="preserve">assumes that the ESRS indicators will be mandatory and reportable items under the CSRD. </w:t>
      </w:r>
      <w:r w:rsidRPr="009C0840">
        <w:rPr>
          <w:rFonts w:ascii="Arial" w:hAnsi="Arial" w:cs="Arial"/>
          <w:color w:val="000000" w:themeColor="text1"/>
          <w:sz w:val="24"/>
          <w:szCs w:val="24"/>
        </w:rPr>
        <w:t xml:space="preserve">In the current absence of certainty on the content of the final, adopted ESRS Delegated Acts, it is difficult to assess investors’ ability to disclose against some of the proposed indicators. </w:t>
      </w:r>
    </w:p>
    <w:p w14:paraId="642559C0" w14:textId="0BACABDB" w:rsidR="00040F41" w:rsidRPr="009C0840" w:rsidRDefault="00040F41" w:rsidP="00040F41">
      <w:pPr>
        <w:spacing w:after="0" w:line="240" w:lineRule="auto"/>
        <w:rPr>
          <w:rFonts w:ascii="Arial" w:eastAsia="Times New Roman" w:hAnsi="Arial" w:cs="Arial"/>
          <w:color w:val="000000" w:themeColor="text1"/>
          <w:sz w:val="24"/>
          <w:szCs w:val="24"/>
          <w:lang w:val="en-US" w:eastAsia="nl-NL"/>
        </w:rPr>
      </w:pPr>
      <w:r w:rsidRPr="00040F41">
        <w:rPr>
          <w:rFonts w:ascii="Arial" w:eastAsia="Times New Roman" w:hAnsi="Arial" w:cs="Arial"/>
          <w:color w:val="000000" w:themeColor="text1"/>
          <w:sz w:val="24"/>
          <w:szCs w:val="24"/>
          <w:lang w:val="en-US" w:eastAsia="nl-NL"/>
        </w:rPr>
        <w:t xml:space="preserve">In relation to the list of voluntary PAIs, ‘insufficient employment of persons with disability’ refers to ESRS S1-12, which is also not </w:t>
      </w:r>
      <w:r w:rsidRPr="009C0840">
        <w:rPr>
          <w:rFonts w:ascii="Arial" w:eastAsia="Times New Roman" w:hAnsi="Arial" w:cs="Arial"/>
          <w:color w:val="000000" w:themeColor="text1"/>
          <w:sz w:val="24"/>
          <w:szCs w:val="24"/>
          <w:lang w:val="en-US" w:eastAsia="nl-NL"/>
        </w:rPr>
        <w:t xml:space="preserve">(yet) </w:t>
      </w:r>
      <w:r w:rsidRPr="00040F41">
        <w:rPr>
          <w:rFonts w:ascii="Arial" w:eastAsia="Times New Roman" w:hAnsi="Arial" w:cs="Arial"/>
          <w:color w:val="000000" w:themeColor="text1"/>
          <w:sz w:val="24"/>
          <w:szCs w:val="24"/>
          <w:lang w:val="en-US" w:eastAsia="nl-NL"/>
        </w:rPr>
        <w:t>a mandatory datapoint. Data availability will likely be partial.</w:t>
      </w:r>
    </w:p>
    <w:p w14:paraId="11D3E008"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p>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lastRenderedPageBreak/>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lastRenderedPageBreak/>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2A1DEE63" w14:textId="77777777" w:rsidR="00040F41" w:rsidRDefault="00040F41" w:rsidP="00040F41">
      <w:pPr>
        <w:spacing w:after="0" w:line="240" w:lineRule="auto"/>
        <w:rPr>
          <w:rFonts w:ascii="Arial" w:eastAsia="Times New Roman" w:hAnsi="Arial" w:cs="Arial"/>
          <w:color w:val="000000"/>
          <w:sz w:val="24"/>
          <w:szCs w:val="24"/>
          <w:lang w:val="en-US" w:eastAsia="nl-NL"/>
        </w:rPr>
      </w:pPr>
      <w:r w:rsidRPr="00040F41">
        <w:rPr>
          <w:rFonts w:ascii="Arial" w:eastAsia="Times New Roman" w:hAnsi="Arial" w:cs="Arial"/>
          <w:color w:val="000000"/>
          <w:sz w:val="24"/>
          <w:szCs w:val="24"/>
          <w:lang w:val="en-US" w:eastAsia="nl-NL"/>
        </w:rPr>
        <w:lastRenderedPageBreak/>
        <w:t>Preference for option 1. We think that although option 2 is more accurate in that each indicator would make transparent (only) on the investments for</w:t>
      </w:r>
      <w:r>
        <w:rPr>
          <w:rFonts w:ascii="Arial" w:eastAsia="Times New Roman" w:hAnsi="Arial" w:cs="Arial"/>
          <w:color w:val="000000"/>
          <w:sz w:val="24"/>
          <w:szCs w:val="24"/>
          <w:lang w:val="en-US" w:eastAsia="nl-NL"/>
        </w:rPr>
        <w:t xml:space="preserve"> </w:t>
      </w:r>
      <w:r w:rsidRPr="00040F41">
        <w:rPr>
          <w:rFonts w:ascii="Arial" w:eastAsia="Times New Roman" w:hAnsi="Arial" w:cs="Arial"/>
          <w:color w:val="000000"/>
          <w:sz w:val="24"/>
          <w:szCs w:val="24"/>
          <w:lang w:val="en-US" w:eastAsia="nl-NL"/>
        </w:rPr>
        <w:t xml:space="preserve">which it is relevant - it will be very burdensome and dis-comparable in that as portfolio differ in assets, the comparability of seemingly similar portfolio, will become incomparable. </w:t>
      </w:r>
    </w:p>
    <w:p w14:paraId="71288141" w14:textId="539E2D67" w:rsidR="00040F41" w:rsidRDefault="00040F41" w:rsidP="00040F41">
      <w:pPr>
        <w:spacing w:after="0" w:line="240" w:lineRule="auto"/>
        <w:rPr>
          <w:rFonts w:ascii="Arial" w:eastAsia="Times New Roman" w:hAnsi="Arial" w:cs="Arial"/>
          <w:color w:val="000000"/>
          <w:sz w:val="24"/>
          <w:szCs w:val="24"/>
          <w:lang w:val="en-US" w:eastAsia="nl-NL"/>
        </w:rPr>
      </w:pPr>
      <w:r>
        <w:rPr>
          <w:rFonts w:ascii="Arial" w:eastAsia="Times New Roman" w:hAnsi="Arial" w:cs="Arial"/>
          <w:color w:val="000000"/>
          <w:sz w:val="24"/>
          <w:szCs w:val="24"/>
          <w:lang w:val="en-US" w:eastAsia="nl-NL"/>
        </w:rPr>
        <w:t>W</w:t>
      </w:r>
      <w:r w:rsidRPr="00040F41">
        <w:rPr>
          <w:rFonts w:ascii="Arial" w:eastAsia="Times New Roman" w:hAnsi="Arial" w:cs="Arial"/>
          <w:color w:val="000000"/>
          <w:sz w:val="24"/>
          <w:szCs w:val="24"/>
          <w:lang w:val="en-US" w:eastAsia="nl-NL"/>
        </w:rPr>
        <w:t xml:space="preserve">e suggest </w:t>
      </w:r>
      <w:proofErr w:type="gramStart"/>
      <w:r w:rsidRPr="00040F41">
        <w:rPr>
          <w:rFonts w:ascii="Arial" w:eastAsia="Times New Roman" w:hAnsi="Arial" w:cs="Arial"/>
          <w:color w:val="000000"/>
          <w:sz w:val="24"/>
          <w:szCs w:val="24"/>
          <w:lang w:val="en-US" w:eastAsia="nl-NL"/>
        </w:rPr>
        <w:t>to break</w:t>
      </w:r>
      <w:proofErr w:type="gramEnd"/>
      <w:r w:rsidRPr="00040F41">
        <w:rPr>
          <w:rFonts w:ascii="Arial" w:eastAsia="Times New Roman" w:hAnsi="Arial" w:cs="Arial"/>
          <w:color w:val="000000"/>
          <w:sz w:val="24"/>
          <w:szCs w:val="24"/>
          <w:lang w:val="en-US" w:eastAsia="nl-NL"/>
        </w:rPr>
        <w:t xml:space="preserve"> out the PAI indicators per assets where applicable</w:t>
      </w:r>
      <w:r>
        <w:rPr>
          <w:rFonts w:ascii="Arial" w:eastAsia="Times New Roman" w:hAnsi="Arial" w:cs="Arial"/>
          <w:color w:val="000000"/>
          <w:sz w:val="24"/>
          <w:szCs w:val="24"/>
          <w:lang w:val="en-US" w:eastAsia="nl-NL"/>
        </w:rPr>
        <w:t xml:space="preserve"> </w:t>
      </w:r>
      <w:r w:rsidRPr="00040F41">
        <w:rPr>
          <w:rFonts w:ascii="Arial" w:eastAsia="Times New Roman" w:hAnsi="Arial" w:cs="Arial"/>
          <w:color w:val="000000"/>
          <w:sz w:val="24"/>
          <w:szCs w:val="24"/>
          <w:lang w:val="en-US" w:eastAsia="nl-NL"/>
        </w:rPr>
        <w:t>- this would allow for full comparability as it will allow to compare PAI per asset class</w:t>
      </w:r>
      <w:r>
        <w:rPr>
          <w:rFonts w:ascii="Arial" w:eastAsia="Times New Roman" w:hAnsi="Arial" w:cs="Arial"/>
          <w:color w:val="000000"/>
          <w:sz w:val="24"/>
          <w:szCs w:val="24"/>
          <w:lang w:val="en-US" w:eastAsia="nl-NL"/>
        </w:rPr>
        <w:t>.</w:t>
      </w:r>
      <w:r w:rsidRPr="00040F41">
        <w:rPr>
          <w:rFonts w:ascii="Arial" w:eastAsia="Times New Roman" w:hAnsi="Arial" w:cs="Arial"/>
          <w:color w:val="000000"/>
          <w:sz w:val="24"/>
          <w:szCs w:val="24"/>
          <w:lang w:val="en-US" w:eastAsia="nl-NL"/>
        </w:rPr>
        <w:t xml:space="preserve"> </w:t>
      </w:r>
      <w:proofErr w:type="gramStart"/>
      <w:r w:rsidRPr="00040F41">
        <w:rPr>
          <w:rFonts w:ascii="Arial" w:eastAsia="Times New Roman" w:hAnsi="Arial" w:cs="Arial"/>
          <w:color w:val="000000"/>
          <w:sz w:val="24"/>
          <w:szCs w:val="24"/>
          <w:lang w:val="en-US" w:eastAsia="nl-NL"/>
        </w:rPr>
        <w:t>Also</w:t>
      </w:r>
      <w:proofErr w:type="gramEnd"/>
      <w:r w:rsidRPr="00040F41">
        <w:rPr>
          <w:rFonts w:ascii="Arial" w:eastAsia="Times New Roman" w:hAnsi="Arial" w:cs="Arial"/>
          <w:color w:val="000000"/>
          <w:sz w:val="24"/>
          <w:szCs w:val="24"/>
          <w:lang w:val="en-US" w:eastAsia="nl-NL"/>
        </w:rPr>
        <w:t xml:space="preserve"> it will mean a huge burden for FMP currently disclosing under art 8 or 9.  We think the goal in developing </w:t>
      </w:r>
      <w:proofErr w:type="spellStart"/>
      <w:r w:rsidRPr="00040F41">
        <w:rPr>
          <w:rFonts w:ascii="Arial" w:eastAsia="Times New Roman" w:hAnsi="Arial" w:cs="Arial"/>
          <w:color w:val="000000"/>
          <w:sz w:val="24"/>
          <w:szCs w:val="24"/>
          <w:lang w:val="en-US" w:eastAsia="nl-NL"/>
        </w:rPr>
        <w:t>transparancy</w:t>
      </w:r>
      <w:proofErr w:type="spellEnd"/>
      <w:r w:rsidRPr="00040F41">
        <w:rPr>
          <w:rFonts w:ascii="Arial" w:eastAsia="Times New Roman" w:hAnsi="Arial" w:cs="Arial"/>
          <w:color w:val="000000"/>
          <w:sz w:val="24"/>
          <w:szCs w:val="24"/>
          <w:lang w:val="en-US" w:eastAsia="nl-NL"/>
        </w:rPr>
        <w:t xml:space="preserve"> should be including simple information for the </w:t>
      </w:r>
      <w:proofErr w:type="spellStart"/>
      <w:r w:rsidRPr="00040F41">
        <w:rPr>
          <w:rFonts w:ascii="Arial" w:eastAsia="Times New Roman" w:hAnsi="Arial" w:cs="Arial"/>
          <w:color w:val="000000"/>
          <w:sz w:val="24"/>
          <w:szCs w:val="24"/>
          <w:lang w:val="en-US" w:eastAsia="nl-NL"/>
        </w:rPr>
        <w:t>avarage</w:t>
      </w:r>
      <w:proofErr w:type="spellEnd"/>
      <w:r w:rsidRPr="00040F41">
        <w:rPr>
          <w:rFonts w:ascii="Arial" w:eastAsia="Times New Roman" w:hAnsi="Arial" w:cs="Arial"/>
          <w:color w:val="000000"/>
          <w:sz w:val="24"/>
          <w:szCs w:val="24"/>
          <w:lang w:val="en-US" w:eastAsia="nl-NL"/>
        </w:rPr>
        <w:t xml:space="preserve"> investor, and in that context the next logical step would be also to define &amp; disclose on harmful </w:t>
      </w:r>
      <w:r w:rsidR="00477DA2">
        <w:rPr>
          <w:rFonts w:ascii="Arial" w:eastAsia="Times New Roman" w:hAnsi="Arial" w:cs="Arial"/>
          <w:color w:val="000000"/>
          <w:sz w:val="24"/>
          <w:szCs w:val="24"/>
          <w:lang w:val="en-US" w:eastAsia="nl-NL"/>
        </w:rPr>
        <w:t xml:space="preserve">activities </w:t>
      </w:r>
      <w:r w:rsidRPr="00040F41">
        <w:rPr>
          <w:rFonts w:ascii="Arial" w:eastAsia="Times New Roman" w:hAnsi="Arial" w:cs="Arial"/>
          <w:color w:val="000000"/>
          <w:sz w:val="24"/>
          <w:szCs w:val="24"/>
          <w:lang w:val="en-US" w:eastAsia="nl-NL"/>
        </w:rPr>
        <w:t>as it is information particularly sought after by that av</w:t>
      </w:r>
      <w:r>
        <w:rPr>
          <w:rFonts w:ascii="Arial" w:eastAsia="Times New Roman" w:hAnsi="Arial" w:cs="Arial"/>
          <w:color w:val="000000"/>
          <w:sz w:val="24"/>
          <w:szCs w:val="24"/>
          <w:lang w:val="en-US" w:eastAsia="nl-NL"/>
        </w:rPr>
        <w:t>e</w:t>
      </w:r>
      <w:r w:rsidRPr="00040F41">
        <w:rPr>
          <w:rFonts w:ascii="Arial" w:eastAsia="Times New Roman" w:hAnsi="Arial" w:cs="Arial"/>
          <w:color w:val="000000"/>
          <w:sz w:val="24"/>
          <w:szCs w:val="24"/>
          <w:lang w:val="en-US" w:eastAsia="nl-NL"/>
        </w:rPr>
        <w:t xml:space="preserve">rage investor. </w:t>
      </w:r>
    </w:p>
    <w:p w14:paraId="040C80CB"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p>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639009E8" w14:textId="1B075CB8" w:rsidR="00040F41" w:rsidRDefault="009C41BB" w:rsidP="00040F41">
      <w:r>
        <w:t>&lt;ESMA_QUESTION_SFDR_13</w:t>
      </w:r>
      <w:permStart w:id="1426525783" w:edGrp="everyone"/>
      <w:r w:rsidR="00040F41">
        <w:t>&gt;</w:t>
      </w:r>
    </w:p>
    <w:p w14:paraId="46846C50" w14:textId="01DAD650" w:rsidR="00040F41" w:rsidRDefault="00040F41" w:rsidP="009C0840">
      <w:pPr>
        <w:spacing w:after="0" w:line="240" w:lineRule="auto"/>
        <w:rPr>
          <w:rFonts w:ascii="Arial" w:eastAsia="Times New Roman" w:hAnsi="Arial" w:cs="Arial"/>
          <w:color w:val="000000"/>
          <w:sz w:val="24"/>
          <w:szCs w:val="24"/>
          <w:lang w:val="en-US" w:eastAsia="nl-NL"/>
        </w:rPr>
      </w:pPr>
      <w:r>
        <w:rPr>
          <w:rFonts w:ascii="Arial" w:eastAsia="Times New Roman" w:hAnsi="Arial" w:cs="Arial"/>
          <w:color w:val="000000"/>
          <w:sz w:val="24"/>
          <w:szCs w:val="24"/>
          <w:lang w:val="en-US" w:eastAsia="nl-NL"/>
        </w:rPr>
        <w:t>I</w:t>
      </w:r>
      <w:r w:rsidRPr="00040F41">
        <w:rPr>
          <w:rFonts w:ascii="Arial" w:eastAsia="Times New Roman" w:hAnsi="Arial" w:cs="Arial"/>
          <w:color w:val="000000"/>
          <w:sz w:val="24"/>
          <w:szCs w:val="24"/>
          <w:lang w:val="en-US" w:eastAsia="nl-NL"/>
        </w:rPr>
        <w:t xml:space="preserve">nformation about the value chain of investee companies </w:t>
      </w:r>
      <w:proofErr w:type="spellStart"/>
      <w:r w:rsidRPr="00040F41">
        <w:rPr>
          <w:rFonts w:ascii="Arial" w:eastAsia="Times New Roman" w:hAnsi="Arial" w:cs="Arial"/>
          <w:color w:val="000000"/>
          <w:sz w:val="24"/>
          <w:szCs w:val="24"/>
          <w:lang w:val="en-US" w:eastAsia="nl-NL"/>
        </w:rPr>
        <w:t>willl</w:t>
      </w:r>
      <w:proofErr w:type="spellEnd"/>
      <w:r w:rsidRPr="00040F41">
        <w:rPr>
          <w:rFonts w:ascii="Arial" w:eastAsia="Times New Roman" w:hAnsi="Arial" w:cs="Arial"/>
          <w:color w:val="000000"/>
          <w:sz w:val="24"/>
          <w:szCs w:val="24"/>
          <w:lang w:val="en-US" w:eastAsia="nl-NL"/>
        </w:rPr>
        <w:t xml:space="preserve"> be available from disclosure requirements in the CSRD. As the CSRD currently stand</w:t>
      </w:r>
      <w:r>
        <w:rPr>
          <w:rFonts w:ascii="Arial" w:eastAsia="Times New Roman" w:hAnsi="Arial" w:cs="Arial"/>
          <w:color w:val="000000"/>
          <w:sz w:val="24"/>
          <w:szCs w:val="24"/>
          <w:lang w:val="en-US" w:eastAsia="nl-NL"/>
        </w:rPr>
        <w:t>s</w:t>
      </w:r>
      <w:r w:rsidRPr="00040F41">
        <w:rPr>
          <w:rFonts w:ascii="Arial" w:eastAsia="Times New Roman" w:hAnsi="Arial" w:cs="Arial"/>
          <w:color w:val="000000"/>
          <w:sz w:val="24"/>
          <w:szCs w:val="24"/>
          <w:lang w:val="en-US" w:eastAsia="nl-NL"/>
        </w:rPr>
        <w:t xml:space="preserve">, each CSRD mandatory disclosure requirement, corresponding to the PAI indicators, determines whether data must be gathered in relation to a reporting company's operations, or also including its supply chain. There is therefore no margin to determine </w:t>
      </w:r>
      <w:proofErr w:type="gramStart"/>
      <w:r w:rsidRPr="00040F41">
        <w:rPr>
          <w:rFonts w:ascii="Arial" w:eastAsia="Times New Roman" w:hAnsi="Arial" w:cs="Arial"/>
          <w:color w:val="000000"/>
          <w:sz w:val="24"/>
          <w:szCs w:val="24"/>
          <w:lang w:val="en-US" w:eastAsia="nl-NL"/>
        </w:rPr>
        <w:t>whether or not</w:t>
      </w:r>
      <w:proofErr w:type="gramEnd"/>
      <w:r w:rsidRPr="00040F41">
        <w:rPr>
          <w:rFonts w:ascii="Arial" w:eastAsia="Times New Roman" w:hAnsi="Arial" w:cs="Arial"/>
          <w:color w:val="000000"/>
          <w:sz w:val="24"/>
          <w:szCs w:val="24"/>
          <w:lang w:val="en-US" w:eastAsia="nl-NL"/>
        </w:rPr>
        <w:t xml:space="preserve"> to include supply chain information on the basis of a materiality assessment.</w:t>
      </w:r>
    </w:p>
    <w:p w14:paraId="7961AD29" w14:textId="332AAB50" w:rsidR="00040F41" w:rsidRPr="009C0840" w:rsidRDefault="00040F41" w:rsidP="009C0840">
      <w:pPr>
        <w:spacing w:after="0" w:line="240" w:lineRule="auto"/>
        <w:rPr>
          <w:rFonts w:ascii="Arial" w:eastAsia="Times New Roman" w:hAnsi="Arial" w:cs="Arial"/>
          <w:color w:val="000000"/>
          <w:sz w:val="24"/>
          <w:szCs w:val="24"/>
          <w:lang w:val="en-US" w:eastAsia="nl-NL"/>
        </w:rPr>
      </w:pPr>
      <w:r w:rsidRPr="009C0840">
        <w:rPr>
          <w:rFonts w:ascii="Arial" w:eastAsia="Times New Roman" w:hAnsi="Arial" w:cs="Arial"/>
          <w:color w:val="000000"/>
          <w:sz w:val="24"/>
          <w:szCs w:val="24"/>
          <w:lang w:val="en-US" w:eastAsia="nl-NL"/>
        </w:rPr>
        <w:t>We would agree with the ESA</w:t>
      </w:r>
      <w:r w:rsidR="009C0840">
        <w:rPr>
          <w:rFonts w:ascii="Arial" w:eastAsia="Times New Roman" w:hAnsi="Arial" w:cs="Arial"/>
          <w:color w:val="000000"/>
          <w:sz w:val="24"/>
          <w:szCs w:val="24"/>
          <w:lang w:val="en-US" w:eastAsia="nl-NL"/>
        </w:rPr>
        <w:t>s’</w:t>
      </w:r>
      <w:r w:rsidRPr="009C0840">
        <w:rPr>
          <w:rFonts w:ascii="Arial" w:eastAsia="Times New Roman" w:hAnsi="Arial" w:cs="Arial"/>
          <w:color w:val="000000"/>
          <w:sz w:val="24"/>
          <w:szCs w:val="24"/>
          <w:lang w:val="en-US" w:eastAsia="nl-NL"/>
        </w:rPr>
        <w:t xml:space="preserve"> approach, stating “Financial market participants should include information on the value chains of investee companies that are not reporting under the ESRS where that information is readily available, </w:t>
      </w:r>
      <w:proofErr w:type="gramStart"/>
      <w:r w:rsidRPr="009C0840">
        <w:rPr>
          <w:rFonts w:ascii="Arial" w:eastAsia="Times New Roman" w:hAnsi="Arial" w:cs="Arial"/>
          <w:color w:val="000000"/>
          <w:sz w:val="24"/>
          <w:szCs w:val="24"/>
          <w:lang w:val="en-US" w:eastAsia="nl-NL"/>
        </w:rPr>
        <w:t>e.g.</w:t>
      </w:r>
      <w:proofErr w:type="gramEnd"/>
      <w:r w:rsidRPr="009C0840">
        <w:rPr>
          <w:rFonts w:ascii="Arial" w:eastAsia="Times New Roman" w:hAnsi="Arial" w:cs="Arial"/>
          <w:color w:val="000000"/>
          <w:sz w:val="24"/>
          <w:szCs w:val="24"/>
          <w:lang w:val="en-US" w:eastAsia="nl-NL"/>
        </w:rPr>
        <w:t xml:space="preserve"> in the public reporting of those investee companies. The consequence of that proposal is that if the investee company is not reporting its value chain’s adverse impacts under the ESRS or this is disclosed in other reporting, then those do not need to be </w:t>
      </w:r>
      <w:proofErr w:type="gramStart"/>
      <w:r w:rsidRPr="009C0840">
        <w:rPr>
          <w:rFonts w:ascii="Arial" w:eastAsia="Times New Roman" w:hAnsi="Arial" w:cs="Arial"/>
          <w:color w:val="000000"/>
          <w:sz w:val="24"/>
          <w:szCs w:val="24"/>
          <w:lang w:val="en-US" w:eastAsia="nl-NL"/>
        </w:rPr>
        <w:t>taken into account</w:t>
      </w:r>
      <w:proofErr w:type="gramEnd"/>
      <w:r w:rsidRPr="009C0840">
        <w:rPr>
          <w:rFonts w:ascii="Arial" w:eastAsia="Times New Roman" w:hAnsi="Arial" w:cs="Arial"/>
          <w:color w:val="000000"/>
          <w:sz w:val="24"/>
          <w:szCs w:val="24"/>
          <w:lang w:val="en-US" w:eastAsia="nl-NL"/>
        </w:rPr>
        <w:t xml:space="preserve"> for the PAI calculations”</w:t>
      </w:r>
    </w:p>
    <w:p w14:paraId="333CE898" w14:textId="06FAF169" w:rsidR="00040F41" w:rsidRPr="009C0840" w:rsidRDefault="00040F41" w:rsidP="009C0840">
      <w:pPr>
        <w:spacing w:after="0" w:line="240" w:lineRule="auto"/>
        <w:rPr>
          <w:rFonts w:ascii="Arial" w:eastAsia="Times New Roman" w:hAnsi="Arial" w:cs="Arial"/>
          <w:color w:val="000000"/>
          <w:sz w:val="24"/>
          <w:szCs w:val="24"/>
          <w:lang w:val="en-US" w:eastAsia="nl-NL"/>
        </w:rPr>
      </w:pPr>
      <w:r w:rsidRPr="009C0840">
        <w:rPr>
          <w:rFonts w:ascii="Arial" w:eastAsia="Times New Roman" w:hAnsi="Arial" w:cs="Arial"/>
          <w:color w:val="000000"/>
          <w:sz w:val="24"/>
          <w:szCs w:val="24"/>
          <w:lang w:val="en-US" w:eastAsia="nl-NL"/>
        </w:rPr>
        <w:t xml:space="preserve">It is the responsibility of the investee companies to report on emissions in the value chain outsider </w:t>
      </w:r>
      <w:proofErr w:type="gramStart"/>
      <w:r w:rsidRPr="009C0840">
        <w:rPr>
          <w:rFonts w:ascii="Arial" w:eastAsia="Times New Roman" w:hAnsi="Arial" w:cs="Arial"/>
          <w:color w:val="000000"/>
          <w:sz w:val="24"/>
          <w:szCs w:val="24"/>
          <w:lang w:val="en-US" w:eastAsia="nl-NL"/>
        </w:rPr>
        <w:t>the  CSRD</w:t>
      </w:r>
      <w:proofErr w:type="gramEnd"/>
      <w:r w:rsidRPr="009C0840">
        <w:rPr>
          <w:rFonts w:ascii="Arial" w:eastAsia="Times New Roman" w:hAnsi="Arial" w:cs="Arial"/>
          <w:color w:val="000000"/>
          <w:sz w:val="24"/>
          <w:szCs w:val="24"/>
          <w:lang w:val="en-US" w:eastAsia="nl-NL"/>
        </w:rPr>
        <w:t xml:space="preserve">. And only if PAI &amp; value chain is reported by the investee companies, the information can be included. It may not be applicable for every PAI indicator. But the meaningfulness of </w:t>
      </w:r>
      <w:proofErr w:type="gramStart"/>
      <w:r w:rsidRPr="009C0840">
        <w:rPr>
          <w:rFonts w:ascii="Arial" w:eastAsia="Times New Roman" w:hAnsi="Arial" w:cs="Arial"/>
          <w:color w:val="000000"/>
          <w:sz w:val="24"/>
          <w:szCs w:val="24"/>
          <w:lang w:val="en-US" w:eastAsia="nl-NL"/>
        </w:rPr>
        <w:t>such  disclosure</w:t>
      </w:r>
      <w:proofErr w:type="gramEnd"/>
      <w:r w:rsidRPr="009C0840">
        <w:rPr>
          <w:rFonts w:ascii="Arial" w:eastAsia="Times New Roman" w:hAnsi="Arial" w:cs="Arial"/>
          <w:color w:val="000000"/>
          <w:sz w:val="24"/>
          <w:szCs w:val="24"/>
          <w:lang w:val="en-US" w:eastAsia="nl-NL"/>
        </w:rPr>
        <w:t xml:space="preserve"> could be questionable.</w:t>
      </w:r>
    </w:p>
    <w:p w14:paraId="435C7309" w14:textId="77777777" w:rsidR="00040F41" w:rsidRPr="009C0840" w:rsidRDefault="00040F41" w:rsidP="009C0840">
      <w:pPr>
        <w:spacing w:after="0" w:line="240" w:lineRule="auto"/>
        <w:rPr>
          <w:rFonts w:ascii="Arial" w:eastAsia="Times New Roman" w:hAnsi="Arial" w:cs="Arial"/>
          <w:color w:val="000000"/>
          <w:sz w:val="24"/>
          <w:szCs w:val="24"/>
          <w:lang w:val="en-US" w:eastAsia="nl-NL"/>
        </w:rPr>
      </w:pPr>
    </w:p>
    <w:permEnd w:id="1426525783"/>
    <w:p w14:paraId="52004960" w14:textId="21189121" w:rsidR="009C41BB" w:rsidRPr="00040F41" w:rsidRDefault="009C41BB" w:rsidP="00040F41">
      <w:pPr>
        <w:spacing w:after="0" w:line="240" w:lineRule="auto"/>
        <w:rPr>
          <w:rFonts w:ascii="Arial" w:eastAsia="Times New Roman" w:hAnsi="Arial" w:cs="Arial"/>
          <w:color w:val="000000"/>
          <w:sz w:val="24"/>
          <w:szCs w:val="24"/>
          <w:lang w:val="en-US" w:eastAsia="nl-NL"/>
        </w:rPr>
      </w:pPr>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lastRenderedPageBreak/>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53805668" w14:textId="3A4358CE" w:rsidR="00040F41" w:rsidRPr="009C0840" w:rsidRDefault="00040F41" w:rsidP="00040F41">
      <w:pPr>
        <w:spacing w:after="0" w:line="240" w:lineRule="auto"/>
        <w:rPr>
          <w:rFonts w:ascii="Arial" w:eastAsia="Times New Roman" w:hAnsi="Arial" w:cs="Arial"/>
          <w:color w:val="000000" w:themeColor="text1"/>
          <w:sz w:val="24"/>
          <w:szCs w:val="24"/>
          <w:lang w:val="en-US" w:eastAsia="nl-NL"/>
        </w:rPr>
      </w:pPr>
      <w:r w:rsidRPr="00040F41">
        <w:rPr>
          <w:rFonts w:ascii="Arial" w:eastAsia="Times New Roman" w:hAnsi="Arial" w:cs="Arial"/>
          <w:color w:val="000000" w:themeColor="text1"/>
          <w:sz w:val="24"/>
          <w:szCs w:val="24"/>
          <w:lang w:val="en-US" w:eastAsia="nl-NL"/>
        </w:rPr>
        <w:t>We share ESAs’ concerns about the wide margins left to financial market participants for the assessment of compliance with the DNSH principle and the resulting lack of comparability. We also note that the lack of comparability in the disclosed information is unfortunately inherent to a disclosure regime with open-ended definitions such as the SFDR, which also does not prescribe any methodology for the assessment of key constructs. These shortcomings must be addressed in the level 1 text</w:t>
      </w:r>
      <w:r w:rsidRPr="009C0840">
        <w:rPr>
          <w:rFonts w:ascii="Arial" w:eastAsia="Times New Roman" w:hAnsi="Arial" w:cs="Arial"/>
          <w:color w:val="000000" w:themeColor="text1"/>
          <w:sz w:val="24"/>
          <w:szCs w:val="24"/>
          <w:lang w:val="en-US" w:eastAsia="nl-NL"/>
        </w:rPr>
        <w:t>,</w:t>
      </w:r>
      <w:r w:rsidRPr="009C0840">
        <w:rPr>
          <w:rFonts w:ascii="Arial" w:hAnsi="Arial" w:cs="Arial"/>
          <w:color w:val="000000" w:themeColor="text1"/>
          <w:sz w:val="24"/>
          <w:szCs w:val="24"/>
          <w:lang w:val="en-US"/>
        </w:rPr>
        <w:t xml:space="preserve"> including aligning all the ESG regulatory framework </w:t>
      </w:r>
      <w:proofErr w:type="gramStart"/>
      <w:r w:rsidRPr="009C0840">
        <w:rPr>
          <w:rFonts w:ascii="Arial" w:hAnsi="Arial" w:cs="Arial"/>
          <w:color w:val="000000" w:themeColor="text1"/>
          <w:sz w:val="24"/>
          <w:szCs w:val="24"/>
          <w:lang w:val="en-US"/>
        </w:rPr>
        <w:t>in order to</w:t>
      </w:r>
      <w:proofErr w:type="gramEnd"/>
      <w:r w:rsidRPr="009C0840">
        <w:rPr>
          <w:rFonts w:ascii="Arial" w:hAnsi="Arial" w:cs="Arial"/>
          <w:color w:val="000000" w:themeColor="text1"/>
          <w:sz w:val="24"/>
          <w:szCs w:val="24"/>
          <w:lang w:val="en-US"/>
        </w:rPr>
        <w:t xml:space="preserve"> avoid duplications or misalignments and also to improve the effectiveness the entire ESG framework. In addition, there is a notable lack of detail on whether it is necessary to consider all the mandatory PAI indicators or only the material ones for sustainable investment. For example, it would be necessary to define whether an issuer that caused a PAI but is being mitigated through engagement actions could be classified as a sustainable investment</w:t>
      </w:r>
      <w:r w:rsidRPr="00040F41">
        <w:rPr>
          <w:rFonts w:ascii="Arial" w:eastAsia="Times New Roman" w:hAnsi="Arial" w:cs="Arial"/>
          <w:color w:val="000000" w:themeColor="text1"/>
          <w:sz w:val="24"/>
          <w:szCs w:val="24"/>
          <w:lang w:val="en-US" w:eastAsia="nl-NL"/>
        </w:rPr>
        <w:t>.</w:t>
      </w:r>
    </w:p>
    <w:p w14:paraId="54FD5E55"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p>
    <w:p w14:paraId="3FA2FE7A" w14:textId="19F12760" w:rsidR="009C41BB" w:rsidRDefault="009C41BB" w:rsidP="009C41BB">
      <w:r>
        <w:lastRenderedPageBreak/>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223C9CA4"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r w:rsidRPr="00040F41">
        <w:rPr>
          <w:rFonts w:ascii="Arial" w:eastAsia="Times New Roman" w:hAnsi="Arial" w:cs="Arial"/>
          <w:color w:val="000000"/>
          <w:sz w:val="24"/>
          <w:szCs w:val="24"/>
          <w:lang w:val="en-US" w:eastAsia="nl-NL"/>
        </w:rPr>
        <w:t>While it may be tempting to require additional disclosures to give the market access to information on compliance with the DNSH criteria, there is a real risk of ‘disclosure overload’ especially if this would have to take place through quantitative thresholds. We therefore suggest not to add any additional burden to financial market participants that decide to include sustainable investment in their products. Threshold criteria for DNSH, where they have been determined quantitatively by financial market participants, are likely to differ on a sector and country basis (as they apply to each investment</w:t>
      </w:r>
      <w:proofErr w:type="gramStart"/>
      <w:r w:rsidRPr="00040F41">
        <w:rPr>
          <w:rFonts w:ascii="Arial" w:eastAsia="Times New Roman" w:hAnsi="Arial" w:cs="Arial"/>
          <w:color w:val="000000"/>
          <w:sz w:val="24"/>
          <w:szCs w:val="24"/>
          <w:lang w:val="en-US" w:eastAsia="nl-NL"/>
        </w:rPr>
        <w:t>), and</w:t>
      </w:r>
      <w:proofErr w:type="gramEnd"/>
      <w:r w:rsidRPr="00040F41">
        <w:rPr>
          <w:rFonts w:ascii="Arial" w:eastAsia="Times New Roman" w:hAnsi="Arial" w:cs="Arial"/>
          <w:color w:val="000000"/>
          <w:sz w:val="24"/>
          <w:szCs w:val="24"/>
          <w:lang w:val="en-US" w:eastAsia="nl-NL"/>
        </w:rPr>
        <w:t xml:space="preserve"> may be grounded over very complex assessments in the presence of considerable scientific uncertainty. They are therefore unlikely to offer any meaningful and comprehensible insight to the average investor. Definition of harmful investments or screening for harm can also take place through strict exclusions and not quantitative thresholds, thereby rendering option 2 simply not suitable. </w:t>
      </w:r>
    </w:p>
    <w:p w14:paraId="0644E1FC" w14:textId="77777777" w:rsidR="00040F41" w:rsidRDefault="00040F41" w:rsidP="009C41BB">
      <w:pPr>
        <w:rPr>
          <w:lang w:val="en-US"/>
        </w:rPr>
      </w:pPr>
    </w:p>
    <w:p w14:paraId="51EC0BD3" w14:textId="0A51FC33"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1CBC412A"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r w:rsidRPr="00040F41">
        <w:rPr>
          <w:rFonts w:ascii="Arial" w:eastAsia="Times New Roman" w:hAnsi="Arial" w:cs="Arial"/>
          <w:color w:val="000000"/>
          <w:sz w:val="24"/>
          <w:szCs w:val="24"/>
          <w:lang w:val="en-US" w:eastAsia="nl-NL"/>
        </w:rPr>
        <w:t xml:space="preserve">In light of the difference between DNSH notions in the SFDR and the Taxonomy, a safe-harbor would only be partial at best – </w:t>
      </w:r>
      <w:proofErr w:type="gramStart"/>
      <w:r w:rsidRPr="00040F41">
        <w:rPr>
          <w:rFonts w:ascii="Arial" w:eastAsia="Times New Roman" w:hAnsi="Arial" w:cs="Arial"/>
          <w:color w:val="000000"/>
          <w:sz w:val="24"/>
          <w:szCs w:val="24"/>
          <w:lang w:val="en-US" w:eastAsia="nl-NL"/>
        </w:rPr>
        <w:t>i.e.</w:t>
      </w:r>
      <w:proofErr w:type="gramEnd"/>
      <w:r w:rsidRPr="00040F41">
        <w:rPr>
          <w:rFonts w:ascii="Arial" w:eastAsia="Times New Roman" w:hAnsi="Arial" w:cs="Arial"/>
          <w:color w:val="000000"/>
          <w:sz w:val="24"/>
          <w:szCs w:val="24"/>
          <w:lang w:val="en-US" w:eastAsia="nl-NL"/>
        </w:rPr>
        <w:t xml:space="preserve"> covering only a </w:t>
      </w:r>
      <w:r w:rsidRPr="00040F41">
        <w:rPr>
          <w:rFonts w:ascii="Arial" w:eastAsia="Times New Roman" w:hAnsi="Arial" w:cs="Arial"/>
          <w:i/>
          <w:iCs/>
          <w:color w:val="000000"/>
          <w:sz w:val="24"/>
          <w:szCs w:val="24"/>
          <w:lang w:val="en-US" w:eastAsia="nl-NL"/>
        </w:rPr>
        <w:t>part</w:t>
      </w:r>
      <w:r w:rsidRPr="00040F41">
        <w:rPr>
          <w:rFonts w:ascii="Arial" w:eastAsia="Times New Roman" w:hAnsi="Arial" w:cs="Arial"/>
          <w:color w:val="000000"/>
          <w:sz w:val="24"/>
          <w:szCs w:val="24"/>
          <w:lang w:val="en-US" w:eastAsia="nl-NL"/>
        </w:rPr>
        <w:t xml:space="preserve"> of </w:t>
      </w:r>
      <w:r w:rsidRPr="00040F41">
        <w:rPr>
          <w:rFonts w:ascii="Arial" w:eastAsia="Times New Roman" w:hAnsi="Arial" w:cs="Arial"/>
          <w:i/>
          <w:iCs/>
          <w:color w:val="000000"/>
          <w:sz w:val="24"/>
          <w:szCs w:val="24"/>
          <w:lang w:val="en-US" w:eastAsia="nl-NL"/>
        </w:rPr>
        <w:t>some</w:t>
      </w:r>
      <w:r w:rsidRPr="00040F41">
        <w:rPr>
          <w:rFonts w:ascii="Arial" w:eastAsia="Times New Roman" w:hAnsi="Arial" w:cs="Arial"/>
          <w:color w:val="000000"/>
          <w:sz w:val="24"/>
          <w:szCs w:val="24"/>
          <w:lang w:val="en-US" w:eastAsia="nl-NL"/>
        </w:rPr>
        <w:t xml:space="preserve"> sustainable investments - and therefore not of much assistance. Furthermore, it could exacerbate confusion, and would likely raise questions - especially by retail clients - about complex and possibly conflicting regulatory terms that would however be the responsibility of financial market participants to explain. </w:t>
      </w:r>
    </w:p>
    <w:p w14:paraId="4F163B61" w14:textId="77777777" w:rsidR="00040F41" w:rsidRDefault="00040F41" w:rsidP="009C41BB">
      <w:pPr>
        <w:rPr>
          <w:lang w:val="en-US"/>
        </w:rPr>
      </w:pPr>
    </w:p>
    <w:p w14:paraId="5B774EBD" w14:textId="7D1CA5EC"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lastRenderedPageBreak/>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5A3F846D"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r w:rsidRPr="00040F41">
        <w:rPr>
          <w:rFonts w:ascii="Arial" w:eastAsia="Times New Roman" w:hAnsi="Arial" w:cs="Arial"/>
          <w:color w:val="000000"/>
          <w:sz w:val="24"/>
          <w:szCs w:val="24"/>
          <w:lang w:val="en-US" w:eastAsia="nl-NL"/>
        </w:rPr>
        <w:t>On the topic of the relation between DNSH in the SFDR and in the Taxonomy, we note that the different scope between the two notions (applying at the level of investee companies under the SFDR and economic activity under the Taxonomy) stands in the way of their interoperability. This tension can only be solved in the future by EU legislators, but they should resist the temptation to equate ‘sustainable investment’ with ‘Taxonomy-aligned’ investment in future iterations of the SFDR given the very partial coverage of the EU Taxonomy and the difficulties in its establishment. Ideally, going forward the tension should be solved with a disclosure regime with positive and negative criteria about permissible investment (mostly a list of excluded assets for Art 8 and 9), but that still allows a broader notion of 'sustainable investment', with the Taxonomy identifying a gold standard for environmental activities.</w:t>
      </w:r>
      <w:r w:rsidRPr="00040F41">
        <w:rPr>
          <w:rFonts w:ascii="Arial" w:eastAsia="Times New Roman" w:hAnsi="Arial" w:cs="Arial"/>
          <w:color w:val="000000"/>
          <w:sz w:val="24"/>
          <w:szCs w:val="24"/>
          <w:lang w:val="en-US" w:eastAsia="nl-NL"/>
        </w:rPr>
        <w:br/>
        <w:t xml:space="preserve"> </w:t>
      </w:r>
      <w:r w:rsidRPr="00040F41">
        <w:rPr>
          <w:rFonts w:ascii="Arial" w:eastAsia="Times New Roman" w:hAnsi="Arial" w:cs="Arial"/>
          <w:color w:val="000000"/>
          <w:sz w:val="24"/>
          <w:szCs w:val="24"/>
          <w:lang w:val="en-US" w:eastAsia="nl-NL"/>
        </w:rPr>
        <w:br/>
        <w:t>Different from the ESAs, we do not see it as a problem that an activity may ‘pass’ the Taxonomy DNSH but possibly not a strict SFDR DNSH framework established by a financial market participant. Consistent with the nature of the SFDR as a disclosure regime, disclosure rules should not unduly constrain a strict approach to harm legitimately applied by a financial market participant to its products, all the more so in light of the various deviations in the EU Taxonomy from a sound science-based methodology (</w:t>
      </w:r>
      <w:proofErr w:type="gramStart"/>
      <w:r w:rsidRPr="00040F41">
        <w:rPr>
          <w:rFonts w:ascii="Arial" w:eastAsia="Times New Roman" w:hAnsi="Arial" w:cs="Arial"/>
          <w:color w:val="000000"/>
          <w:sz w:val="24"/>
          <w:szCs w:val="24"/>
          <w:lang w:val="en-US" w:eastAsia="nl-NL"/>
        </w:rPr>
        <w:t>i.e.</w:t>
      </w:r>
      <w:proofErr w:type="gramEnd"/>
      <w:r w:rsidRPr="00040F41">
        <w:rPr>
          <w:rFonts w:ascii="Arial" w:eastAsia="Times New Roman" w:hAnsi="Arial" w:cs="Arial"/>
          <w:color w:val="000000"/>
          <w:sz w:val="24"/>
          <w:szCs w:val="24"/>
          <w:lang w:val="en-US" w:eastAsia="nl-NL"/>
        </w:rPr>
        <w:t xml:space="preserve"> inclusion of gas and nuclear, aviation and various ‘end of pipe’ activities included in the last set of criteria). </w:t>
      </w:r>
    </w:p>
    <w:p w14:paraId="05691859" w14:textId="77777777" w:rsidR="00040F41" w:rsidRDefault="00040F41" w:rsidP="009C41BB">
      <w:pPr>
        <w:rPr>
          <w:lang w:val="en-US"/>
        </w:rPr>
      </w:pPr>
    </w:p>
    <w:p w14:paraId="402F2518" w14:textId="51C81F64"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495789A2"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r w:rsidRPr="00040F41">
        <w:rPr>
          <w:rFonts w:ascii="Arial" w:eastAsia="Times New Roman" w:hAnsi="Arial" w:cs="Arial"/>
          <w:color w:val="000000"/>
          <w:sz w:val="24"/>
          <w:szCs w:val="24"/>
          <w:lang w:val="en-US" w:eastAsia="nl-NL"/>
        </w:rPr>
        <w:t xml:space="preserve">We would like to point out that the definition of harmful activities, as also highlighted by the Sustainable Finance Expert Group, is an essential but currently missing component of the EU Taxonomy. Additional disclosures in relation to DNSH would continue to increase the disclosing burden of manufacturers of sustainable products, thereby continuing to increase costs that do not have to be borne by manufacturers of products containing harmful investments. An unequivocal definition of harmful activities provided by EU legislators (see for example the list of excluded investment in Art 12 of the Delegated </w:t>
      </w:r>
      <w:proofErr w:type="spellStart"/>
      <w:r w:rsidRPr="00040F41">
        <w:rPr>
          <w:rFonts w:ascii="Arial" w:eastAsia="Times New Roman" w:hAnsi="Arial" w:cs="Arial"/>
          <w:color w:val="000000"/>
          <w:sz w:val="24"/>
          <w:szCs w:val="24"/>
          <w:lang w:val="en-US" w:eastAsia="nl-NL"/>
        </w:rPr>
        <w:t>Regualtion</w:t>
      </w:r>
      <w:proofErr w:type="spellEnd"/>
      <w:r w:rsidRPr="00040F41">
        <w:rPr>
          <w:rFonts w:ascii="Arial" w:eastAsia="Times New Roman" w:hAnsi="Arial" w:cs="Arial"/>
          <w:color w:val="000000"/>
          <w:sz w:val="24"/>
          <w:szCs w:val="24"/>
          <w:lang w:val="en-US" w:eastAsia="nl-NL"/>
        </w:rPr>
        <w:t xml:space="preserve"> on Minimum Standards for Climate Target and Paris Aligned Benchmarks) is the most effective solution to tackle greenwashing and ensuring comparability in products containing sustainable investment, including in relation to DNSH. It is also a </w:t>
      </w:r>
      <w:r w:rsidRPr="00040F41">
        <w:rPr>
          <w:rFonts w:ascii="Arial" w:eastAsia="Times New Roman" w:hAnsi="Arial" w:cs="Arial"/>
          <w:i/>
          <w:iCs/>
          <w:color w:val="000000"/>
          <w:sz w:val="24"/>
          <w:szCs w:val="24"/>
          <w:lang w:val="en-US" w:eastAsia="nl-NL"/>
        </w:rPr>
        <w:t>fair</w:t>
      </w:r>
      <w:r w:rsidRPr="00040F41">
        <w:rPr>
          <w:rFonts w:ascii="Arial" w:eastAsia="Times New Roman" w:hAnsi="Arial" w:cs="Arial"/>
          <w:color w:val="000000"/>
          <w:sz w:val="24"/>
          <w:szCs w:val="24"/>
          <w:lang w:val="en-US" w:eastAsia="nl-NL"/>
        </w:rPr>
        <w:t xml:space="preserve"> solution as it does not just raise the costs of </w:t>
      </w:r>
      <w:r w:rsidRPr="00040F41">
        <w:rPr>
          <w:rFonts w:ascii="Arial" w:eastAsia="Times New Roman" w:hAnsi="Arial" w:cs="Arial"/>
          <w:color w:val="000000"/>
          <w:sz w:val="24"/>
          <w:szCs w:val="24"/>
          <w:lang w:val="en-US" w:eastAsia="nl-NL"/>
        </w:rPr>
        <w:lastRenderedPageBreak/>
        <w:t xml:space="preserve">sustainable investment. </w:t>
      </w:r>
      <w:r w:rsidRPr="00040F41">
        <w:rPr>
          <w:rFonts w:ascii="Arial" w:eastAsia="Times New Roman" w:hAnsi="Arial" w:cs="Arial"/>
          <w:color w:val="000000"/>
          <w:sz w:val="24"/>
          <w:szCs w:val="24"/>
          <w:lang w:val="en-US" w:eastAsia="nl-NL"/>
        </w:rPr>
        <w:br/>
      </w:r>
      <w:r w:rsidRPr="00040F41">
        <w:rPr>
          <w:rFonts w:ascii="Arial" w:eastAsia="Times New Roman" w:hAnsi="Arial" w:cs="Arial"/>
          <w:color w:val="000000"/>
          <w:sz w:val="24"/>
          <w:szCs w:val="24"/>
          <w:lang w:val="en-US" w:eastAsia="nl-NL"/>
        </w:rPr>
        <w:br/>
        <w:t xml:space="preserve">In the short term, a </w:t>
      </w:r>
      <w:r w:rsidRPr="00040F41">
        <w:rPr>
          <w:rFonts w:ascii="Arial" w:eastAsia="Times New Roman" w:hAnsi="Arial" w:cs="Arial"/>
          <w:i/>
          <w:iCs/>
          <w:color w:val="000000"/>
          <w:sz w:val="24"/>
          <w:szCs w:val="24"/>
          <w:lang w:val="en-US" w:eastAsia="nl-NL"/>
        </w:rPr>
        <w:t>product-level</w:t>
      </w:r>
      <w:r w:rsidRPr="00040F41">
        <w:rPr>
          <w:rFonts w:ascii="Arial" w:eastAsia="Times New Roman" w:hAnsi="Arial" w:cs="Arial"/>
          <w:color w:val="000000"/>
          <w:sz w:val="24"/>
          <w:szCs w:val="24"/>
          <w:lang w:val="en-US" w:eastAsia="nl-NL"/>
        </w:rPr>
        <w:t xml:space="preserve"> PAI disclosure </w:t>
      </w:r>
      <w:proofErr w:type="gramStart"/>
      <w:r w:rsidRPr="00040F41">
        <w:rPr>
          <w:rFonts w:ascii="Arial" w:eastAsia="Times New Roman" w:hAnsi="Arial" w:cs="Arial"/>
          <w:color w:val="000000"/>
          <w:sz w:val="24"/>
          <w:szCs w:val="24"/>
          <w:lang w:val="en-US" w:eastAsia="nl-NL"/>
        </w:rPr>
        <w:t>on the basis of</w:t>
      </w:r>
      <w:proofErr w:type="gramEnd"/>
      <w:r w:rsidRPr="00040F41">
        <w:rPr>
          <w:rFonts w:ascii="Arial" w:eastAsia="Times New Roman" w:hAnsi="Arial" w:cs="Arial"/>
          <w:color w:val="000000"/>
          <w:sz w:val="24"/>
          <w:szCs w:val="24"/>
          <w:lang w:val="en-US" w:eastAsia="nl-NL"/>
        </w:rPr>
        <w:t xml:space="preserve"> the (mandatory) indicators in Annex I of the Delegated Regulation could be an easy-to-implement and cost-effective solution to make visible harm related to a specific product and show in a comparable fashion </w:t>
      </w:r>
      <w:r w:rsidRPr="00040F41">
        <w:rPr>
          <w:rFonts w:ascii="Arial" w:eastAsia="Times New Roman" w:hAnsi="Arial" w:cs="Arial"/>
          <w:i/>
          <w:iCs/>
          <w:color w:val="000000"/>
          <w:sz w:val="24"/>
          <w:szCs w:val="24"/>
          <w:lang w:val="en-US" w:eastAsia="nl-NL"/>
        </w:rPr>
        <w:t xml:space="preserve">how </w:t>
      </w:r>
      <w:r w:rsidRPr="00040F41">
        <w:rPr>
          <w:rFonts w:ascii="Arial" w:eastAsia="Times New Roman" w:hAnsi="Arial" w:cs="Arial"/>
          <w:color w:val="000000"/>
          <w:sz w:val="24"/>
          <w:szCs w:val="24"/>
          <w:lang w:val="en-US" w:eastAsia="nl-NL"/>
        </w:rPr>
        <w:t xml:space="preserve">‘PAI is taken into account’. For product containing sustainable investment, benchmarking by the market would discipline ‘relaxed’ assessments of DNSH, as these would likely result in higher-than-average PAI scores. Such a product-level disclosure should however be made for products covered by art. 6, 8 and 9, and not just by Art. 9 products, </w:t>
      </w:r>
      <w:proofErr w:type="gramStart"/>
      <w:r w:rsidRPr="00040F41">
        <w:rPr>
          <w:rFonts w:ascii="Arial" w:eastAsia="Times New Roman" w:hAnsi="Arial" w:cs="Arial"/>
          <w:color w:val="000000"/>
          <w:sz w:val="24"/>
          <w:szCs w:val="24"/>
          <w:lang w:val="en-US" w:eastAsia="nl-NL"/>
        </w:rPr>
        <w:t>in light of</w:t>
      </w:r>
      <w:proofErr w:type="gramEnd"/>
      <w:r w:rsidRPr="00040F41">
        <w:rPr>
          <w:rFonts w:ascii="Arial" w:eastAsia="Times New Roman" w:hAnsi="Arial" w:cs="Arial"/>
          <w:color w:val="000000"/>
          <w:sz w:val="24"/>
          <w:szCs w:val="24"/>
          <w:lang w:val="en-US" w:eastAsia="nl-NL"/>
        </w:rPr>
        <w:t xml:space="preserve"> the same fairness considerations raised above.</w:t>
      </w:r>
    </w:p>
    <w:p w14:paraId="69F849CE" w14:textId="77777777" w:rsidR="00040F41" w:rsidRDefault="00040F41" w:rsidP="009C41BB">
      <w:pPr>
        <w:rPr>
          <w:lang w:val="en-US"/>
        </w:rPr>
      </w:pPr>
    </w:p>
    <w:p w14:paraId="7A9D32E6" w14:textId="3E47F7C0"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xml:space="preserve">: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w:t>
      </w:r>
      <w:r>
        <w:lastRenderedPageBreak/>
        <w:t>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lastRenderedPageBreak/>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xml:space="preserve">: Do you agree that the current version of the templates capture all the information needed for retail investors to understand the characteristics of the products? Do you have views on how to further simplify the language in the </w:t>
      </w:r>
      <w:r>
        <w:lastRenderedPageBreak/>
        <w:t>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lastRenderedPageBreak/>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8DFBAB1" w14:textId="64A7AF57" w:rsidR="00040F41" w:rsidRDefault="00040F41" w:rsidP="00040F41">
      <w:pPr>
        <w:spacing w:after="0" w:line="240" w:lineRule="auto"/>
        <w:rPr>
          <w:rFonts w:ascii="Arial" w:eastAsia="Times New Roman" w:hAnsi="Arial" w:cs="Arial"/>
          <w:color w:val="000000"/>
          <w:sz w:val="24"/>
          <w:szCs w:val="24"/>
          <w:lang w:val="en-US" w:eastAsia="nl-NL"/>
        </w:rPr>
      </w:pPr>
      <w:r w:rsidRPr="00040F41">
        <w:rPr>
          <w:rFonts w:ascii="Arial" w:eastAsia="Times New Roman" w:hAnsi="Arial" w:cs="Arial"/>
          <w:color w:val="000000"/>
          <w:sz w:val="24"/>
          <w:szCs w:val="24"/>
          <w:lang w:val="en-US" w:eastAsia="nl-NL"/>
        </w:rPr>
        <w:t xml:space="preserve">We are concerned that a strict approach to Taxonomy assessment, that must rely on information reported by investee companies (presumably in the context of their annual report or other form of audited document possibly meeting a similar standard of assurance of information disclosed under the CSRD), would not be feasible for certain types of financial products. This is particularly the case of investments in small undertakings, private </w:t>
      </w:r>
      <w:proofErr w:type="gramStart"/>
      <w:r w:rsidRPr="00040F41">
        <w:rPr>
          <w:rFonts w:ascii="Arial" w:eastAsia="Times New Roman" w:hAnsi="Arial" w:cs="Arial"/>
          <w:color w:val="000000"/>
          <w:sz w:val="24"/>
          <w:szCs w:val="24"/>
          <w:lang w:val="en-US" w:eastAsia="nl-NL"/>
        </w:rPr>
        <w:t>equity</w:t>
      </w:r>
      <w:proofErr w:type="gramEnd"/>
      <w:r w:rsidRPr="00040F41">
        <w:rPr>
          <w:rFonts w:ascii="Arial" w:eastAsia="Times New Roman" w:hAnsi="Arial" w:cs="Arial"/>
          <w:color w:val="000000"/>
          <w:sz w:val="24"/>
          <w:szCs w:val="24"/>
          <w:lang w:val="en-US" w:eastAsia="nl-NL"/>
        </w:rPr>
        <w:t xml:space="preserve"> and microcredit institutions - especially in non-EU countries. These investments may pursue environmental objectives and possibly may even be Taxonomy-aligned. Indicating 0% Taxonomy alignment because the required information cannot be produced by the investee company would not result in an adequate depiction of the sustainability characteristics of these investments. The approach to usable data in the Taxonomy Art. 8 Delegated Regulation has been designed for entities reporting under the NFRD/CSRD, and should not be transposed to small undertakings, private equities, microcredit institutions especially in non-EU countries without the possibility to use proxies and other type of information as part of the assessment.</w:t>
      </w:r>
    </w:p>
    <w:p w14:paraId="0FFE8163" w14:textId="77777777" w:rsidR="00040F41" w:rsidRPr="00040F41" w:rsidRDefault="00040F41" w:rsidP="00040F41">
      <w:pPr>
        <w:spacing w:after="0" w:line="240" w:lineRule="auto"/>
        <w:rPr>
          <w:rFonts w:ascii="Arial" w:eastAsia="Times New Roman" w:hAnsi="Arial" w:cs="Arial"/>
          <w:color w:val="000000"/>
          <w:sz w:val="24"/>
          <w:szCs w:val="24"/>
          <w:lang w:val="en-US" w:eastAsia="nl-NL"/>
        </w:rPr>
      </w:pPr>
    </w:p>
    <w:p w14:paraId="08A6D8BD" w14:textId="03B604B8"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1F096018" w14:textId="2D81C246" w:rsidR="00FE3626" w:rsidRDefault="00FE3626" w:rsidP="00FE3626">
      <w:pPr>
        <w:spacing w:after="0" w:line="240" w:lineRule="auto"/>
        <w:rPr>
          <w:rFonts w:ascii="Arial" w:eastAsia="Times New Roman" w:hAnsi="Arial" w:cs="Arial"/>
          <w:color w:val="000000"/>
          <w:sz w:val="24"/>
          <w:szCs w:val="24"/>
          <w:lang w:val="en-US" w:eastAsia="nl-NL"/>
        </w:rPr>
      </w:pPr>
      <w:r w:rsidRPr="00FE3626">
        <w:rPr>
          <w:rFonts w:ascii="Arial" w:eastAsia="Times New Roman" w:hAnsi="Arial" w:cs="Arial"/>
          <w:color w:val="000000"/>
          <w:sz w:val="24"/>
          <w:szCs w:val="24"/>
          <w:lang w:val="en-US" w:eastAsia="nl-NL"/>
        </w:rPr>
        <w:t xml:space="preserve">It should be clarified that that cash is not </w:t>
      </w:r>
      <w:r>
        <w:rPr>
          <w:rFonts w:ascii="Arial" w:eastAsia="Times New Roman" w:hAnsi="Arial" w:cs="Arial"/>
          <w:color w:val="000000"/>
          <w:sz w:val="24"/>
          <w:szCs w:val="24"/>
          <w:lang w:val="en-US" w:eastAsia="nl-NL"/>
        </w:rPr>
        <w:t>an</w:t>
      </w:r>
      <w:r w:rsidRPr="00FE3626">
        <w:rPr>
          <w:rFonts w:ascii="Arial" w:eastAsia="Times New Roman" w:hAnsi="Arial" w:cs="Arial"/>
          <w:color w:val="000000"/>
          <w:sz w:val="24"/>
          <w:szCs w:val="24"/>
          <w:lang w:val="en-US" w:eastAsia="nl-NL"/>
        </w:rPr>
        <w:t xml:space="preserve"> ' investments' and </w:t>
      </w:r>
      <w:r>
        <w:rPr>
          <w:rFonts w:ascii="Arial" w:eastAsia="Times New Roman" w:hAnsi="Arial" w:cs="Arial"/>
          <w:color w:val="000000"/>
          <w:sz w:val="24"/>
          <w:szCs w:val="24"/>
          <w:lang w:val="en-US" w:eastAsia="nl-NL"/>
        </w:rPr>
        <w:t xml:space="preserve">should be excluded from </w:t>
      </w:r>
      <w:r w:rsidRPr="00FE3626">
        <w:rPr>
          <w:rFonts w:ascii="Arial" w:eastAsia="Times New Roman" w:hAnsi="Arial" w:cs="Arial"/>
          <w:color w:val="000000"/>
          <w:sz w:val="24"/>
          <w:szCs w:val="24"/>
          <w:lang w:val="en-US" w:eastAsia="nl-NL"/>
        </w:rPr>
        <w:t>the cal</w:t>
      </w:r>
      <w:r>
        <w:rPr>
          <w:rFonts w:ascii="Arial" w:eastAsia="Times New Roman" w:hAnsi="Arial" w:cs="Arial"/>
          <w:color w:val="000000"/>
          <w:sz w:val="24"/>
          <w:szCs w:val="24"/>
          <w:lang w:val="en-US" w:eastAsia="nl-NL"/>
        </w:rPr>
        <w:t>c</w:t>
      </w:r>
      <w:r w:rsidRPr="00FE3626">
        <w:rPr>
          <w:rFonts w:ascii="Arial" w:eastAsia="Times New Roman" w:hAnsi="Arial" w:cs="Arial"/>
          <w:color w:val="000000"/>
          <w:sz w:val="24"/>
          <w:szCs w:val="24"/>
          <w:lang w:val="en-US" w:eastAsia="nl-NL"/>
        </w:rPr>
        <w:t xml:space="preserve">ulation of </w:t>
      </w:r>
      <w:r>
        <w:rPr>
          <w:rFonts w:ascii="Arial" w:eastAsia="Times New Roman" w:hAnsi="Arial" w:cs="Arial"/>
          <w:color w:val="000000"/>
          <w:sz w:val="24"/>
          <w:szCs w:val="24"/>
          <w:lang w:val="en-US" w:eastAsia="nl-NL"/>
        </w:rPr>
        <w:t>the proportion of sustainable investments.</w:t>
      </w:r>
      <w:r w:rsidRPr="00FE3626">
        <w:rPr>
          <w:rFonts w:ascii="Arial" w:eastAsia="Times New Roman" w:hAnsi="Arial" w:cs="Arial"/>
          <w:color w:val="000000"/>
          <w:sz w:val="24"/>
          <w:szCs w:val="24"/>
          <w:lang w:val="en-US" w:eastAsia="nl-NL"/>
        </w:rPr>
        <w:br/>
        <w:t xml:space="preserve">There are currently various approach to determine the level of sustainable investment objective which results in consumer confusion and the misleading </w:t>
      </w:r>
      <w:r w:rsidRPr="00FE3626">
        <w:rPr>
          <w:rFonts w:ascii="Arial" w:eastAsia="Times New Roman" w:hAnsi="Arial" w:cs="Arial"/>
          <w:color w:val="000000"/>
          <w:sz w:val="24"/>
          <w:szCs w:val="24"/>
          <w:lang w:val="en-US" w:eastAsia="nl-NL"/>
        </w:rPr>
        <w:lastRenderedPageBreak/>
        <w:t>situation that, due to cash, some Art. 9 products display less than a 100% level of sustainable investment, despite all the invested assets are in sustainable investment. The RTS should clarify that the percentage of sustainable investment shou</w:t>
      </w:r>
      <w:r>
        <w:rPr>
          <w:rFonts w:ascii="Arial" w:eastAsia="Times New Roman" w:hAnsi="Arial" w:cs="Arial"/>
          <w:color w:val="000000"/>
          <w:sz w:val="24"/>
          <w:szCs w:val="24"/>
          <w:lang w:val="en-US" w:eastAsia="nl-NL"/>
        </w:rPr>
        <w:t>l</w:t>
      </w:r>
      <w:r w:rsidRPr="00FE3626">
        <w:rPr>
          <w:rFonts w:ascii="Arial" w:eastAsia="Times New Roman" w:hAnsi="Arial" w:cs="Arial"/>
          <w:color w:val="000000"/>
          <w:sz w:val="24"/>
          <w:szCs w:val="24"/>
          <w:lang w:val="en-US" w:eastAsia="nl-NL"/>
        </w:rPr>
        <w:t>d be determined with a formula that excludes from the denominator cash and hedging instruments for which no contribution to a sustainable investment objective can be determined. In this way, an Art. 9 product would always display a 100% percentage of sustainable investment, as expected by investors and in line with the first Commission Q&amp;A. The share of cash and hedging instruments should be disclosed separately from this figure.</w:t>
      </w:r>
    </w:p>
    <w:p w14:paraId="6606C594" w14:textId="77777777" w:rsidR="00FE3626" w:rsidRPr="00FE3626" w:rsidRDefault="00FE3626" w:rsidP="00FE3626">
      <w:pPr>
        <w:spacing w:after="0" w:line="240" w:lineRule="auto"/>
        <w:rPr>
          <w:rFonts w:ascii="Arial" w:eastAsia="Times New Roman" w:hAnsi="Arial" w:cs="Arial"/>
          <w:color w:val="000000"/>
          <w:sz w:val="24"/>
          <w:szCs w:val="24"/>
          <w:lang w:val="en-US" w:eastAsia="nl-NL"/>
        </w:rPr>
      </w:pPr>
    </w:p>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lastRenderedPageBreak/>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0319" w14:textId="77777777" w:rsidR="007F401C" w:rsidRDefault="007F401C" w:rsidP="00707738">
      <w:pPr>
        <w:spacing w:after="0" w:line="240" w:lineRule="auto"/>
      </w:pPr>
      <w:r>
        <w:separator/>
      </w:r>
    </w:p>
  </w:endnote>
  <w:endnote w:type="continuationSeparator" w:id="0">
    <w:p w14:paraId="78111643" w14:textId="77777777" w:rsidR="007F401C" w:rsidRDefault="007F401C"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6745" w14:textId="77777777" w:rsidR="007F401C" w:rsidRDefault="007F401C" w:rsidP="00707738">
      <w:pPr>
        <w:spacing w:after="0" w:line="240" w:lineRule="auto"/>
      </w:pPr>
      <w:r>
        <w:separator/>
      </w:r>
    </w:p>
  </w:footnote>
  <w:footnote w:type="continuationSeparator" w:id="0">
    <w:p w14:paraId="53687D52" w14:textId="77777777" w:rsidR="007F401C" w:rsidRDefault="007F401C"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0F41"/>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46A15"/>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343C"/>
    <w:rsid w:val="0030468D"/>
    <w:rsid w:val="00304BA4"/>
    <w:rsid w:val="00306553"/>
    <w:rsid w:val="003065F3"/>
    <w:rsid w:val="00306795"/>
    <w:rsid w:val="00310EEC"/>
    <w:rsid w:val="00311609"/>
    <w:rsid w:val="003118A8"/>
    <w:rsid w:val="00312973"/>
    <w:rsid w:val="00314878"/>
    <w:rsid w:val="003149D4"/>
    <w:rsid w:val="00314A34"/>
    <w:rsid w:val="003169AC"/>
    <w:rsid w:val="0032244F"/>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2CD"/>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61A"/>
    <w:rsid w:val="00452FA3"/>
    <w:rsid w:val="00454488"/>
    <w:rsid w:val="0045475E"/>
    <w:rsid w:val="00454BF0"/>
    <w:rsid w:val="004567D1"/>
    <w:rsid w:val="00463478"/>
    <w:rsid w:val="004678B2"/>
    <w:rsid w:val="00473535"/>
    <w:rsid w:val="00473C6D"/>
    <w:rsid w:val="0047433B"/>
    <w:rsid w:val="00476C6C"/>
    <w:rsid w:val="00476EF6"/>
    <w:rsid w:val="00477DA2"/>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128"/>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401C"/>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40"/>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D71C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345AF"/>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626"/>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customStyle="1" w:styleId="paragraph">
    <w:name w:val="paragraph"/>
    <w:basedOn w:val="Normal"/>
    <w:rsid w:val="00040F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73819069">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19693004">
      <w:bodyDiv w:val="1"/>
      <w:marLeft w:val="0"/>
      <w:marRight w:val="0"/>
      <w:marTop w:val="0"/>
      <w:marBottom w:val="0"/>
      <w:divBdr>
        <w:top w:val="none" w:sz="0" w:space="0" w:color="auto"/>
        <w:left w:val="none" w:sz="0" w:space="0" w:color="auto"/>
        <w:bottom w:val="none" w:sz="0" w:space="0" w:color="auto"/>
        <w:right w:val="none" w:sz="0" w:space="0" w:color="auto"/>
      </w:divBdr>
    </w:div>
    <w:div w:id="17087519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455832074">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3444130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097750051">
      <w:bodyDiv w:val="1"/>
      <w:marLeft w:val="0"/>
      <w:marRight w:val="0"/>
      <w:marTop w:val="0"/>
      <w:marBottom w:val="0"/>
      <w:divBdr>
        <w:top w:val="none" w:sz="0" w:space="0" w:color="auto"/>
        <w:left w:val="none" w:sz="0" w:space="0" w:color="auto"/>
        <w:bottom w:val="none" w:sz="0" w:space="0" w:color="auto"/>
        <w:right w:val="none" w:sz="0" w:space="0" w:color="auto"/>
      </w:divBdr>
    </w:div>
    <w:div w:id="1172917019">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12323577">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576549974">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63807892">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 w:id="21322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270</TotalTime>
  <Pages>18</Pages>
  <Words>4433</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Carlijn Kamp</cp:lastModifiedBy>
  <cp:revision>4</cp:revision>
  <cp:lastPrinted>2022-02-14T13:26:00Z</cp:lastPrinted>
  <dcterms:created xsi:type="dcterms:W3CDTF">2023-07-03T19:38:00Z</dcterms:created>
  <dcterms:modified xsi:type="dcterms:W3CDTF">2023-07-03T19:39:00Z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