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Reply form</w:t>
      </w:r>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EndPr/>
          <w:sdtContent>
            <w:tc>
              <w:tcPr>
                <w:tcW w:w="5595" w:type="dxa"/>
                <w:shd w:val="clear" w:color="auto" w:fill="auto"/>
                <w:vAlign w:val="center"/>
              </w:tcPr>
              <w:p w14:paraId="2D662032" w14:textId="3FE10E39" w:rsidR="005418F4" w:rsidRPr="005418F4" w:rsidRDefault="00D6745E" w:rsidP="005418F4">
                <w:pPr>
                  <w:spacing w:after="250"/>
                  <w:rPr>
                    <w:rFonts w:ascii="Arial" w:eastAsiaTheme="minorEastAsia" w:hAnsi="Arial" w:cs="Arial"/>
                    <w:color w:val="808080"/>
                    <w:szCs w:val="20"/>
                  </w:rPr>
                </w:pPr>
                <w:r>
                  <w:rPr>
                    <w:rFonts w:ascii="Arial" w:eastAsiaTheme="minorEastAsia" w:hAnsi="Arial" w:cs="Arial"/>
                    <w:color w:val="808080"/>
                    <w:szCs w:val="20"/>
                  </w:rPr>
                  <w:t>Insight Investment Europe</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42C23A12" w:rsidR="005418F4" w:rsidRPr="005418F4" w:rsidRDefault="008B43F2"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6745E">
                  <w:rPr>
                    <w:rFonts w:ascii="Arial" w:eastAsiaTheme="minorEastAsia" w:hAnsi="Arial" w:cs="Arial"/>
                    <w:color w:val="1A1A1A" w:themeColor="background1" w:themeShade="1A"/>
                    <w:szCs w:val="20"/>
                  </w:rPr>
                  <w:t>Investment Services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67C0DEAE" w14:textId="77777777" w:rsidR="005418F4" w:rsidRPr="005418F4" w:rsidRDefault="005418F4" w:rsidP="005418F4">
                <w:pPr>
                  <w:spacing w:after="250"/>
                  <w:rPr>
                    <w:rFonts w:ascii="Arial" w:eastAsiaTheme="minorEastAsia" w:hAnsi="Arial" w:cs="Arial"/>
                    <w:color w:val="1A1A1A" w:themeColor="background1" w:themeShade="1A"/>
                    <w:szCs w:val="20"/>
                  </w:rPr>
                </w:pPr>
                <w:r w:rsidRPr="005418F4">
                  <w:rPr>
                    <w:rFonts w:ascii="Segoe UI Symbol" w:eastAsiaTheme="minorEastAsia" w:hAnsi="Segoe UI Symbol" w:cs="Segoe UI Symbol"/>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3909AD44" w:rsidR="005418F4" w:rsidRPr="005418F4" w:rsidRDefault="00D6745E"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Europe</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B3506C">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08C71F9D" w14:textId="77777777" w:rsidR="00D6745E" w:rsidRDefault="00D6745E" w:rsidP="00D6745E">
      <w:pPr>
        <w:pStyle w:val="Default"/>
        <w:rPr>
          <w:rFonts w:asciiTheme="minorHAnsi" w:hAnsiTheme="minorHAnsi" w:cstheme="minorBidi"/>
          <w:color w:val="auto"/>
          <w:sz w:val="22"/>
          <w:szCs w:val="22"/>
        </w:rPr>
      </w:pPr>
      <w:permStart w:id="1348034591" w:edGrp="everyone"/>
      <w:r w:rsidRPr="00EB10C8">
        <w:rPr>
          <w:rFonts w:asciiTheme="minorHAnsi" w:hAnsiTheme="minorHAnsi" w:cstheme="minorBidi"/>
          <w:color w:val="auto"/>
          <w:sz w:val="22"/>
          <w:szCs w:val="22"/>
        </w:rPr>
        <w:t xml:space="preserve">While we do not object to introducing social indicators in principle, we do not support </w:t>
      </w:r>
      <w:r>
        <w:rPr>
          <w:rFonts w:asciiTheme="minorHAnsi" w:hAnsiTheme="minorHAnsi" w:cstheme="minorBidi"/>
          <w:color w:val="auto"/>
          <w:sz w:val="22"/>
          <w:szCs w:val="22"/>
        </w:rPr>
        <w:t xml:space="preserve">their introduction </w:t>
      </w:r>
      <w:r w:rsidRPr="00EB10C8">
        <w:rPr>
          <w:rFonts w:asciiTheme="minorHAnsi" w:hAnsiTheme="minorHAnsi" w:cstheme="minorBidi"/>
          <w:color w:val="auto"/>
          <w:sz w:val="22"/>
          <w:szCs w:val="22"/>
        </w:rPr>
        <w:t>at this stage. There are already data gap</w:t>
      </w:r>
      <w:r>
        <w:rPr>
          <w:rFonts w:asciiTheme="minorHAnsi" w:hAnsiTheme="minorHAnsi" w:cstheme="minorBidi"/>
          <w:color w:val="auto"/>
          <w:sz w:val="22"/>
          <w:szCs w:val="22"/>
        </w:rPr>
        <w:t>s</w:t>
      </w:r>
      <w:r w:rsidRPr="00EB10C8">
        <w:rPr>
          <w:rFonts w:asciiTheme="minorHAnsi" w:hAnsiTheme="minorHAnsi" w:cstheme="minorBidi"/>
          <w:color w:val="auto"/>
          <w:sz w:val="22"/>
          <w:szCs w:val="22"/>
        </w:rPr>
        <w:t xml:space="preserve"> for existing PAIs that need to be resolved, and we expect significant data gaps to </w:t>
      </w:r>
      <w:r>
        <w:rPr>
          <w:rFonts w:asciiTheme="minorHAnsi" w:hAnsiTheme="minorHAnsi" w:cstheme="minorBidi"/>
          <w:color w:val="auto"/>
          <w:sz w:val="22"/>
          <w:szCs w:val="22"/>
        </w:rPr>
        <w:t>affect</w:t>
      </w:r>
      <w:r w:rsidRPr="00EB10C8">
        <w:rPr>
          <w:rFonts w:asciiTheme="minorHAnsi" w:hAnsiTheme="minorHAnsi" w:cstheme="minorBidi"/>
          <w:color w:val="auto"/>
          <w:sz w:val="22"/>
          <w:szCs w:val="22"/>
        </w:rPr>
        <w:t xml:space="preserve"> the proposed social indicators</w:t>
      </w:r>
      <w:r>
        <w:rPr>
          <w:rFonts w:asciiTheme="minorHAnsi" w:hAnsiTheme="minorHAnsi" w:cstheme="minorBidi"/>
          <w:color w:val="auto"/>
          <w:sz w:val="22"/>
          <w:szCs w:val="22"/>
        </w:rPr>
        <w:t>. Furthermore, we recommend the European Commission concludes its SFDR level 1 review before introducing new components to SFDR.</w:t>
      </w:r>
    </w:p>
    <w:p w14:paraId="5A14762B" w14:textId="77777777" w:rsidR="00D6745E" w:rsidRDefault="00D6745E" w:rsidP="00D6745E">
      <w:pPr>
        <w:pStyle w:val="Default"/>
        <w:rPr>
          <w:rFonts w:asciiTheme="minorHAnsi" w:hAnsiTheme="minorHAnsi" w:cstheme="minorBidi"/>
          <w:color w:val="auto"/>
          <w:sz w:val="22"/>
          <w:szCs w:val="22"/>
        </w:rPr>
      </w:pPr>
    </w:p>
    <w:p w14:paraId="5E0628EF" w14:textId="77777777" w:rsidR="00D6745E" w:rsidRDefault="00D6745E" w:rsidP="00D6745E">
      <w:pPr>
        <w:pStyle w:val="Default"/>
        <w:rPr>
          <w:rFonts w:asciiTheme="minorHAnsi" w:hAnsiTheme="minorHAnsi" w:cstheme="minorBidi"/>
          <w:color w:val="auto"/>
          <w:sz w:val="22"/>
          <w:szCs w:val="22"/>
        </w:rPr>
      </w:pPr>
      <w:bookmarkStart w:id="1" w:name="_Hlk137130000"/>
      <w:r>
        <w:rPr>
          <w:rFonts w:asciiTheme="minorHAnsi" w:hAnsiTheme="minorHAnsi" w:cstheme="minorBidi"/>
          <w:color w:val="auto"/>
          <w:sz w:val="22"/>
          <w:szCs w:val="22"/>
        </w:rPr>
        <w:t>Some points we wish to make on the specific social indicators:</w:t>
      </w:r>
    </w:p>
    <w:p w14:paraId="2D5D4672" w14:textId="77777777" w:rsidR="00D6745E" w:rsidRDefault="00D6745E" w:rsidP="00D6745E">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 xml:space="preserve">We believe that only companies that derive material revenue from the manufacture of tobacco should be included within the social indicators. This distinguishes it from distributors of tobacco which we believe should not be in scope for the social PAIs. </w:t>
      </w:r>
    </w:p>
    <w:p w14:paraId="6E645349" w14:textId="77777777" w:rsidR="00D6745E" w:rsidRDefault="00D6745E" w:rsidP="00D6745E">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Some of the indicators are also very jurisdiction dependent and can be seen as being overly punitive for emerging market investments. Emerging markets are typically laggards on social indicators but have a lot of scope for improvement.</w:t>
      </w:r>
    </w:p>
    <w:p w14:paraId="19DC097D" w14:textId="77777777" w:rsidR="00D6745E" w:rsidRDefault="00D6745E" w:rsidP="00D6745E">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 xml:space="preserve">We question whether it is appropriate to penalise firms that are resident in a non-cooperative tax jurisdiction without any further qualification or acknowledgement as to their reason for being so. </w:t>
      </w:r>
    </w:p>
    <w:p w14:paraId="2964BE87" w14:textId="50AA10AF" w:rsidR="00D6745E" w:rsidRDefault="00D6745E" w:rsidP="00D6745E">
      <w:pPr>
        <w:pStyle w:val="Default"/>
        <w:numPr>
          <w:ilvl w:val="0"/>
          <w:numId w:val="43"/>
        </w:numPr>
        <w:rPr>
          <w:rFonts w:asciiTheme="minorHAnsi" w:hAnsiTheme="minorHAnsi" w:cstheme="minorBidi"/>
          <w:color w:val="auto"/>
          <w:sz w:val="22"/>
          <w:szCs w:val="22"/>
        </w:rPr>
      </w:pPr>
      <w:r>
        <w:rPr>
          <w:rFonts w:asciiTheme="minorHAnsi" w:hAnsiTheme="minorHAnsi" w:cstheme="minorBidi"/>
          <w:color w:val="auto"/>
          <w:sz w:val="22"/>
          <w:szCs w:val="22"/>
        </w:rPr>
        <w:t>We caution against the introduction of labour market indicators. It would be difficult to have a one-</w:t>
      </w:r>
      <w:r w:rsidR="00504BD9">
        <w:rPr>
          <w:rFonts w:asciiTheme="minorHAnsi" w:hAnsiTheme="minorHAnsi" w:cstheme="minorBidi"/>
          <w:color w:val="auto"/>
          <w:sz w:val="22"/>
          <w:szCs w:val="22"/>
        </w:rPr>
        <w:t>size-fits-</w:t>
      </w:r>
      <w:r>
        <w:rPr>
          <w:rFonts w:asciiTheme="minorHAnsi" w:hAnsiTheme="minorHAnsi" w:cstheme="minorBidi"/>
          <w:color w:val="auto"/>
          <w:sz w:val="22"/>
          <w:szCs w:val="22"/>
        </w:rPr>
        <w:t xml:space="preserve">all approach here as labour markets vary across jurisdictions and industries. Furthermore, we believe wages and employment should be primarily managed and subject to local laws and regulations rather than driven by participants in the financial markets. </w:t>
      </w:r>
    </w:p>
    <w:bookmarkEnd w:id="1"/>
    <w:p w14:paraId="4A55641A" w14:textId="057230CF" w:rsidR="009C41BB" w:rsidRDefault="009C41BB" w:rsidP="009C41BB"/>
    <w:permEnd w:id="1348034591"/>
    <w:p w14:paraId="48EE2711" w14:textId="77777777" w:rsidR="009C41BB" w:rsidRDefault="009C41BB" w:rsidP="009C41BB">
      <w:r>
        <w:t>&lt;ESMA_QUESTION_SFDR_1&gt;</w:t>
      </w:r>
    </w:p>
    <w:p w14:paraId="735D870C" w14:textId="77777777" w:rsidR="009C41BB" w:rsidRDefault="009C41BB" w:rsidP="009C41BB"/>
    <w:p w14:paraId="6612C953" w14:textId="77777777" w:rsidR="009C41BB" w:rsidRDefault="009C41BB" w:rsidP="00B3506C">
      <w:pPr>
        <w:pStyle w:val="Questionstyle"/>
        <w:numPr>
          <w:ilvl w:val="0"/>
          <w:numId w:val="42"/>
        </w:numPr>
      </w:pPr>
      <w:bookmarkStart w:id="2" w:name="_Hlk131609829"/>
      <w:r>
        <w:t>: Would you recommend any other mandatory social indicator or adjust any of the ones proposed?</w:t>
      </w:r>
    </w:p>
    <w:bookmarkEnd w:id="2"/>
    <w:p w14:paraId="79C259A1" w14:textId="77777777" w:rsidR="009C41BB" w:rsidRDefault="009C41BB" w:rsidP="009C41BB">
      <w:r>
        <w:t>&lt;ESMA_QUESTION_SFDR_2&gt;</w:t>
      </w:r>
    </w:p>
    <w:p w14:paraId="2FF56595" w14:textId="2BE42A9B" w:rsidR="009C41BB" w:rsidRDefault="00D6745E" w:rsidP="00D6745E">
      <w:pPr>
        <w:pStyle w:val="Default"/>
        <w:rPr>
          <w:rFonts w:asciiTheme="minorHAnsi" w:hAnsiTheme="minorHAnsi" w:cstheme="minorBidi"/>
          <w:color w:val="auto"/>
          <w:sz w:val="22"/>
          <w:szCs w:val="22"/>
        </w:rPr>
      </w:pPr>
      <w:permStart w:id="1140268191" w:edGrp="everyone"/>
      <w:r>
        <w:rPr>
          <w:rFonts w:asciiTheme="minorHAnsi" w:hAnsiTheme="minorHAnsi" w:cstheme="minorBidi"/>
          <w:color w:val="auto"/>
          <w:sz w:val="22"/>
          <w:szCs w:val="22"/>
        </w:rPr>
        <w:t xml:space="preserve">As per our response to Question 1, we do </w:t>
      </w:r>
      <w:r w:rsidRPr="00494EC7">
        <w:rPr>
          <w:rFonts w:asciiTheme="minorHAnsi" w:hAnsiTheme="minorHAnsi" w:cstheme="minorBidi"/>
          <w:color w:val="auto"/>
          <w:sz w:val="22"/>
          <w:szCs w:val="22"/>
        </w:rPr>
        <w:t>not recommend any other mandatory social indicators</w:t>
      </w:r>
      <w:r>
        <w:rPr>
          <w:rFonts w:asciiTheme="minorHAnsi" w:hAnsiTheme="minorHAnsi" w:cstheme="minorBidi"/>
          <w:color w:val="auto"/>
          <w:sz w:val="22"/>
          <w:szCs w:val="22"/>
        </w:rPr>
        <w:t xml:space="preserve"> at this point</w:t>
      </w:r>
      <w:r w:rsidRPr="00494EC7">
        <w:rPr>
          <w:rFonts w:asciiTheme="minorHAnsi" w:hAnsiTheme="minorHAnsi" w:cstheme="minorBidi"/>
          <w:color w:val="auto"/>
          <w:sz w:val="22"/>
          <w:szCs w:val="22"/>
        </w:rPr>
        <w:t xml:space="preserve">. </w:t>
      </w:r>
    </w:p>
    <w:p w14:paraId="6B433660" w14:textId="77777777" w:rsidR="00D6745E" w:rsidRPr="00D6745E" w:rsidRDefault="00D6745E" w:rsidP="00D6745E">
      <w:pPr>
        <w:pStyle w:val="Default"/>
        <w:rPr>
          <w:rFonts w:asciiTheme="minorHAnsi" w:hAnsiTheme="minorHAnsi" w:cstheme="minorBidi"/>
          <w:color w:val="auto"/>
          <w:sz w:val="22"/>
          <w:szCs w:val="22"/>
        </w:rPr>
      </w:pPr>
    </w:p>
    <w:permEnd w:id="1140268191"/>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rsidP="00B3506C">
      <w:pPr>
        <w:pStyle w:val="Questionstyle"/>
        <w:numPr>
          <w:ilvl w:val="0"/>
          <w:numId w:val="42"/>
        </w:numPr>
      </w:pPr>
      <w:bookmarkStart w:id="3"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3"/>
    <w:p w14:paraId="1FA47A9C" w14:textId="77777777" w:rsidR="009C41BB" w:rsidRDefault="009C41BB" w:rsidP="009C41BB">
      <w:r>
        <w:t>&lt;ESMA_QUESTION_SFDR_3&gt;</w:t>
      </w:r>
    </w:p>
    <w:p w14:paraId="5D99C839" w14:textId="77777777" w:rsidR="00D6745E" w:rsidRDefault="00D6745E" w:rsidP="00D6745E">
      <w:pPr>
        <w:rPr>
          <w:rFonts w:cstheme="minorHAnsi"/>
        </w:rPr>
      </w:pPr>
      <w:permStart w:id="1930569352" w:edGrp="everyone"/>
      <w:r>
        <w:rPr>
          <w:rFonts w:cstheme="minorHAnsi"/>
        </w:rPr>
        <w:t xml:space="preserve">As set out in our response to Question 1, we generally do not support the inclusion of social indicators at this point.  </w:t>
      </w:r>
    </w:p>
    <w:p w14:paraId="6FA30F64" w14:textId="19EBAC15" w:rsidR="00D6745E" w:rsidRDefault="00D6745E" w:rsidP="00D6745E">
      <w:pPr>
        <w:pStyle w:val="Default"/>
        <w:rPr>
          <w:rFonts w:asciiTheme="minorHAnsi" w:hAnsiTheme="minorHAnsi" w:cstheme="minorBidi"/>
          <w:color w:val="auto"/>
          <w:sz w:val="22"/>
          <w:szCs w:val="22"/>
        </w:rPr>
      </w:pPr>
      <w:r>
        <w:rPr>
          <w:rFonts w:asciiTheme="minorHAnsi" w:hAnsiTheme="minorHAnsi" w:cstheme="minorBidi"/>
          <w:color w:val="auto"/>
          <w:sz w:val="22"/>
          <w:szCs w:val="22"/>
        </w:rPr>
        <w:t>We caution against the introduction of indicators relating to the labour market. It would be difficult to have a one-</w:t>
      </w:r>
      <w:r w:rsidR="00504BD9">
        <w:rPr>
          <w:rFonts w:asciiTheme="minorHAnsi" w:hAnsiTheme="minorHAnsi" w:cstheme="minorBidi"/>
          <w:color w:val="auto"/>
          <w:sz w:val="22"/>
          <w:szCs w:val="22"/>
        </w:rPr>
        <w:t>size-fits-</w:t>
      </w:r>
      <w:r>
        <w:rPr>
          <w:rFonts w:asciiTheme="minorHAnsi" w:hAnsiTheme="minorHAnsi" w:cstheme="minorBidi"/>
          <w:color w:val="auto"/>
          <w:sz w:val="22"/>
          <w:szCs w:val="22"/>
        </w:rPr>
        <w:t xml:space="preserve">all approach as labours vary across jurisdictions and industries. Furthermore, we believe wages and employment should be primarily managed and subject to local laws and regulations rather than driven by participants in the financial markets. </w:t>
      </w:r>
    </w:p>
    <w:p w14:paraId="040088C5" w14:textId="55E21704" w:rsidR="009C41BB" w:rsidRDefault="009C41BB" w:rsidP="009C41BB"/>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B3506C">
      <w:pPr>
        <w:pStyle w:val="Questionstyle"/>
        <w:numPr>
          <w:ilvl w:val="0"/>
          <w:numId w:val="42"/>
        </w:numPr>
      </w:pPr>
      <w:bookmarkStart w:id="4" w:name="_Hlk131609831"/>
      <w:r>
        <w:t>: Would you recommend any other social indicator or adjust any of the ones proposed?</w:t>
      </w:r>
    </w:p>
    <w:bookmarkEnd w:id="4"/>
    <w:p w14:paraId="6BC5AA32" w14:textId="77777777" w:rsidR="009C41BB" w:rsidRDefault="009C41BB" w:rsidP="009C41BB">
      <w:r>
        <w:t>&lt;ESMA_QUESTION_SFDR_4&gt;</w:t>
      </w:r>
    </w:p>
    <w:p w14:paraId="5D6FCF13" w14:textId="77777777" w:rsidR="00D6745E" w:rsidRDefault="00D6745E" w:rsidP="00D6745E">
      <w:permStart w:id="2056993415" w:edGrp="everyone"/>
      <w:r>
        <w:t>As per our response to Question 1, we are not in favour of introducing social indicators at this point including additional opt-in indicators</w:t>
      </w:r>
      <w:r w:rsidRPr="00494EC7">
        <w:t>. However</w:t>
      </w:r>
      <w:r>
        <w:t>, at a later stage</w:t>
      </w:r>
      <w:r w:rsidRPr="00494EC7">
        <w:t xml:space="preserve">, </w:t>
      </w:r>
      <w:r>
        <w:t xml:space="preserve">in principle </w:t>
      </w:r>
      <w:r w:rsidRPr="00494EC7">
        <w:t xml:space="preserve">we </w:t>
      </w:r>
      <w:r>
        <w:t>believe</w:t>
      </w:r>
      <w:r w:rsidRPr="00494EC7">
        <w:t xml:space="preserve"> a broader approach to diversity metrics</w:t>
      </w:r>
      <w:r>
        <w:t>,</w:t>
      </w:r>
      <w:r w:rsidRPr="00494EC7">
        <w:t xml:space="preserve"> such as including minority groups and ethnicities</w:t>
      </w:r>
      <w:r>
        <w:t>, could be considered.</w:t>
      </w:r>
    </w:p>
    <w:p w14:paraId="191F2CF6" w14:textId="4F5A7CBA" w:rsidR="009C41BB" w:rsidRDefault="009C41BB" w:rsidP="009C41BB"/>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B3506C">
      <w:pPr>
        <w:pStyle w:val="Questionstyle"/>
        <w:numPr>
          <w:ilvl w:val="0"/>
          <w:numId w:val="42"/>
        </w:numPr>
      </w:pPr>
      <w:bookmarkStart w:id="5"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5"/>
    <w:p w14:paraId="0BC3C8F3" w14:textId="77777777" w:rsidR="009C41BB" w:rsidRDefault="009C41BB" w:rsidP="009C41BB">
      <w:r>
        <w:t>&lt;ESMA_QUESTION_SFDR_5&gt;</w:t>
      </w:r>
    </w:p>
    <w:p w14:paraId="2970CD02" w14:textId="77777777" w:rsidR="001F1572" w:rsidRDefault="001F1572" w:rsidP="001F1572">
      <w:permStart w:id="452221127" w:edGrp="everyone"/>
      <w:r w:rsidRPr="00B974EF">
        <w:t xml:space="preserve">We agree with the changes due to an increased focus on alignment with the taxonomy and </w:t>
      </w:r>
      <w:r>
        <w:t>European Sustainability Reporting Standards (</w:t>
      </w:r>
      <w:r w:rsidRPr="00B974EF">
        <w:t>ESRS</w:t>
      </w:r>
      <w:r>
        <w:t>)</w:t>
      </w:r>
      <w:r w:rsidRPr="00B974EF">
        <w:t>.</w:t>
      </w:r>
      <w:r>
        <w:t xml:space="preserve"> This consistency is welcomed. </w:t>
      </w:r>
    </w:p>
    <w:p w14:paraId="7100C321" w14:textId="6591E7A7" w:rsidR="009C41BB" w:rsidRDefault="009C41BB" w:rsidP="009C41BB"/>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B3506C">
      <w:pPr>
        <w:pStyle w:val="Questionstyle"/>
        <w:numPr>
          <w:ilvl w:val="0"/>
          <w:numId w:val="42"/>
        </w:numPr>
      </w:pPr>
      <w:bookmarkStart w:id="6" w:name="_Hlk131609834"/>
      <w:r>
        <w:t>: For real estate assets, do you consider relevant to apply any PAI indicator related to social matters to the entity in charge of the management of the real estate assets the FMP invested in?</w:t>
      </w:r>
    </w:p>
    <w:bookmarkEnd w:id="6"/>
    <w:p w14:paraId="686F603D" w14:textId="77777777" w:rsidR="009C41BB" w:rsidRDefault="009C41BB" w:rsidP="009C41BB">
      <w:r>
        <w:t>&lt;ESMA_QUESTION_SFDR_6&gt;</w:t>
      </w:r>
    </w:p>
    <w:p w14:paraId="13CBEF29" w14:textId="77777777" w:rsidR="009C41BB" w:rsidRDefault="009C41BB" w:rsidP="009C41BB">
      <w:permStart w:id="887372501" w:edGrp="everyone"/>
      <w:r>
        <w:t>TYPE YOUR TEXT HERE</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rsidP="00B3506C">
      <w:pPr>
        <w:pStyle w:val="Questionstyle"/>
        <w:numPr>
          <w:ilvl w:val="0"/>
          <w:numId w:val="42"/>
        </w:numPr>
      </w:pPr>
      <w:bookmarkStart w:id="7"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7"/>
    <w:p w14:paraId="7DF73432" w14:textId="77777777" w:rsidR="009C41BB" w:rsidRDefault="009C41BB" w:rsidP="009C41BB">
      <w:r>
        <w:t>&lt;ESMA_QUESTION_SFDR_7&gt;</w:t>
      </w:r>
    </w:p>
    <w:p w14:paraId="0F9A5495" w14:textId="77777777" w:rsidR="009C41BB" w:rsidRDefault="009C41BB" w:rsidP="009C41BB">
      <w:permStart w:id="1335120249" w:edGrp="everyone"/>
      <w:r>
        <w:t>TYPE YOUR TEXT HERE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B3506C">
      <w:pPr>
        <w:pStyle w:val="Questionstyle"/>
        <w:numPr>
          <w:ilvl w:val="0"/>
          <w:numId w:val="42"/>
        </w:numPr>
      </w:pPr>
      <w:bookmarkStart w:id="8" w:name="_Hlk131609837"/>
      <w:r>
        <w:t>: Do you see any challenges in the interaction between the definition ‘enterprise value’ and ‘current value of investment’ for the calculation of the PAI indicators?</w:t>
      </w:r>
    </w:p>
    <w:bookmarkEnd w:id="8"/>
    <w:p w14:paraId="0563F3C0" w14:textId="77777777" w:rsidR="009C41BB" w:rsidRDefault="009C41BB" w:rsidP="009C41BB">
      <w:r>
        <w:t>&lt;ESMA_QUESTION_SFDR_8&gt;</w:t>
      </w:r>
    </w:p>
    <w:p w14:paraId="668ACE9C" w14:textId="62699E1B" w:rsidR="009C41BB" w:rsidRDefault="001F1572" w:rsidP="009C41BB">
      <w:permStart w:id="1288714632" w:edGrp="everyone"/>
      <w:r>
        <w:t>We do not see any challenges in relation to this change for us.</w:t>
      </w:r>
    </w:p>
    <w:permEnd w:id="1288714632"/>
    <w:p w14:paraId="762529E9" w14:textId="77777777" w:rsidR="009C41BB" w:rsidRDefault="009C41BB" w:rsidP="009C41BB">
      <w:r>
        <w:lastRenderedPageBreak/>
        <w:t>&lt;ESMA_QUESTION_SFDR_8&gt;</w:t>
      </w:r>
    </w:p>
    <w:p w14:paraId="0AC5B76C" w14:textId="77777777" w:rsidR="009C41BB" w:rsidRDefault="009C41BB" w:rsidP="009C41BB"/>
    <w:p w14:paraId="5E1A73BD" w14:textId="77777777" w:rsidR="009C41BB" w:rsidRDefault="009C41BB" w:rsidP="00B3506C">
      <w:pPr>
        <w:pStyle w:val="Questionstyle"/>
        <w:numPr>
          <w:ilvl w:val="0"/>
          <w:numId w:val="42"/>
        </w:numPr>
      </w:pPr>
      <w:bookmarkStart w:id="9" w:name="_Hlk131609838"/>
      <w:r>
        <w:t xml:space="preserve">: Do you have any comments or proposed adjustments to the new formulae suggested in Annex I?  </w:t>
      </w:r>
    </w:p>
    <w:bookmarkEnd w:id="9"/>
    <w:p w14:paraId="37D6FAC5" w14:textId="77777777" w:rsidR="009C41BB" w:rsidRDefault="009C41BB" w:rsidP="009C41BB">
      <w:r>
        <w:t>&lt;ESMA_QUESTION_SFDR_9&gt;</w:t>
      </w:r>
    </w:p>
    <w:p w14:paraId="4D5F1AA0" w14:textId="77777777" w:rsidR="009C41BB" w:rsidRDefault="009C41BB" w:rsidP="009C41BB">
      <w:permStart w:id="2059607147" w:edGrp="everyone"/>
      <w:r>
        <w:t>TYPE YOUR TEXT HERE</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B3506C">
      <w:pPr>
        <w:pStyle w:val="Questionstyle"/>
        <w:numPr>
          <w:ilvl w:val="0"/>
          <w:numId w:val="42"/>
        </w:numPr>
      </w:pPr>
      <w:bookmarkStart w:id="10"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10"/>
    <w:p w14:paraId="59ECBC6E" w14:textId="77777777" w:rsidR="009C41BB" w:rsidRDefault="009C41BB" w:rsidP="009C41BB">
      <w:r>
        <w:t>&lt;ESMA_QUESTION_SFDR_10&gt;</w:t>
      </w:r>
    </w:p>
    <w:p w14:paraId="6A059EBA" w14:textId="77777777" w:rsidR="009C41BB" w:rsidRDefault="009C41BB" w:rsidP="009C41BB">
      <w:permStart w:id="1591695117" w:edGrp="everyone"/>
      <w:r>
        <w:t>TYPE YOUR TEXT HERE</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B3506C">
      <w:pPr>
        <w:pStyle w:val="Questionstyle"/>
        <w:numPr>
          <w:ilvl w:val="0"/>
          <w:numId w:val="42"/>
        </w:numPr>
      </w:pPr>
      <w:bookmarkStart w:id="11" w:name="_Hlk131609841"/>
      <w:r>
        <w:t>: Do you agree with the proposal to require the disclosure of the share of information for the PAI indicators for which the financial market participant relies on information directly from investee companies?</w:t>
      </w:r>
    </w:p>
    <w:bookmarkEnd w:id="11"/>
    <w:p w14:paraId="3B6463EF" w14:textId="77777777" w:rsidR="009C41BB" w:rsidRDefault="009C41BB" w:rsidP="009C41BB">
      <w:r>
        <w:t>&lt;ESMA_QUESTION_SFDR_11&gt;</w:t>
      </w:r>
    </w:p>
    <w:p w14:paraId="66BB840D" w14:textId="39F3E9A3" w:rsidR="001F1572" w:rsidRDefault="001F1572" w:rsidP="001F1572">
      <w:bookmarkStart w:id="12" w:name="_Hlk136358882"/>
      <w:permStart w:id="1653823566" w:edGrp="everyone"/>
      <w:r>
        <w:t xml:space="preserve">We do not support this. We rely on data from vendors for populating PAIs and </w:t>
      </w:r>
      <w:r w:rsidR="00504BD9">
        <w:t>the source of the underlying information is not currently provided</w:t>
      </w:r>
      <w:r>
        <w:t xml:space="preserve">. </w:t>
      </w:r>
      <w:r w:rsidR="00504BD9">
        <w:t xml:space="preserve">Requiring this </w:t>
      </w:r>
      <w:r>
        <w:t>would add another layer of complexity and we do not see the added benefit of reporting this to the investor. We believe this provides a level of detail that is likely to cause confusion for most investors.</w:t>
      </w:r>
    </w:p>
    <w:bookmarkEnd w:id="12"/>
    <w:p w14:paraId="155A94A1" w14:textId="5EF13643" w:rsidR="009C41BB" w:rsidRDefault="009C41BB" w:rsidP="009C41BB"/>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B3506C">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lastRenderedPageBreak/>
        <w:t>&lt;ESMA_QUESTION_SFDR_12&gt;</w:t>
      </w:r>
    </w:p>
    <w:p w14:paraId="719C6A47" w14:textId="77777777" w:rsidR="001F1572" w:rsidRDefault="001F1572" w:rsidP="001F1572">
      <w:permStart w:id="684359195" w:edGrp="everyone"/>
      <w:r w:rsidRPr="00DA7416">
        <w:t xml:space="preserve">We </w:t>
      </w:r>
      <w:proofErr w:type="gramStart"/>
      <w:r>
        <w:t>are in agreement</w:t>
      </w:r>
      <w:proofErr w:type="gramEnd"/>
      <w:r>
        <w:t xml:space="preserve"> </w:t>
      </w:r>
      <w:r w:rsidRPr="00DA7416">
        <w:t>with this approach</w:t>
      </w:r>
      <w:r>
        <w:t xml:space="preserve"> in principle. We support the current value of ‘all investments’ proposed by ESMA as this reflects the net asset value of a fund. ESMA may wish to consider stating this explicitly. </w:t>
      </w:r>
    </w:p>
    <w:p w14:paraId="070CBD69" w14:textId="27FB5FF1" w:rsidR="009C41BB" w:rsidRDefault="009C41BB" w:rsidP="009C41BB"/>
    <w:permEnd w:id="684359195"/>
    <w:p w14:paraId="0ECB2AE8" w14:textId="77777777" w:rsidR="009C41BB" w:rsidRDefault="009C41BB" w:rsidP="009C41BB">
      <w:r>
        <w:t>&lt;ESMA_QUESTION_SFDR_12&gt;</w:t>
      </w:r>
    </w:p>
    <w:p w14:paraId="2339BDE1" w14:textId="77777777" w:rsidR="009C41BB" w:rsidRDefault="009C41BB" w:rsidP="009C41BB"/>
    <w:p w14:paraId="79363208" w14:textId="77777777" w:rsidR="009C41BB" w:rsidRDefault="009C41BB" w:rsidP="00B3506C">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1209242A" w14:textId="77777777" w:rsidR="001F1572" w:rsidRDefault="001F1572" w:rsidP="001F1572">
      <w:permStart w:id="1426525783" w:edGrp="everyone"/>
      <w:r w:rsidRPr="00316B63">
        <w:t>We do not agree</w:t>
      </w:r>
      <w:r>
        <w:t xml:space="preserve">, </w:t>
      </w:r>
      <w:r w:rsidRPr="00316B63">
        <w:t xml:space="preserve">as </w:t>
      </w:r>
      <w:r>
        <w:t xml:space="preserve">this could penalise companies that are more transparent over those that fail to report such information. </w:t>
      </w:r>
    </w:p>
    <w:p w14:paraId="0B24FE33" w14:textId="77777777" w:rsidR="001F1572" w:rsidRDefault="001F1572" w:rsidP="001F1572">
      <w:r>
        <w:t>Furthermore, we believe the PAI framework is already complex. Including information on the supply chain of investee companies would add a further layer of complexity and increase data coverage problems.</w:t>
      </w:r>
    </w:p>
    <w:p w14:paraId="09BEAAC5" w14:textId="77777777" w:rsidR="001F1572" w:rsidRDefault="001F1572" w:rsidP="001F1572">
      <w:r>
        <w:t xml:space="preserve">When SFDR is more established, and there are sufficient regulatory processes in place for corporates to report this so that data is available, this proposal may be appropriate. </w:t>
      </w:r>
    </w:p>
    <w:p w14:paraId="07B8A78C" w14:textId="6A747DC0" w:rsidR="009C41BB" w:rsidRDefault="009C41BB" w:rsidP="009C41BB"/>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B3506C">
      <w:pPr>
        <w:pStyle w:val="Questionstyle"/>
        <w:numPr>
          <w:ilvl w:val="0"/>
          <w:numId w:val="42"/>
        </w:numPr>
      </w:pPr>
      <w:r>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4F09B9CB" w14:textId="77777777" w:rsidR="001F1572" w:rsidRDefault="001F1572" w:rsidP="001F1572">
      <w:permStart w:id="1609050593" w:edGrp="everyone"/>
      <w:r w:rsidRPr="003D7B2D">
        <w:t xml:space="preserve">We </w:t>
      </w:r>
      <w:r>
        <w:t xml:space="preserve">broadly </w:t>
      </w:r>
      <w:r w:rsidRPr="003D7B2D">
        <w:t>agree</w:t>
      </w:r>
      <w:r>
        <w:t xml:space="preserve"> with the proposals put forward for the treatment of derivatives. </w:t>
      </w:r>
    </w:p>
    <w:p w14:paraId="2B5606E3" w14:textId="77777777" w:rsidR="001F1572" w:rsidRDefault="001F1572" w:rsidP="001F1572">
      <w:r>
        <w:t xml:space="preserve">However, for PAI calculations, we believe that broad market indices </w:t>
      </w:r>
      <w:r w:rsidRPr="00B868A3">
        <w:t xml:space="preserve">and baskets with more than </w:t>
      </w:r>
      <w:r>
        <w:t>10</w:t>
      </w:r>
      <w:r w:rsidRPr="00B868A3">
        <w:t xml:space="preserve"> single names should be out of scope where the index does not have any option to purchase the underlying assets. These instruments</w:t>
      </w:r>
      <w:r>
        <w:t xml:space="preserve"> are typically used for hedging and efficient portfolio management purposes, used to obtain market exposure in a cost-efficient manner, and are highly diversified. We therefore do not think it is appropriate to look through to the underlying issuers when the index does not offer the option to purchase the assets. </w:t>
      </w:r>
    </w:p>
    <w:p w14:paraId="187BA651" w14:textId="6BD1146E" w:rsidR="009C41BB" w:rsidRDefault="009C41BB" w:rsidP="009C41BB"/>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B3506C">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21A073AB" w14:textId="4B3DAB12" w:rsidR="001F1572" w:rsidRDefault="001F1572" w:rsidP="001F1572">
      <w:permStart w:id="8979202" w:edGrp="everyone"/>
      <w:r>
        <w:t xml:space="preserve">We broadly agree with the proposal. However, </w:t>
      </w:r>
      <w:bookmarkStart w:id="13" w:name="_Hlk136445611"/>
      <w:r>
        <w:t>we believe that ESMA should exclude certain derivatives</w:t>
      </w:r>
      <w:r w:rsidR="00504BD9">
        <w:t xml:space="preserve"> – </w:t>
      </w:r>
      <w:r>
        <w:t xml:space="preserve">especially those where the underlying instrument is not linked to exposure to an issuing entity such as derivatives on interest rates, </w:t>
      </w:r>
      <w:proofErr w:type="gramStart"/>
      <w:r>
        <w:t>currencies</w:t>
      </w:r>
      <w:proofErr w:type="gramEnd"/>
      <w:r>
        <w:t xml:space="preserve"> and inflation </w:t>
      </w:r>
      <w:r w:rsidR="009D6EDA">
        <w:t xml:space="preserve">– </w:t>
      </w:r>
      <w:r>
        <w:t xml:space="preserve">from the calculations in the numerator. </w:t>
      </w:r>
    </w:p>
    <w:bookmarkEnd w:id="13"/>
    <w:p w14:paraId="14A8C247" w14:textId="19BA7829" w:rsidR="009C41BB" w:rsidRDefault="009C41BB" w:rsidP="009C41BB"/>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Pr="00B3506C" w:rsidRDefault="009C41BB" w:rsidP="00B3506C">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0E24FDE8" w14:textId="77777777" w:rsidR="005F4292" w:rsidRDefault="005F4292" w:rsidP="005F4292">
      <w:permStart w:id="1228814638" w:edGrp="everyone"/>
      <w:r>
        <w:t xml:space="preserve">We believe that only derivatives and instruments where the underlying instrument is linked to exposure to an issuing entity should be in scope (for example, derivatives on credit, equity and sovereigns). We do not believe that derivatives linked to interest rates, currencies and inflation should be in scope. </w:t>
      </w:r>
    </w:p>
    <w:p w14:paraId="178B62C5" w14:textId="175760B0" w:rsidR="009C41BB" w:rsidRDefault="009C41BB" w:rsidP="009C41BB"/>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B3506C">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37CCBE6E" w14:textId="08A2905E" w:rsidR="005F4292" w:rsidRPr="006371EC" w:rsidRDefault="005F4292" w:rsidP="005F4292">
      <w:pPr>
        <w:pStyle w:val="Default"/>
        <w:rPr>
          <w:color w:val="auto"/>
          <w:sz w:val="22"/>
          <w:szCs w:val="22"/>
        </w:rPr>
      </w:pPr>
      <w:permStart w:id="791154279" w:edGrp="everyone"/>
      <w:r w:rsidRPr="006371EC">
        <w:rPr>
          <w:color w:val="auto"/>
          <w:sz w:val="22"/>
          <w:szCs w:val="22"/>
        </w:rPr>
        <w:t xml:space="preserve">We agree with </w:t>
      </w:r>
      <w:r w:rsidR="00B3506C">
        <w:rPr>
          <w:color w:val="auto"/>
          <w:sz w:val="22"/>
          <w:szCs w:val="22"/>
        </w:rPr>
        <w:t xml:space="preserve">ESA’s </w:t>
      </w:r>
      <w:r w:rsidRPr="006371EC">
        <w:rPr>
          <w:color w:val="auto"/>
          <w:sz w:val="22"/>
          <w:szCs w:val="22"/>
        </w:rPr>
        <w:t xml:space="preserve">assessment of the DNSH </w:t>
      </w:r>
      <w:proofErr w:type="gramStart"/>
      <w:r w:rsidRPr="006371EC">
        <w:rPr>
          <w:color w:val="auto"/>
          <w:sz w:val="22"/>
          <w:szCs w:val="22"/>
        </w:rPr>
        <w:t>regime</w:t>
      </w:r>
      <w:proofErr w:type="gramEnd"/>
      <w:r w:rsidRPr="006371EC">
        <w:rPr>
          <w:color w:val="auto"/>
          <w:sz w:val="22"/>
          <w:szCs w:val="22"/>
        </w:rPr>
        <w:t xml:space="preserve"> but we do not agree that significant changes should be made to the regime at this stage. Firms have already implemented their policies and </w:t>
      </w:r>
      <w:proofErr w:type="gramStart"/>
      <w:r>
        <w:rPr>
          <w:color w:val="auto"/>
          <w:sz w:val="22"/>
          <w:szCs w:val="22"/>
        </w:rPr>
        <w:t>in light of</w:t>
      </w:r>
      <w:proofErr w:type="gramEnd"/>
      <w:r>
        <w:rPr>
          <w:color w:val="auto"/>
          <w:sz w:val="22"/>
          <w:szCs w:val="22"/>
        </w:rPr>
        <w:t xml:space="preserve"> </w:t>
      </w:r>
      <w:r w:rsidRPr="006371EC">
        <w:rPr>
          <w:color w:val="auto"/>
          <w:sz w:val="22"/>
          <w:szCs w:val="22"/>
        </w:rPr>
        <w:t xml:space="preserve">the expected level 1 review we do not believe this is the right time to be reviewing this regime. We would therefore prefer </w:t>
      </w:r>
      <w:r w:rsidR="00B3506C">
        <w:rPr>
          <w:color w:val="auto"/>
          <w:sz w:val="22"/>
          <w:szCs w:val="22"/>
        </w:rPr>
        <w:t xml:space="preserve">the ESAs </w:t>
      </w:r>
      <w:r>
        <w:rPr>
          <w:color w:val="auto"/>
          <w:sz w:val="22"/>
          <w:szCs w:val="22"/>
        </w:rPr>
        <w:t xml:space="preserve">to </w:t>
      </w:r>
      <w:r w:rsidRPr="006371EC">
        <w:rPr>
          <w:color w:val="auto"/>
          <w:sz w:val="22"/>
          <w:szCs w:val="22"/>
        </w:rPr>
        <w:t>maintain</w:t>
      </w:r>
      <w:r>
        <w:rPr>
          <w:color w:val="auto"/>
          <w:sz w:val="22"/>
          <w:szCs w:val="22"/>
        </w:rPr>
        <w:t xml:space="preserve"> the</w:t>
      </w:r>
      <w:r w:rsidRPr="006371EC">
        <w:rPr>
          <w:color w:val="auto"/>
          <w:sz w:val="22"/>
          <w:szCs w:val="22"/>
        </w:rPr>
        <w:t xml:space="preserve"> status quo. </w:t>
      </w:r>
      <w:r>
        <w:rPr>
          <w:color w:val="auto"/>
          <w:sz w:val="22"/>
          <w:szCs w:val="22"/>
        </w:rPr>
        <w:t>H</w:t>
      </w:r>
      <w:r w:rsidRPr="006371EC">
        <w:rPr>
          <w:color w:val="auto"/>
          <w:sz w:val="22"/>
          <w:szCs w:val="22"/>
        </w:rPr>
        <w:t>owever</w:t>
      </w:r>
      <w:r>
        <w:rPr>
          <w:color w:val="auto"/>
          <w:sz w:val="22"/>
          <w:szCs w:val="22"/>
        </w:rPr>
        <w:t>, we</w:t>
      </w:r>
      <w:r w:rsidRPr="006371EC">
        <w:rPr>
          <w:color w:val="auto"/>
          <w:sz w:val="22"/>
          <w:szCs w:val="22"/>
        </w:rPr>
        <w:t xml:space="preserve"> agree there is </w:t>
      </w:r>
      <w:r w:rsidRPr="006371EC">
        <w:rPr>
          <w:color w:val="auto"/>
          <w:sz w:val="22"/>
          <w:szCs w:val="22"/>
        </w:rPr>
        <w:lastRenderedPageBreak/>
        <w:t xml:space="preserve">value in ensuring that a ‘safe-harbour’ exists in the DNSH regime for investments that meet the relevant Taxonomy Regulation. </w:t>
      </w:r>
    </w:p>
    <w:p w14:paraId="7DDA6D60" w14:textId="4D685D36" w:rsidR="009C41BB" w:rsidRDefault="009C41BB" w:rsidP="009C41BB"/>
    <w:permEnd w:id="791154279"/>
    <w:p w14:paraId="3FA2FE7A" w14:textId="77777777" w:rsidR="009C41BB" w:rsidRDefault="009C41BB" w:rsidP="009C41BB">
      <w:r>
        <w:t>&lt;ESMA_QUESTION_SFDR_17&gt;</w:t>
      </w:r>
    </w:p>
    <w:p w14:paraId="6B0958DF" w14:textId="77777777" w:rsidR="009C41BB" w:rsidRDefault="009C41BB" w:rsidP="009C41BB"/>
    <w:p w14:paraId="60A358F2" w14:textId="77777777" w:rsidR="009C41BB" w:rsidRDefault="009C41BB" w:rsidP="00B3506C">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27914A84" w:rsidR="009C41BB" w:rsidRDefault="005F4292" w:rsidP="009C41BB">
      <w:permStart w:id="984368250" w:edGrp="everyone"/>
      <w:r w:rsidRPr="006B21FE">
        <w:t xml:space="preserve">We do not </w:t>
      </w:r>
      <w:r w:rsidR="009D6EDA">
        <w:t xml:space="preserve">currently </w:t>
      </w:r>
      <w:r w:rsidRPr="006B21FE">
        <w:t>consider disclosure of quantitative thresholds for PAI</w:t>
      </w:r>
      <w:r w:rsidR="009D6EDA">
        <w:t xml:space="preserve"> indicators</w:t>
      </w:r>
      <w:r>
        <w:t xml:space="preserve"> relevant. As we expect data on PAI indicators to develop and improve over the short and medium term, this might lead to ongoing review and tailoring of the internal PAI frameworks of the FMPs in response. This in turn </w:t>
      </w:r>
      <w:r w:rsidR="009D6EDA">
        <w:t xml:space="preserve">could </w:t>
      </w:r>
      <w:r>
        <w:t>lead to frequent updating of pre-contractual and periodic reporting, which clients might consider confusing.</w:t>
      </w:r>
    </w:p>
    <w:p w14:paraId="420C5713" w14:textId="77777777" w:rsidR="005F4292" w:rsidRDefault="005F4292" w:rsidP="005F4292">
      <w:r>
        <w:t xml:space="preserve">Furthermore, we are not in favour of disclosing granular PAI thresholds as we believe PAIs should be considered in the context of the specific asset class and geography of the relevant instrument. These additional nuances are quantitative as well as qualitative. </w:t>
      </w:r>
    </w:p>
    <w:p w14:paraId="00028976" w14:textId="77777777" w:rsidR="005F4292" w:rsidRDefault="005F4292" w:rsidP="009C41BB"/>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B3506C">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35FA08B8" w:rsidR="009C41BB" w:rsidRDefault="005F4292" w:rsidP="009C41BB">
      <w:permStart w:id="403253184" w:edGrp="everyone"/>
      <w:r w:rsidRPr="003C0749">
        <w:t>Yes, as these investments pass the already robust DNSH test for taxonomy</w:t>
      </w:r>
      <w:r w:rsidR="009D6EDA">
        <w:t>-</w:t>
      </w:r>
      <w:r w:rsidRPr="003C0749">
        <w:t>aligned activities</w:t>
      </w:r>
      <w:r>
        <w:t>.</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B3506C">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5C4501CC" w14:textId="41B63C9A" w:rsidR="005F4292" w:rsidRDefault="005F4292" w:rsidP="005F4292">
      <w:pPr>
        <w:rPr>
          <w:color w:val="000000" w:themeColor="text1"/>
        </w:rPr>
      </w:pPr>
      <w:permStart w:id="10765956" w:edGrp="everyone"/>
      <w:r w:rsidRPr="000C0A1D">
        <w:rPr>
          <w:color w:val="000000" w:themeColor="text1"/>
        </w:rPr>
        <w:lastRenderedPageBreak/>
        <w:t xml:space="preserve">We agree with this approach. We are in favour of using the </w:t>
      </w:r>
      <w:r w:rsidR="009D6EDA">
        <w:rPr>
          <w:color w:val="000000" w:themeColor="text1"/>
        </w:rPr>
        <w:t>‘</w:t>
      </w:r>
      <w:r w:rsidRPr="000C0A1D">
        <w:rPr>
          <w:color w:val="000000" w:themeColor="text1"/>
        </w:rPr>
        <w:t>minimum safeguards</w:t>
      </w:r>
      <w:r w:rsidR="009D6EDA">
        <w:rPr>
          <w:color w:val="000000" w:themeColor="text1"/>
        </w:rPr>
        <w:t>’</w:t>
      </w:r>
      <w:r w:rsidRPr="000C0A1D">
        <w:rPr>
          <w:color w:val="000000" w:themeColor="text1"/>
        </w:rPr>
        <w:t xml:space="preserve"> concept of the taxonomy to replace the good governance test</w:t>
      </w:r>
      <w:r>
        <w:rPr>
          <w:color w:val="000000" w:themeColor="text1"/>
        </w:rPr>
        <w:t xml:space="preserve"> as we believe it is a more all-encompassing way to look at DNSH.</w:t>
      </w:r>
    </w:p>
    <w:p w14:paraId="01E16D6A" w14:textId="141A9EA6" w:rsidR="009C41BB" w:rsidRDefault="009C41BB" w:rsidP="009C41BB"/>
    <w:permEnd w:id="10765956"/>
    <w:p w14:paraId="402F2518" w14:textId="77777777" w:rsidR="009C41BB" w:rsidRDefault="009C41BB" w:rsidP="009C41BB">
      <w:r>
        <w:t>&lt;ESMA_QUESTION_SFDR_20&gt;</w:t>
      </w:r>
    </w:p>
    <w:p w14:paraId="6BAEDC4A" w14:textId="77777777" w:rsidR="009C41BB" w:rsidRDefault="009C41BB" w:rsidP="009C41BB"/>
    <w:p w14:paraId="2E45FA2C" w14:textId="77777777" w:rsidR="009C41BB" w:rsidRDefault="009C41BB" w:rsidP="00B3506C">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77777777" w:rsidR="009C41BB" w:rsidRDefault="009C41BB" w:rsidP="009C41BB">
      <w:permStart w:id="1098926409" w:edGrp="everyone"/>
      <w:r>
        <w:t>TYPE YOUR TEXT HERE</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B3506C">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138D6195" w14:textId="77777777" w:rsidR="005F4292" w:rsidRDefault="005F4292" w:rsidP="005F4292">
      <w:permStart w:id="2084635173" w:edGrp="everyone"/>
      <w:r>
        <w:t>We believe a degree of product disclosures on greenhouse gas (GHG) emissions would be appropriate for products that commit to decarbonisation. However, products without any GHG emission reduction targets should not be required to disclose GHG emissions.</w:t>
      </w:r>
    </w:p>
    <w:p w14:paraId="6D5BB63B" w14:textId="228997B3" w:rsidR="009C41BB" w:rsidRDefault="009C41BB" w:rsidP="009C41BB"/>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B3506C">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34C0471A" w14:textId="77777777" w:rsidR="005F4292" w:rsidRDefault="005F4292" w:rsidP="005F4292">
      <w:permStart w:id="762907966" w:edGrp="everyone"/>
      <w:r w:rsidRPr="00E8351E">
        <w:t>We agree that when a product passively tracks a P</w:t>
      </w:r>
      <w:r>
        <w:t xml:space="preserve">aris Aligned </w:t>
      </w:r>
      <w:r w:rsidRPr="00E8351E">
        <w:t>B</w:t>
      </w:r>
      <w:r>
        <w:t>enchmark</w:t>
      </w:r>
      <w:r w:rsidRPr="00E8351E">
        <w:t xml:space="preserve"> or C</w:t>
      </w:r>
      <w:r>
        <w:t xml:space="preserve">limate </w:t>
      </w:r>
      <w:r w:rsidRPr="00E8351E">
        <w:t>T</w:t>
      </w:r>
      <w:r>
        <w:t xml:space="preserve">ransition </w:t>
      </w:r>
      <w:r w:rsidRPr="00E8351E">
        <w:t>B</w:t>
      </w:r>
      <w:r>
        <w:t>enchmark,</w:t>
      </w:r>
      <w:r w:rsidRPr="00E8351E">
        <w:t xml:space="preserve"> a hyperlink to a description of the benchmark methodology should be provided.</w:t>
      </w:r>
    </w:p>
    <w:p w14:paraId="6E5D944F" w14:textId="0B220FAE" w:rsidR="009C41BB" w:rsidRDefault="009C41BB" w:rsidP="009C41BB"/>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rsidP="00B3506C">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1230F308" w14:textId="77777777" w:rsidR="005F4292" w:rsidRDefault="005F4292" w:rsidP="005F4292">
      <w:permStart w:id="1536640680" w:edGrp="everyone"/>
      <w:r>
        <w:t xml:space="preserve">Our understanding is that, although there is a distinction in approach, most investment managers will focus on using a combination of both; a reduction in financed emissions and a commitment to achieve a reduction in investees’ emissions. </w:t>
      </w:r>
      <w:r w:rsidRPr="000E27BE">
        <w:t>Whilst it would be useful to communicate to investors how decarbonisation is achieved</w:t>
      </w:r>
      <w:r>
        <w:t xml:space="preserve"> in the relevant strategies</w:t>
      </w:r>
      <w:r w:rsidRPr="000E27BE">
        <w:t>, pushing investment managers to opt for any one approach would not be beneficial</w:t>
      </w:r>
      <w:r>
        <w:t xml:space="preserve"> as we feel it could jeopardise wider efforts to improve proper stewardship and engagement efforts amongst financial market participants. However, disclosing the diverse toolkit an investment manager has at its disposal to achieve GHG emission targets would probably lead to increased education of investors, which we feel is important as it can provide useful context (for example, why certain names with high GHG emissions might be retained in a product focused on carbon reduction, a concept that is not always well understood).</w:t>
      </w:r>
    </w:p>
    <w:p w14:paraId="2C9CFD87" w14:textId="56E7B5A9" w:rsidR="009C41BB" w:rsidRDefault="009C41BB" w:rsidP="009C41BB"/>
    <w:permEnd w:id="1536640680"/>
    <w:p w14:paraId="1DB6EA41" w14:textId="77777777" w:rsidR="009C41BB" w:rsidRDefault="009C41BB" w:rsidP="009C41BB">
      <w:r>
        <w:t>&lt;ESMA_QUESTION_SFDR_24&gt;</w:t>
      </w:r>
    </w:p>
    <w:p w14:paraId="0D457AA9" w14:textId="77777777" w:rsidR="009C41BB" w:rsidRDefault="009C41BB" w:rsidP="009C41BB"/>
    <w:p w14:paraId="3D7F5DF7" w14:textId="77777777" w:rsidR="009C41BB" w:rsidRDefault="009C41BB" w:rsidP="00B3506C">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66B35483" w14:textId="77777777" w:rsidR="005F4292" w:rsidRDefault="005F4292" w:rsidP="005F4292">
      <w:permStart w:id="1824523423" w:edGrp="everyone"/>
      <w:r>
        <w:t>We agree that once a product has a decarbonisation pathway as part of its investment strategy, this could be used as a standardised disclosure to increase comparability of products in the market.</w:t>
      </w:r>
    </w:p>
    <w:p w14:paraId="17831788" w14:textId="6E26EF32" w:rsidR="009C41BB" w:rsidRDefault="009C41BB" w:rsidP="009C41BB"/>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B3506C">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2D06CF41" w:rsidR="009C41BB" w:rsidRDefault="005F4292" w:rsidP="009C41BB">
      <w:permStart w:id="1572164812" w:edGrp="everyone"/>
      <w:r>
        <w:t>Yes</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B3506C">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FFB7648" w14:textId="77777777" w:rsidR="005F4292" w:rsidRPr="006371EC" w:rsidRDefault="005F4292" w:rsidP="005F4292">
      <w:permStart w:id="324808106" w:edGrp="everyone"/>
      <w:r w:rsidRPr="006371EC">
        <w:t xml:space="preserve">Yes, we agree with both the statements above. </w:t>
      </w:r>
    </w:p>
    <w:p w14:paraId="74E19DA1" w14:textId="224D0668" w:rsidR="009C41BB" w:rsidRDefault="009C41BB" w:rsidP="009C41BB"/>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Default="009C41BB" w:rsidP="00B3506C">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77777777" w:rsidR="009C41BB" w:rsidRDefault="009C41BB" w:rsidP="009C41BB">
      <w:permStart w:id="1690654287" w:edGrp="everyone"/>
      <w:r>
        <w:t>TYPE YOUR TEXT HERE</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B3506C">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lastRenderedPageBreak/>
        <w:t>&lt;ESMA_QUESTION_SFDR_29&gt;</w:t>
      </w:r>
    </w:p>
    <w:p w14:paraId="01449D54" w14:textId="732E6ACC" w:rsidR="005F4292" w:rsidRDefault="005F4292" w:rsidP="005F4292">
      <w:permStart w:id="811147857" w:edGrp="everyone"/>
      <w:r>
        <w:t xml:space="preserve">We are not in favour of this disclosure. Consistency between product-level and entity-level targets </w:t>
      </w:r>
      <w:r w:rsidR="0080475F">
        <w:t xml:space="preserve">is </w:t>
      </w:r>
      <w:r>
        <w:t>not always relevant</w:t>
      </w:r>
      <w:r w:rsidR="0080475F">
        <w:t>, and t</w:t>
      </w:r>
      <w:r>
        <w:t>hese targets will not make sense for all products and investments. For example, these targets will typically be far less relevant for liability-driven investment strategies than a typical credit investment strategy. Therefore, comparisons between different firms at entity-level is not meaningful as it will be largely affected by their business mix. We caution against the regime having an abundance of information that is not necessarily relevant, as it can create more confusion and reduce confidence for investors.</w:t>
      </w:r>
    </w:p>
    <w:p w14:paraId="7F9B1903" w14:textId="72CB6DEA" w:rsidR="009C41BB" w:rsidRDefault="009C41BB" w:rsidP="009C41BB"/>
    <w:permEnd w:id="811147857"/>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Default="009C41BB" w:rsidP="00B3506C">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0D49AC81" w14:textId="77777777" w:rsidR="005F4292" w:rsidRDefault="005F4292" w:rsidP="005F4292">
      <w:permStart w:id="1542225393" w:edGrp="everyone"/>
      <w:r>
        <w:t xml:space="preserve">In general we prefer not to make changes to pre-contractual and periodic disclosures as it would undermine comparability with historical reports. </w:t>
      </w:r>
      <w:proofErr w:type="gramStart"/>
      <w:r>
        <w:t>That being said, where</w:t>
      </w:r>
      <w:proofErr w:type="gramEnd"/>
      <w:r>
        <w:t xml:space="preserve"> improvements are suggested, this may be appropriate.  We request that ESMA factors in a reasonable time for the industry to implement the changes once the new templates are finalised.</w:t>
      </w:r>
    </w:p>
    <w:p w14:paraId="0032ED2A" w14:textId="54138E5F" w:rsidR="009C41BB" w:rsidRDefault="009C41BB" w:rsidP="009C41BB"/>
    <w:permEnd w:id="1542225393"/>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rsidP="00B3506C">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4A991AED" w14:textId="77777777" w:rsidR="009C41BB" w:rsidRDefault="009C41BB" w:rsidP="009C41BB">
      <w:permStart w:id="782583199" w:edGrp="everyone"/>
      <w:r>
        <w:t>TYPE YOUR TEXT HERE</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B3506C">
      <w:pPr>
        <w:pStyle w:val="Questionstyle"/>
        <w:numPr>
          <w:ilvl w:val="0"/>
          <w:numId w:val="42"/>
        </w:numPr>
      </w:pPr>
      <w:r>
        <w:lastRenderedPageBreak/>
        <w:t>: Do you have any suggestion on how to further simplify or enhance the legibility of the current templates?</w:t>
      </w:r>
    </w:p>
    <w:p w14:paraId="484B5EB7" w14:textId="77777777" w:rsidR="009C41BB" w:rsidRDefault="009C41BB" w:rsidP="009C41BB">
      <w:r>
        <w:t>&lt;ESMA_QUESTION_SFDR_32&gt;</w:t>
      </w:r>
    </w:p>
    <w:p w14:paraId="0E7D78E9" w14:textId="77777777" w:rsidR="009C41BB" w:rsidRDefault="009C41BB" w:rsidP="009C41BB">
      <w:permStart w:id="1403335001" w:edGrp="everyone"/>
      <w:r>
        <w:t>TYPE YOUR TEXT HERE</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B3506C">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640BD2EB" w14:textId="77777777" w:rsidR="00A84F41" w:rsidRPr="006371EC" w:rsidRDefault="00A84F41" w:rsidP="00A84F41">
      <w:permStart w:id="1422073065" w:edGrp="everyone"/>
      <w:r>
        <w:t xml:space="preserve">We agree that it may be beneficial to remove the asset allocation table as it is not easy to understand and is likely to cause confusion for retail investors. </w:t>
      </w:r>
    </w:p>
    <w:p w14:paraId="4623C717" w14:textId="3538EDE9" w:rsidR="009C41BB" w:rsidRDefault="009C41BB" w:rsidP="009C41BB"/>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B3506C">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677164D4" w14:textId="77777777" w:rsidR="00A84F41" w:rsidRDefault="00A84F41" w:rsidP="00A84F41">
      <w:permStart w:id="335090742" w:edGrp="everyone"/>
      <w:r>
        <w:t xml:space="preserve">We are fine with the proposal to change the colours. </w:t>
      </w:r>
    </w:p>
    <w:p w14:paraId="4F58A46C" w14:textId="0960F3B0" w:rsidR="009C41BB" w:rsidRDefault="009C41BB" w:rsidP="009C41BB"/>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rsidP="00B3506C">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77777777" w:rsidR="009C41BB" w:rsidRDefault="009C41BB" w:rsidP="009C41BB">
      <w:permStart w:id="1624927821" w:edGrp="everyone"/>
      <w:r>
        <w:t>TYPE YOUR TEXT HERE</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B3506C">
      <w:pPr>
        <w:pStyle w:val="Questionstyle"/>
        <w:numPr>
          <w:ilvl w:val="0"/>
          <w:numId w:val="42"/>
        </w:numPr>
      </w:pPr>
      <w:r>
        <w:lastRenderedPageBreak/>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77777777" w:rsidR="009C41BB" w:rsidRDefault="009C41BB" w:rsidP="009C41BB">
      <w:permStart w:id="1338527016" w:edGrp="everyone"/>
      <w:r>
        <w:t>TYPE YOUR TEXT HERE</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B3506C">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77777777" w:rsidR="009C41BB" w:rsidRDefault="009C41BB" w:rsidP="009C41BB">
      <w:permStart w:id="1477927507" w:edGrp="everyone"/>
      <w:r>
        <w:t>TYPE YOUR TEXT HERE</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B3506C">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61C47566" w14:textId="12DC8BFD" w:rsidR="00A84F41" w:rsidRDefault="00A84F41" w:rsidP="00A84F41">
      <w:permStart w:id="1880105875" w:edGrp="everyone"/>
      <w:r>
        <w:t>No</w:t>
      </w:r>
      <w:r w:rsidR="0080475F">
        <w:t>,</w:t>
      </w:r>
      <w:r>
        <w:t xml:space="preserve"> we do not believe this is necessary. The SFDR Q&amp;As and guidance that have been released provide sufficient guidance for the industry. In areas of ambiguity, financial market participants have developed their approach and we think it would be counterproductive at this stage to form more detailed rules on this. </w:t>
      </w:r>
    </w:p>
    <w:p w14:paraId="068B78BA" w14:textId="1FB79B10" w:rsidR="009C41BB" w:rsidRDefault="009C41BB" w:rsidP="009C41BB"/>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B3506C">
      <w:pPr>
        <w:pStyle w:val="Questionstyle"/>
        <w:numPr>
          <w:ilvl w:val="0"/>
          <w:numId w:val="4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B3506C">
      <w:pPr>
        <w:pStyle w:val="Questionstyle"/>
        <w:numPr>
          <w:ilvl w:val="0"/>
          <w:numId w:val="42"/>
        </w:numPr>
      </w:pPr>
      <w:r>
        <w:lastRenderedPageBreak/>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B3506C">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B3506C">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77777777" w:rsidR="009C41BB" w:rsidRDefault="009C41BB" w:rsidP="009C41BB">
      <w:permStart w:id="2063756698" w:edGrp="everyone"/>
      <w:r>
        <w:t>TYPE YOUR TEXT HERE</w:t>
      </w:r>
    </w:p>
    <w:permEnd w:id="2063756698"/>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Default="009C41BB" w:rsidP="00B3506C">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77777777" w:rsidR="009C41BB" w:rsidRDefault="009C41BB" w:rsidP="009C41BB">
      <w:permStart w:id="1679513234" w:edGrp="everyone"/>
      <w:r>
        <w:t>TYPE YOUR TEXT HERE</w:t>
      </w:r>
    </w:p>
    <w:permEnd w:id="1679513234"/>
    <w:p w14:paraId="76F88AAD" w14:textId="77777777" w:rsidR="009C41BB" w:rsidRDefault="009C41BB" w:rsidP="009C41BB">
      <w:r>
        <w:lastRenderedPageBreak/>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484C" w14:textId="77777777" w:rsidR="00A41B8D" w:rsidRDefault="00A41B8D" w:rsidP="00707738">
      <w:pPr>
        <w:spacing w:after="0" w:line="240" w:lineRule="auto"/>
      </w:pPr>
      <w:r>
        <w:separator/>
      </w:r>
    </w:p>
  </w:endnote>
  <w:endnote w:type="continuationSeparator" w:id="0">
    <w:p w14:paraId="290C2818" w14:textId="77777777" w:rsidR="00A41B8D" w:rsidRDefault="00A41B8D"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DAE6" w14:textId="77777777" w:rsidR="00A41B8D" w:rsidRDefault="00A41B8D" w:rsidP="00707738">
      <w:pPr>
        <w:spacing w:after="0" w:line="240" w:lineRule="auto"/>
      </w:pPr>
      <w:r>
        <w:separator/>
      </w:r>
    </w:p>
  </w:footnote>
  <w:footnote w:type="continuationSeparator" w:id="0">
    <w:p w14:paraId="60E961DD" w14:textId="77777777" w:rsidR="00A41B8D" w:rsidRDefault="00A41B8D"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58F87C04"/>
    <w:lvl w:ilvl="0" w:tplc="0376079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1B2B02"/>
    <w:multiLevelType w:val="hybridMultilevel"/>
    <w:tmpl w:val="5D02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30"/>
  </w:num>
  <w:num w:numId="6" w16cid:durableId="1277104421">
    <w:abstractNumId w:val="32"/>
  </w:num>
  <w:num w:numId="7" w16cid:durableId="242104871">
    <w:abstractNumId w:val="20"/>
  </w:num>
  <w:num w:numId="8" w16cid:durableId="522284696">
    <w:abstractNumId w:val="12"/>
  </w:num>
  <w:num w:numId="9" w16cid:durableId="1250770362">
    <w:abstractNumId w:val="8"/>
  </w:num>
  <w:num w:numId="10" w16cid:durableId="1358701701">
    <w:abstractNumId w:val="36"/>
  </w:num>
  <w:num w:numId="11" w16cid:durableId="1625037795">
    <w:abstractNumId w:val="21"/>
  </w:num>
  <w:num w:numId="12" w16cid:durableId="61487579">
    <w:abstractNumId w:val="41"/>
  </w:num>
  <w:num w:numId="13" w16cid:durableId="856233915">
    <w:abstractNumId w:val="16"/>
  </w:num>
  <w:num w:numId="14" w16cid:durableId="1381858278">
    <w:abstractNumId w:val="34"/>
  </w:num>
  <w:num w:numId="15" w16cid:durableId="402408764">
    <w:abstractNumId w:val="3"/>
  </w:num>
  <w:num w:numId="16" w16cid:durableId="1085760005">
    <w:abstractNumId w:val="29"/>
  </w:num>
  <w:num w:numId="17" w16cid:durableId="633215943">
    <w:abstractNumId w:val="5"/>
  </w:num>
  <w:num w:numId="18" w16cid:durableId="2020691353">
    <w:abstractNumId w:val="26"/>
  </w:num>
  <w:num w:numId="19" w16cid:durableId="1500385072">
    <w:abstractNumId w:val="10"/>
  </w:num>
  <w:num w:numId="20" w16cid:durableId="1520046844">
    <w:abstractNumId w:val="39"/>
  </w:num>
  <w:num w:numId="21" w16cid:durableId="748115910">
    <w:abstractNumId w:val="4"/>
  </w:num>
  <w:num w:numId="22" w16cid:durableId="717703608">
    <w:abstractNumId w:val="35"/>
  </w:num>
  <w:num w:numId="23" w16cid:durableId="600113171">
    <w:abstractNumId w:val="14"/>
  </w:num>
  <w:num w:numId="24" w16cid:durableId="241523878">
    <w:abstractNumId w:val="37"/>
  </w:num>
  <w:num w:numId="25" w16cid:durableId="80297080">
    <w:abstractNumId w:val="9"/>
  </w:num>
  <w:num w:numId="26" w16cid:durableId="576936923">
    <w:abstractNumId w:val="38"/>
  </w:num>
  <w:num w:numId="27" w16cid:durableId="379136238">
    <w:abstractNumId w:val="19"/>
  </w:num>
  <w:num w:numId="28" w16cid:durableId="1234242114">
    <w:abstractNumId w:val="17"/>
  </w:num>
  <w:num w:numId="29" w16cid:durableId="649097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8"/>
  </w:num>
  <w:num w:numId="33" w16cid:durableId="2059163146">
    <w:abstractNumId w:val="2"/>
  </w:num>
  <w:num w:numId="34" w16cid:durableId="767845549">
    <w:abstractNumId w:val="11"/>
  </w:num>
  <w:num w:numId="35" w16cid:durableId="1295915667">
    <w:abstractNumId w:val="0"/>
  </w:num>
  <w:num w:numId="36" w16cid:durableId="597906997">
    <w:abstractNumId w:val="33"/>
  </w:num>
  <w:num w:numId="37" w16cid:durableId="860432523">
    <w:abstractNumId w:val="27"/>
  </w:num>
  <w:num w:numId="38" w16cid:durableId="1880386777">
    <w:abstractNumId w:val="24"/>
  </w:num>
  <w:num w:numId="39" w16cid:durableId="140314737">
    <w:abstractNumId w:val="6"/>
  </w:num>
  <w:num w:numId="40" w16cid:durableId="399055937">
    <w:abstractNumId w:val="31"/>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18593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572"/>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7997"/>
    <w:rsid w:val="002A3A96"/>
    <w:rsid w:val="002A52F1"/>
    <w:rsid w:val="002B7CAB"/>
    <w:rsid w:val="002C5816"/>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2469"/>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63A4"/>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4BD9"/>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4292"/>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0C0"/>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475F"/>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43F2"/>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D6EDA"/>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3E4E"/>
    <w:rsid w:val="00A773FB"/>
    <w:rsid w:val="00A8089C"/>
    <w:rsid w:val="00A80C70"/>
    <w:rsid w:val="00A80FCD"/>
    <w:rsid w:val="00A822CD"/>
    <w:rsid w:val="00A8348C"/>
    <w:rsid w:val="00A83ED5"/>
    <w:rsid w:val="00A84F41"/>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6885"/>
    <w:rsid w:val="00B31E1B"/>
    <w:rsid w:val="00B329F8"/>
    <w:rsid w:val="00B32FA4"/>
    <w:rsid w:val="00B3506C"/>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905FA"/>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1915"/>
    <w:rsid w:val="00D265EA"/>
    <w:rsid w:val="00D2745E"/>
    <w:rsid w:val="00D32E53"/>
    <w:rsid w:val="00D33A4B"/>
    <w:rsid w:val="00D34BA7"/>
    <w:rsid w:val="00D36C8C"/>
    <w:rsid w:val="00D36E67"/>
    <w:rsid w:val="00D37034"/>
    <w:rsid w:val="00D42D22"/>
    <w:rsid w:val="00D44A37"/>
    <w:rsid w:val="00D51661"/>
    <w:rsid w:val="00D601D8"/>
    <w:rsid w:val="00D64526"/>
    <w:rsid w:val="00D6662D"/>
    <w:rsid w:val="00D669AC"/>
    <w:rsid w:val="00D671D2"/>
    <w:rsid w:val="00D67246"/>
    <w:rsid w:val="00D6745E"/>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B3506C"/>
    <w:pPr>
      <w:numPr>
        <w:numId w:val="38"/>
      </w:num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B3506C"/>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Props1.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2.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4.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5.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 ds:uri="40a17f77-1929-4e25-9c96-0feefab79ed5"/>
  </ds:schemaRefs>
</ds:datastoreItem>
</file>

<file path=docProps/app.xml><?xml version="1.0" encoding="utf-8"?>
<Properties xmlns="http://schemas.openxmlformats.org/officeDocument/2006/extended-properties" xmlns:vt="http://schemas.openxmlformats.org/officeDocument/2006/docPropsVTypes">
  <Template>JC ESAs letter 2023.dotx</Template>
  <TotalTime>6</TotalTime>
  <Pages>18</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Indra, Vanaja</cp:lastModifiedBy>
  <cp:revision>3</cp:revision>
  <cp:lastPrinted>2022-02-14T13:26:00Z</cp:lastPrinted>
  <dcterms:created xsi:type="dcterms:W3CDTF">2023-07-03T10:01:00Z</dcterms:created>
  <dcterms:modified xsi:type="dcterms:W3CDTF">2023-07-03T10:07:00Z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