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00C60239">
      <w:pPr>
        <w:numPr>
          <w:ilvl w:val="0"/>
          <w:numId w:val="1"/>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C60239">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C60239">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C60239">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C60239">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C60239">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C60239">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C60239">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C60239">
      <w:pPr>
        <w:numPr>
          <w:ilvl w:val="0"/>
          <w:numId w:val="1"/>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4D7ABDFD" w:rsidR="005418F4" w:rsidRPr="005418F4" w:rsidRDefault="00A67F2B" w:rsidP="005418F4">
                <w:pPr>
                  <w:spacing w:after="250"/>
                  <w:rPr>
                    <w:rFonts w:ascii="Arial" w:eastAsiaTheme="minorEastAsia" w:hAnsi="Arial" w:cs="Arial"/>
                    <w:color w:val="808080"/>
                    <w:szCs w:val="20"/>
                  </w:rPr>
                </w:pPr>
                <w:r>
                  <w:rPr>
                    <w:rFonts w:ascii="Arial" w:eastAsiaTheme="minorEastAsia" w:hAnsi="Arial" w:cs="Arial"/>
                    <w:color w:val="808080"/>
                    <w:szCs w:val="20"/>
                  </w:rPr>
                  <w:t>ESBG</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685EFC21" w:rsidR="005418F4" w:rsidRPr="005418F4" w:rsidRDefault="007D54F2"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67F2B">
                  <w:rPr>
                    <w:rFonts w:ascii="Arial" w:eastAsiaTheme="minorEastAsia" w:hAnsi="Arial" w:cs="Arial"/>
                    <w:color w:val="1A1A1A" w:themeColor="background1" w:themeShade="1A"/>
                    <w:szCs w:val="20"/>
                  </w:rPr>
                  <w:t>Banking sector</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1C0F3F19" w:rsidR="005418F4" w:rsidRPr="005418F4" w:rsidRDefault="00A67F2B"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36CC058D" w:rsidR="005418F4" w:rsidRPr="005418F4" w:rsidRDefault="00A67F2B"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Belgium</w:t>
                </w:r>
              </w:p>
            </w:tc>
          </w:sdtContent>
        </w:sdt>
      </w:tr>
      <w:permEnd w:id="1969555385"/>
    </w:tbl>
    <w:p w14:paraId="21F085A5" w14:textId="77777777" w:rsidR="005418F4" w:rsidRDefault="005418F4" w:rsidP="005418F4">
      <w:pPr>
        <w:spacing w:after="250"/>
        <w:jc w:val="both"/>
        <w:rPr>
          <w:rFonts w:ascii="Arial" w:eastAsiaTheme="minorEastAsia" w:hAnsi="Arial" w:cs="Arial"/>
          <w:color w:val="1A1A1A" w:themeColor="background1" w:themeShade="1A"/>
          <w:szCs w:val="20"/>
        </w:rPr>
      </w:pPr>
    </w:p>
    <w:p w14:paraId="77AD207E" w14:textId="0EFFCF09" w:rsidR="001637AA" w:rsidRDefault="001637AA" w:rsidP="001637AA">
      <w:pPr>
        <w:pStyle w:val="Sansinterligne"/>
        <w:jc w:val="both"/>
        <w:rPr>
          <w:rFonts w:ascii="Arial" w:hAnsi="Arial" w:cs="Arial"/>
          <w:lang w:val="en-US"/>
        </w:rPr>
      </w:pPr>
      <w:proofErr w:type="gramStart"/>
      <w:r w:rsidRPr="001637AA">
        <w:rPr>
          <w:rFonts w:ascii="Arial" w:hAnsi="Arial" w:cs="Arial"/>
        </w:rPr>
        <w:t>First of all</w:t>
      </w:r>
      <w:proofErr w:type="gramEnd"/>
      <w:r w:rsidRPr="001637AA">
        <w:rPr>
          <w:rFonts w:ascii="Arial" w:hAnsi="Arial" w:cs="Arial"/>
        </w:rPr>
        <w:t xml:space="preserve">, </w:t>
      </w:r>
      <w:r w:rsidRPr="001637AA">
        <w:rPr>
          <w:rFonts w:ascii="Arial" w:hAnsi="Arial" w:cs="Arial"/>
          <w:lang w:val="en-US"/>
        </w:rPr>
        <w:t>ESBG welcomes the opportunity to comment on the ESA joint consultation paper on the review of SFDR Delegated Regulation regarding PAI and financial product disclosures, even if it is questionable whether fundamental changes regarding the PAI disclosure requirements and the templates are needed at this point in time.</w:t>
      </w:r>
    </w:p>
    <w:p w14:paraId="7B040A74" w14:textId="77777777" w:rsidR="001637AA" w:rsidRPr="001637AA" w:rsidRDefault="001637AA" w:rsidP="001637AA">
      <w:pPr>
        <w:pStyle w:val="Sansinterligne"/>
        <w:jc w:val="both"/>
        <w:rPr>
          <w:rFonts w:ascii="Arial" w:hAnsi="Arial" w:cs="Arial"/>
          <w:lang w:val="en-US"/>
        </w:rPr>
      </w:pPr>
    </w:p>
    <w:p w14:paraId="3178270D" w14:textId="77777777" w:rsidR="001637AA" w:rsidRPr="001637AA" w:rsidRDefault="001637AA" w:rsidP="001637AA">
      <w:pPr>
        <w:pStyle w:val="Sansinterligne"/>
        <w:jc w:val="both"/>
        <w:rPr>
          <w:rFonts w:ascii="Arial" w:hAnsi="Arial" w:cs="Arial"/>
          <w:lang w:val="en-US"/>
        </w:rPr>
      </w:pPr>
      <w:r w:rsidRPr="001637AA">
        <w:rPr>
          <w:rFonts w:ascii="Arial" w:hAnsi="Arial" w:cs="Arial"/>
          <w:b/>
          <w:lang w:val="en-US"/>
        </w:rPr>
        <w:t>Defining a sustainable investment</w:t>
      </w:r>
      <w:r w:rsidRPr="001637AA">
        <w:rPr>
          <w:rFonts w:ascii="Arial" w:hAnsi="Arial" w:cs="Arial"/>
          <w:lang w:val="en-US"/>
        </w:rPr>
        <w:t xml:space="preserve"> should be a priority and the prerequisite to all regulations concerning ESG products. </w:t>
      </w:r>
      <w:proofErr w:type="spellStart"/>
      <w:r w:rsidRPr="001637AA">
        <w:rPr>
          <w:rFonts w:ascii="Arial" w:hAnsi="Arial" w:cs="Arial"/>
          <w:lang w:val="en-US"/>
        </w:rPr>
        <w:t>sIt</w:t>
      </w:r>
      <w:proofErr w:type="spellEnd"/>
      <w:r w:rsidRPr="001637AA">
        <w:rPr>
          <w:rFonts w:ascii="Arial" w:hAnsi="Arial" w:cs="Arial"/>
          <w:lang w:val="en-US"/>
        </w:rPr>
        <w:t xml:space="preserve"> would enable:</w:t>
      </w:r>
    </w:p>
    <w:p w14:paraId="553A4DEA" w14:textId="72012869" w:rsidR="001637AA" w:rsidRPr="001637AA" w:rsidRDefault="001637AA" w:rsidP="00C60239">
      <w:pPr>
        <w:pStyle w:val="Sansinterligne"/>
        <w:numPr>
          <w:ilvl w:val="0"/>
          <w:numId w:val="3"/>
        </w:numPr>
        <w:jc w:val="both"/>
        <w:rPr>
          <w:rFonts w:ascii="Arial" w:hAnsi="Arial" w:cs="Arial"/>
          <w:lang w:val="en-US"/>
        </w:rPr>
      </w:pPr>
      <w:r w:rsidRPr="001637AA">
        <w:rPr>
          <w:rFonts w:ascii="Arial" w:hAnsi="Arial" w:cs="Arial"/>
          <w:lang w:val="en-US"/>
        </w:rPr>
        <w:t xml:space="preserve">product </w:t>
      </w:r>
      <w:proofErr w:type="gramStart"/>
      <w:r w:rsidRPr="001637AA">
        <w:rPr>
          <w:rFonts w:ascii="Arial" w:hAnsi="Arial" w:cs="Arial"/>
          <w:lang w:val="en-US"/>
        </w:rPr>
        <w:t>comparability;</w:t>
      </w:r>
      <w:proofErr w:type="gramEnd"/>
    </w:p>
    <w:p w14:paraId="38CBFE26" w14:textId="77777777" w:rsidR="001637AA" w:rsidRPr="001637AA" w:rsidRDefault="001637AA" w:rsidP="00C60239">
      <w:pPr>
        <w:pStyle w:val="Sansinterligne"/>
        <w:numPr>
          <w:ilvl w:val="0"/>
          <w:numId w:val="3"/>
        </w:numPr>
        <w:jc w:val="both"/>
        <w:rPr>
          <w:rFonts w:ascii="Arial" w:hAnsi="Arial" w:cs="Arial"/>
          <w:lang w:val="en-US"/>
        </w:rPr>
      </w:pPr>
      <w:r w:rsidRPr="001637AA">
        <w:rPr>
          <w:rFonts w:ascii="Arial" w:hAnsi="Arial" w:cs="Arial"/>
          <w:lang w:val="en-US"/>
        </w:rPr>
        <w:t xml:space="preserve">legal protection against greenwashing risk. </w:t>
      </w:r>
    </w:p>
    <w:p w14:paraId="6393D6E0" w14:textId="06B6533B" w:rsidR="001637AA" w:rsidRPr="001637AA" w:rsidRDefault="001637AA" w:rsidP="001637AA">
      <w:pPr>
        <w:pStyle w:val="Sansinterligne"/>
        <w:jc w:val="both"/>
        <w:rPr>
          <w:rFonts w:ascii="Arial" w:hAnsi="Arial" w:cs="Arial"/>
          <w:lang w:val="en-US"/>
        </w:rPr>
      </w:pPr>
      <w:r w:rsidRPr="001637AA">
        <w:rPr>
          <w:rFonts w:ascii="Arial" w:hAnsi="Arial" w:cs="Arial"/>
          <w:lang w:val="en-US"/>
        </w:rPr>
        <w:t>This notion should integrate transition which should first be clearly defined and then modelled.</w:t>
      </w:r>
    </w:p>
    <w:p w14:paraId="3A07E139" w14:textId="77777777" w:rsidR="001637AA" w:rsidRDefault="001637AA" w:rsidP="001637AA">
      <w:pPr>
        <w:pStyle w:val="Sansinterligne"/>
        <w:jc w:val="both"/>
        <w:rPr>
          <w:rFonts w:ascii="Arial" w:hAnsi="Arial" w:cs="Arial"/>
          <w:lang w:val="en-US"/>
        </w:rPr>
      </w:pPr>
    </w:p>
    <w:p w14:paraId="39A72E03" w14:textId="06E27DFC" w:rsidR="001637AA" w:rsidRPr="001637AA" w:rsidRDefault="001637AA" w:rsidP="001637AA">
      <w:pPr>
        <w:pStyle w:val="Sansinterligne"/>
        <w:jc w:val="both"/>
        <w:rPr>
          <w:rFonts w:ascii="Arial" w:hAnsi="Arial" w:cs="Arial"/>
          <w:lang w:val="en-US"/>
        </w:rPr>
      </w:pPr>
      <w:r w:rsidRPr="001637AA">
        <w:rPr>
          <w:rFonts w:ascii="Arial" w:hAnsi="Arial" w:cs="Arial"/>
          <w:lang w:val="en-US"/>
        </w:rPr>
        <w:t>As for</w:t>
      </w:r>
      <w:r w:rsidRPr="001637AA">
        <w:rPr>
          <w:rFonts w:ascii="Arial" w:hAnsi="Arial" w:cs="Arial"/>
          <w:b/>
          <w:lang w:val="en-US"/>
        </w:rPr>
        <w:t xml:space="preserve"> the timing</w:t>
      </w:r>
      <w:r w:rsidRPr="001637AA">
        <w:rPr>
          <w:rFonts w:ascii="Arial" w:hAnsi="Arial" w:cs="Arial"/>
          <w:lang w:val="en-US"/>
        </w:rPr>
        <w:t xml:space="preserve"> to add new requirements, ESBG believes it to be unsatisfactory and premature:</w:t>
      </w:r>
    </w:p>
    <w:p w14:paraId="5D9CEC60" w14:textId="77777777" w:rsidR="001637AA" w:rsidRPr="001637AA" w:rsidRDefault="001637AA" w:rsidP="00C60239">
      <w:pPr>
        <w:pStyle w:val="Sansinterligne"/>
        <w:numPr>
          <w:ilvl w:val="0"/>
          <w:numId w:val="4"/>
        </w:numPr>
        <w:jc w:val="both"/>
        <w:rPr>
          <w:rFonts w:ascii="Arial" w:hAnsi="Arial" w:cs="Arial"/>
          <w:lang w:val="en-US"/>
        </w:rPr>
      </w:pPr>
      <w:r w:rsidRPr="001637AA">
        <w:rPr>
          <w:rFonts w:ascii="Arial" w:hAnsi="Arial" w:cs="Arial"/>
          <w:lang w:val="en-US"/>
        </w:rPr>
        <w:t xml:space="preserve">the SFDR framework is not </w:t>
      </w:r>
      <w:proofErr w:type="gramStart"/>
      <w:r w:rsidRPr="001637AA">
        <w:rPr>
          <w:rFonts w:ascii="Arial" w:hAnsi="Arial" w:cs="Arial"/>
          <w:lang w:val="en-US"/>
        </w:rPr>
        <w:t>stabilized;</w:t>
      </w:r>
      <w:proofErr w:type="gramEnd"/>
    </w:p>
    <w:p w14:paraId="6824FD0F" w14:textId="77777777" w:rsidR="001637AA" w:rsidRPr="001637AA" w:rsidRDefault="001637AA" w:rsidP="00C60239">
      <w:pPr>
        <w:pStyle w:val="Sansinterligne"/>
        <w:numPr>
          <w:ilvl w:val="0"/>
          <w:numId w:val="4"/>
        </w:numPr>
        <w:jc w:val="both"/>
        <w:rPr>
          <w:rFonts w:ascii="Arial" w:hAnsi="Arial" w:cs="Arial"/>
          <w:lang w:val="en-US"/>
        </w:rPr>
      </w:pPr>
      <w:r w:rsidRPr="001637AA">
        <w:rPr>
          <w:rFonts w:ascii="Arial" w:hAnsi="Arial" w:cs="Arial"/>
          <w:lang w:val="en-US"/>
        </w:rPr>
        <w:t>the problem of data availability and reliability has not been solved – the CSRD is still not implemented.</w:t>
      </w:r>
    </w:p>
    <w:p w14:paraId="6E0D0EA6" w14:textId="77777777" w:rsidR="001637AA" w:rsidRPr="001637AA" w:rsidRDefault="001637AA" w:rsidP="00C60239">
      <w:pPr>
        <w:pStyle w:val="Sansinterligne"/>
        <w:numPr>
          <w:ilvl w:val="0"/>
          <w:numId w:val="4"/>
        </w:numPr>
        <w:jc w:val="both"/>
        <w:rPr>
          <w:rFonts w:ascii="Arial" w:hAnsi="Arial" w:cs="Arial"/>
          <w:lang w:val="en-US"/>
        </w:rPr>
      </w:pPr>
      <w:r w:rsidRPr="001637AA">
        <w:rPr>
          <w:rFonts w:ascii="Arial" w:hAnsi="Arial" w:cs="Arial"/>
          <w:lang w:val="en-US"/>
        </w:rPr>
        <w:t xml:space="preserve">it will require costly developments (IT, training, customer information) that will have to be reviewed. </w:t>
      </w:r>
    </w:p>
    <w:p w14:paraId="05F7ED38" w14:textId="77777777" w:rsidR="001637AA" w:rsidRPr="001637AA" w:rsidRDefault="001637AA" w:rsidP="001637AA">
      <w:pPr>
        <w:pStyle w:val="Sansinterligne"/>
        <w:jc w:val="both"/>
        <w:rPr>
          <w:rFonts w:ascii="Arial" w:hAnsi="Arial" w:cs="Arial"/>
          <w:lang w:val="en-US"/>
        </w:rPr>
      </w:pPr>
    </w:p>
    <w:p w14:paraId="13543B03" w14:textId="77777777" w:rsidR="001637AA" w:rsidRPr="001637AA" w:rsidRDefault="001637AA" w:rsidP="001637AA">
      <w:pPr>
        <w:pStyle w:val="Sansinterligne"/>
        <w:jc w:val="both"/>
        <w:rPr>
          <w:rFonts w:ascii="Arial" w:hAnsi="Arial" w:cs="Arial"/>
          <w:i/>
          <w:iCs/>
          <w:noProof/>
          <w:u w:val="single"/>
          <w:lang w:val="en-US"/>
        </w:rPr>
      </w:pPr>
    </w:p>
    <w:p w14:paraId="2168A860" w14:textId="77777777" w:rsidR="001637AA" w:rsidRPr="001637AA" w:rsidRDefault="001637AA" w:rsidP="001637AA">
      <w:pPr>
        <w:pStyle w:val="Sansinterligne"/>
        <w:jc w:val="both"/>
        <w:rPr>
          <w:rFonts w:ascii="Arial" w:hAnsi="Arial" w:cs="Arial"/>
          <w:color w:val="FF0000"/>
        </w:rPr>
      </w:pPr>
      <w:r w:rsidRPr="001637AA">
        <w:rPr>
          <w:rFonts w:ascii="Arial" w:hAnsi="Arial" w:cs="Arial"/>
          <w:b/>
        </w:rPr>
        <w:t>From a general perspective, ESBG would like to highlight that implementing changes comes at a high economic expense, which requires a considerable investment of resources as well as costly IT adaptations</w:t>
      </w:r>
      <w:r w:rsidRPr="001637AA">
        <w:rPr>
          <w:rFonts w:ascii="Arial" w:hAnsi="Arial" w:cs="Arial"/>
        </w:rPr>
        <w:t xml:space="preserve">. </w:t>
      </w:r>
    </w:p>
    <w:p w14:paraId="47102CE3" w14:textId="77777777" w:rsidR="001637AA" w:rsidRPr="001637AA" w:rsidRDefault="001637AA" w:rsidP="001637AA">
      <w:pPr>
        <w:pStyle w:val="Sansinterligne"/>
        <w:jc w:val="both"/>
        <w:rPr>
          <w:rFonts w:ascii="Arial" w:hAnsi="Arial" w:cs="Arial"/>
        </w:rPr>
      </w:pPr>
    </w:p>
    <w:p w14:paraId="5296DB47" w14:textId="77777777" w:rsidR="001637AA" w:rsidRPr="001637AA" w:rsidRDefault="001637AA" w:rsidP="001637AA">
      <w:pPr>
        <w:pStyle w:val="Sansinterligne"/>
        <w:jc w:val="both"/>
        <w:rPr>
          <w:rFonts w:ascii="Arial" w:hAnsi="Arial" w:cs="Arial"/>
        </w:rPr>
      </w:pPr>
      <w:r w:rsidRPr="001637AA">
        <w:rPr>
          <w:rFonts w:ascii="Arial" w:hAnsi="Arial" w:cs="Arial"/>
        </w:rPr>
        <w:t xml:space="preserve">On a more general note, we kindly ask to consider very carefully any future changes to: </w:t>
      </w:r>
    </w:p>
    <w:p w14:paraId="00671255" w14:textId="77777777" w:rsidR="001637AA" w:rsidRPr="001637AA" w:rsidRDefault="001637AA" w:rsidP="00C60239">
      <w:pPr>
        <w:pStyle w:val="Sansinterligne"/>
        <w:numPr>
          <w:ilvl w:val="0"/>
          <w:numId w:val="5"/>
        </w:numPr>
        <w:jc w:val="both"/>
        <w:rPr>
          <w:rFonts w:ascii="Arial" w:hAnsi="Arial" w:cs="Arial"/>
        </w:rPr>
      </w:pPr>
      <w:r w:rsidRPr="001637AA">
        <w:rPr>
          <w:rFonts w:ascii="Arial" w:hAnsi="Arial" w:cs="Arial"/>
        </w:rPr>
        <w:t xml:space="preserve">avoid adding an extra layer of complexity to the current </w:t>
      </w:r>
      <w:proofErr w:type="gramStart"/>
      <w:r w:rsidRPr="001637AA">
        <w:rPr>
          <w:rFonts w:ascii="Arial" w:hAnsi="Arial" w:cs="Arial"/>
        </w:rPr>
        <w:t>framework;</w:t>
      </w:r>
      <w:proofErr w:type="gramEnd"/>
      <w:r w:rsidRPr="001637AA">
        <w:rPr>
          <w:rFonts w:ascii="Arial" w:hAnsi="Arial" w:cs="Arial"/>
        </w:rPr>
        <w:t xml:space="preserve"> </w:t>
      </w:r>
    </w:p>
    <w:p w14:paraId="0D36EAB3" w14:textId="77777777" w:rsidR="001637AA" w:rsidRPr="001637AA" w:rsidRDefault="001637AA" w:rsidP="00C60239">
      <w:pPr>
        <w:pStyle w:val="Sansinterligne"/>
        <w:numPr>
          <w:ilvl w:val="0"/>
          <w:numId w:val="5"/>
        </w:numPr>
        <w:jc w:val="both"/>
        <w:rPr>
          <w:rFonts w:ascii="Arial" w:hAnsi="Arial" w:cs="Arial"/>
        </w:rPr>
      </w:pPr>
      <w:r w:rsidRPr="001637AA">
        <w:rPr>
          <w:rFonts w:ascii="Arial" w:hAnsi="Arial" w:cs="Arial"/>
        </w:rPr>
        <w:t xml:space="preserve">avoid making it even more difficult to implement for financial market participants </w:t>
      </w:r>
      <w:proofErr w:type="gramStart"/>
      <w:r w:rsidRPr="001637AA">
        <w:rPr>
          <w:rFonts w:ascii="Arial" w:hAnsi="Arial" w:cs="Arial"/>
        </w:rPr>
        <w:t>and;</w:t>
      </w:r>
      <w:proofErr w:type="gramEnd"/>
    </w:p>
    <w:p w14:paraId="0ED681C4" w14:textId="77777777" w:rsidR="001637AA" w:rsidRPr="001637AA" w:rsidRDefault="001637AA" w:rsidP="00C60239">
      <w:pPr>
        <w:pStyle w:val="Sansinterligne"/>
        <w:numPr>
          <w:ilvl w:val="0"/>
          <w:numId w:val="5"/>
        </w:numPr>
        <w:jc w:val="both"/>
        <w:rPr>
          <w:rFonts w:ascii="Arial" w:hAnsi="Arial" w:cs="Arial"/>
        </w:rPr>
      </w:pPr>
      <w:r w:rsidRPr="001637AA">
        <w:rPr>
          <w:rFonts w:ascii="Arial" w:hAnsi="Arial" w:cs="Arial"/>
        </w:rPr>
        <w:t xml:space="preserve">avoid causing fatigue to customers with new information/requirements in a short period of time. </w:t>
      </w:r>
    </w:p>
    <w:p w14:paraId="563CE88D" w14:textId="77777777" w:rsidR="001637AA" w:rsidRDefault="001637AA" w:rsidP="001637AA">
      <w:pPr>
        <w:pStyle w:val="Sansinterligne"/>
        <w:rPr>
          <w:i/>
          <w:iCs/>
          <w:noProof/>
          <w:u w:val="single"/>
        </w:rPr>
      </w:pPr>
    </w:p>
    <w:p w14:paraId="40056168" w14:textId="77777777" w:rsidR="001637AA" w:rsidRDefault="001637AA" w:rsidP="005418F4">
      <w:pPr>
        <w:spacing w:after="250"/>
        <w:jc w:val="both"/>
        <w:rPr>
          <w:rFonts w:ascii="Arial" w:eastAsiaTheme="minorEastAsia" w:hAnsi="Arial" w:cs="Arial"/>
          <w:color w:val="1A1A1A" w:themeColor="background1" w:themeShade="1A"/>
          <w:szCs w:val="20"/>
        </w:rPr>
      </w:pPr>
    </w:p>
    <w:p w14:paraId="23885403" w14:textId="77777777" w:rsidR="000C69E2" w:rsidRPr="005418F4" w:rsidRDefault="000C69E2"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lastRenderedPageBreak/>
        <w:t>Questions</w:t>
      </w:r>
    </w:p>
    <w:p w14:paraId="3423BAEF" w14:textId="1C4B4347" w:rsidR="009C41BB" w:rsidRDefault="009C41BB" w:rsidP="009E4123">
      <w:pPr>
        <w:pStyle w:val="Questionstyle"/>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73880186" w14:textId="249EEC59" w:rsidR="007F54BF" w:rsidRPr="006E4CC8" w:rsidRDefault="007F54BF" w:rsidP="006E4CC8">
      <w:pPr>
        <w:jc w:val="both"/>
        <w:rPr>
          <w:rFonts w:cstheme="minorHAnsi"/>
        </w:rPr>
      </w:pPr>
      <w:permStart w:id="1348034591" w:edGrp="everyone"/>
      <w:r>
        <w:t xml:space="preserve"> </w:t>
      </w:r>
      <w:r w:rsidRPr="006E4CC8">
        <w:rPr>
          <w:rFonts w:cstheme="minorHAnsi"/>
        </w:rPr>
        <w:t xml:space="preserve">Overall, ESBG believes that </w:t>
      </w:r>
      <w:r w:rsidRPr="006E4CC8">
        <w:rPr>
          <w:rFonts w:cstheme="minorHAnsi"/>
          <w:b/>
          <w:bCs/>
        </w:rPr>
        <w:t xml:space="preserve">the </w:t>
      </w:r>
      <w:r w:rsidRPr="006E4CC8">
        <w:rPr>
          <w:rFonts w:cstheme="minorHAnsi"/>
          <w:b/>
          <w:bCs/>
          <w:lang w:val="en-US"/>
        </w:rPr>
        <w:t>inclusion of new mandatory social indicators might not currently be the main priority given the</w:t>
      </w:r>
      <w:r w:rsidRPr="006E4CC8">
        <w:rPr>
          <w:rFonts w:cstheme="minorHAnsi"/>
          <w:lang w:val="en-US"/>
        </w:rPr>
        <w:t xml:space="preserve"> </w:t>
      </w:r>
      <w:r w:rsidRPr="006E4CC8">
        <w:rPr>
          <w:rFonts w:cstheme="minorHAnsi"/>
          <w:b/>
          <w:bCs/>
          <w:lang w:val="en-US"/>
        </w:rPr>
        <w:t>lack of data and common measurement methodology</w:t>
      </w:r>
      <w:r w:rsidRPr="006E4CC8">
        <w:rPr>
          <w:rFonts w:cstheme="minorHAnsi"/>
          <w:lang w:val="en-US"/>
        </w:rPr>
        <w:t xml:space="preserve">. </w:t>
      </w:r>
      <w:r w:rsidRPr="006E4CC8">
        <w:rPr>
          <w:rFonts w:cstheme="minorHAnsi"/>
        </w:rPr>
        <w:t xml:space="preserve"> More clarity is needed regarding the definition and metrics of the proposed mandatory social indicators: “interference with the formation of trade unions or election worker representatives” and “share of employees earning less than the adequate wage”. Regarding the second indicator, to ensure consistency and comparability, the concept of “adequate salary” should be the one determined by the applicable rules of the jurisdiction where the investment activity takes place, </w:t>
      </w:r>
      <w:proofErr w:type="gramStart"/>
      <w:r w:rsidRPr="006E4CC8">
        <w:rPr>
          <w:rFonts w:cstheme="minorHAnsi"/>
        </w:rPr>
        <w:t>taking into account</w:t>
      </w:r>
      <w:proofErr w:type="gramEnd"/>
      <w:r w:rsidRPr="006E4CC8">
        <w:rPr>
          <w:rFonts w:cstheme="minorHAnsi"/>
        </w:rPr>
        <w:t xml:space="preserve"> the actual cost of living. Additionally, information from the calculation of “adequate wage” taken from the European Sustainability Reporting Standards (ESRS) and its proposed benchmarks might not be reliable enough and easily accessible, specially outside the EU. Therefore, we believe this indicator should not be mandatory. </w:t>
      </w:r>
    </w:p>
    <w:p w14:paraId="3A12FB0F" w14:textId="4EBF86B0" w:rsidR="007F54BF" w:rsidRPr="006E4CC8" w:rsidRDefault="007F54BF" w:rsidP="006E4CC8">
      <w:pPr>
        <w:jc w:val="both"/>
        <w:rPr>
          <w:rFonts w:cstheme="minorHAnsi"/>
        </w:rPr>
      </w:pPr>
      <w:r w:rsidRPr="006E4CC8">
        <w:rPr>
          <w:rFonts w:cstheme="minorHAnsi"/>
        </w:rPr>
        <w:t xml:space="preserve">Nevertheless, ESBG welcomes the fact that the ESAs want to establish a link with the KPIs to be reported in accordance with the Corporate Sustainability Reporting Directive (CSRD) and the draft ESRS. The FMPs ability to assess the proposed additional PAI indicators is largely dependent upon disclosure of the relevant KPIs by investee companies and will hopefully increase when CSRD will fully enter into force.  Therefore, ESBG is deeply concerned that according to the current proposals of the EU Commission on the Level 2 measures for sustainability reporting under the CSRD, companies no longer </w:t>
      </w:r>
      <w:proofErr w:type="gramStart"/>
      <w:r w:rsidRPr="006E4CC8">
        <w:rPr>
          <w:rFonts w:cstheme="minorHAnsi"/>
        </w:rPr>
        <w:t>have to</w:t>
      </w:r>
      <w:proofErr w:type="gramEnd"/>
      <w:r w:rsidRPr="006E4CC8">
        <w:rPr>
          <w:rFonts w:cstheme="minorHAnsi"/>
        </w:rPr>
        <w:t xml:space="preserve"> disclose their ESG data comprehensively. Companies can classify the sustainability impacts to be identified with the help of mandatory PAI indicators as non-material </w:t>
      </w:r>
      <w:proofErr w:type="gramStart"/>
      <w:r w:rsidRPr="006E4CC8">
        <w:rPr>
          <w:rFonts w:cstheme="minorHAnsi"/>
        </w:rPr>
        <w:t>on the basis of</w:t>
      </w:r>
      <w:proofErr w:type="gramEnd"/>
      <w:r w:rsidRPr="006E4CC8">
        <w:rPr>
          <w:rFonts w:cstheme="minorHAnsi"/>
        </w:rPr>
        <w:t xml:space="preserve"> their own business model, whereas FMPs must always take these into account in their investment decisions under Art. 4 SFDR. This means that FMPs cannot, as expected, make comprehensive use of the ESG company data to be disclosed under the CSRD.</w:t>
      </w:r>
    </w:p>
    <w:p w14:paraId="0AF0D98E" w14:textId="75531618" w:rsidR="007F54BF" w:rsidRPr="006E4CC8" w:rsidRDefault="007F54BF" w:rsidP="00C27836">
      <w:pPr>
        <w:jc w:val="both"/>
        <w:rPr>
          <w:rFonts w:cstheme="minorHAnsi"/>
        </w:rPr>
      </w:pPr>
      <w:r w:rsidRPr="006E4CC8">
        <w:rPr>
          <w:rFonts w:cstheme="minorHAnsi"/>
        </w:rPr>
        <w:t xml:space="preserve">Apart from that, </w:t>
      </w:r>
      <w:proofErr w:type="gramStart"/>
      <w:r w:rsidRPr="006E4CC8">
        <w:rPr>
          <w:rFonts w:cstheme="minorHAnsi"/>
        </w:rPr>
        <w:t>it is clear that the</w:t>
      </w:r>
      <w:proofErr w:type="gramEnd"/>
      <w:r w:rsidRPr="006E4CC8">
        <w:rPr>
          <w:rFonts w:cstheme="minorHAnsi"/>
        </w:rPr>
        <w:t xml:space="preserve"> process in terms of non-financial disclosures by companies will take some years in order to take effect. At the current stage, we cannot assess whether and to what extent it will improve the current situation in terms of corporate data. A huge data gap will anyway remain regarding investments outside the EU that represent a large proportion of the FMPs assets. It is essential to ensure that the relevant data is available, once new PAIs are introduced. We therefore suggest aligning the date of entry into force of the revised SFDR Delegated Regulation with the full application of the substantive CSRD rules/ESRS. Moreover, there should not be a divergence in the assessment of materiality between the SFDR and the CSRD. This would help to restore coherence of the EU sustainable finance rules.</w:t>
      </w:r>
    </w:p>
    <w:p w14:paraId="54D6D1A2" w14:textId="77777777" w:rsidR="007F54BF" w:rsidRPr="006E4CC8" w:rsidRDefault="007F54BF" w:rsidP="007F54BF">
      <w:pPr>
        <w:rPr>
          <w:rFonts w:cstheme="minorHAnsi"/>
          <w:noProof/>
        </w:rPr>
      </w:pPr>
      <w:r w:rsidRPr="006E4CC8">
        <w:rPr>
          <w:rFonts w:cstheme="minorHAnsi"/>
          <w:noProof/>
        </w:rPr>
        <w:lastRenderedPageBreak/>
        <w:t>More specifically, ESBG disagrees with the following indicators:</w:t>
      </w:r>
    </w:p>
    <w:p w14:paraId="503524C5" w14:textId="77777777" w:rsidR="007F54BF" w:rsidRPr="006E4CC8" w:rsidRDefault="007F54BF" w:rsidP="00C60239">
      <w:pPr>
        <w:pStyle w:val="Paragraphedeliste"/>
        <w:numPr>
          <w:ilvl w:val="0"/>
          <w:numId w:val="6"/>
        </w:numPr>
        <w:spacing w:after="0" w:line="240" w:lineRule="auto"/>
        <w:contextualSpacing w:val="0"/>
        <w:jc w:val="both"/>
        <w:rPr>
          <w:rFonts w:cstheme="minorHAnsi"/>
          <w:lang w:val="en-US"/>
        </w:rPr>
      </w:pPr>
      <w:r w:rsidRPr="006E4CC8">
        <w:rPr>
          <w:rFonts w:cstheme="minorHAnsi"/>
          <w:noProof/>
        </w:rPr>
        <w:t>Tax. Due to complexitiy in corporate structure, it would be difficult to map and acertain entities including subsidiaries, financial vehicles with 1) turnover &gt; 750 million. 2) parent taxation practice.  The implementation cost of the indicator is too high that makes it unworthy to do it. Should tax avoidance become an issue of concern, investors would have engaged with relevant companies any way.   Also, when it comes to the a</w:t>
      </w:r>
      <w:r w:rsidRPr="006E4CC8">
        <w:rPr>
          <w:rFonts w:cstheme="minorHAnsi"/>
          <w:lang w:val="en-US"/>
        </w:rPr>
        <w:t>mount of accumulated earnings in non-cooperative tax jurisdictions, we will probably even more lack data since this indicator is not included in the ESRS.</w:t>
      </w:r>
    </w:p>
    <w:p w14:paraId="21D06924" w14:textId="77777777" w:rsidR="007F54BF" w:rsidRPr="006E4CC8" w:rsidRDefault="007F54BF" w:rsidP="00C60239">
      <w:pPr>
        <w:pStyle w:val="Paragraphedeliste"/>
        <w:numPr>
          <w:ilvl w:val="0"/>
          <w:numId w:val="6"/>
        </w:numPr>
        <w:spacing w:after="0" w:line="240" w:lineRule="auto"/>
        <w:jc w:val="both"/>
        <w:rPr>
          <w:rFonts w:cstheme="minorHAnsi"/>
          <w:noProof/>
        </w:rPr>
      </w:pPr>
      <w:r w:rsidRPr="006E4CC8">
        <w:rPr>
          <w:rFonts w:cstheme="minorHAnsi"/>
          <w:noProof/>
        </w:rPr>
        <w:t>Tobacco. The boundary of regulatory intervention in the social space should be drawn. If tobacco is considered as PAI, how about alcohol and violent video games? If tobacco  producers are considered having adverse impacts, how about distributors and retailers? There is no ultimate answer to those questions, since it should be left to the market.</w:t>
      </w:r>
    </w:p>
    <w:p w14:paraId="4A55641A" w14:textId="535E602B" w:rsidR="009C41BB" w:rsidRPr="006E4CC8" w:rsidRDefault="007F54BF" w:rsidP="00C60239">
      <w:pPr>
        <w:pStyle w:val="Paragraphedeliste"/>
        <w:numPr>
          <w:ilvl w:val="0"/>
          <w:numId w:val="6"/>
        </w:numPr>
        <w:jc w:val="both"/>
        <w:rPr>
          <w:rFonts w:cstheme="minorHAnsi"/>
        </w:rPr>
      </w:pPr>
      <w:r w:rsidRPr="006E4CC8">
        <w:rPr>
          <w:rFonts w:cstheme="minorHAnsi"/>
          <w:noProof/>
        </w:rPr>
        <w:t xml:space="preserve">Trade unions. Trade unionisation </w:t>
      </w:r>
      <w:r w:rsidRPr="006E4CC8">
        <w:rPr>
          <w:rFonts w:cstheme="minorHAnsi"/>
        </w:rPr>
        <w:t>practices and perception</w:t>
      </w:r>
      <w:r w:rsidRPr="006E4CC8">
        <w:rPr>
          <w:rFonts w:cstheme="minorHAnsi"/>
          <w:noProof/>
        </w:rPr>
        <w:t xml:space="preserve"> vary across different countries and cultures. For instance, different approaches exist between Europe and the US, rarely in the US are workers unionized. Such an indicator would disadvantage certain markets. Furthermore, these indicators do not qualify the name of “principal adverse impacts” as they do not have adverse impacts according to the context. T</w:t>
      </w:r>
      <w:r w:rsidRPr="006E4CC8">
        <w:rPr>
          <w:rFonts w:cstheme="minorHAnsi"/>
          <w:lang w:val="en-US"/>
        </w:rPr>
        <w:t>his indicator might be hard to measure. Which KPI could be relevant? It might end up being a subjective assessment and add complexity for a limited result, so it should not be a priority.</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E4123">
      <w:pPr>
        <w:pStyle w:val="Questionstyle"/>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58AFB88C" w14:textId="77777777" w:rsidR="00281668" w:rsidRPr="006E4CC8" w:rsidRDefault="00281668" w:rsidP="00281668">
      <w:pPr>
        <w:jc w:val="both"/>
        <w:rPr>
          <w:rFonts w:cstheme="minorHAnsi"/>
        </w:rPr>
      </w:pPr>
      <w:permStart w:id="1140268191" w:edGrp="everyone"/>
      <w:r>
        <w:t xml:space="preserve"> </w:t>
      </w:r>
      <w:r w:rsidRPr="006E4CC8">
        <w:rPr>
          <w:rFonts w:cstheme="minorHAnsi"/>
        </w:rPr>
        <w:t>Overall, ESBG believes that t</w:t>
      </w:r>
      <w:r w:rsidRPr="006E4CC8">
        <w:rPr>
          <w:rFonts w:cstheme="minorHAnsi"/>
          <w:noProof/>
        </w:rPr>
        <w:t xml:space="preserve">he existing PAIs already cover quite a wide range of issues. Adding more PAIs  could result in  an information overload.   </w:t>
      </w:r>
      <w:r w:rsidRPr="006E4CC8">
        <w:rPr>
          <w:rFonts w:cstheme="minorHAnsi"/>
        </w:rPr>
        <w:t xml:space="preserve">The necessary data collection poses a huge challenge especially for small and middle-sized market participants in both operational and financial terms. The previous PAI identification via ESG data vendors has shown that it is a long process until the collection of data and the mapping of the legally defined PAIs is possible. Moreover, </w:t>
      </w:r>
      <w:proofErr w:type="gramStart"/>
      <w:r w:rsidRPr="006E4CC8">
        <w:rPr>
          <w:rFonts w:cstheme="minorHAnsi"/>
        </w:rPr>
        <w:t>with regard to</w:t>
      </w:r>
      <w:proofErr w:type="gramEnd"/>
      <w:r w:rsidRPr="006E4CC8">
        <w:rPr>
          <w:rFonts w:cstheme="minorHAnsi"/>
        </w:rPr>
        <w:t xml:space="preserve"> non-financial reporting, only parts of the investment universe are covered.  </w:t>
      </w:r>
    </w:p>
    <w:p w14:paraId="213A7AE2" w14:textId="24364707" w:rsidR="00281668" w:rsidRPr="006E4CC8" w:rsidRDefault="00281668" w:rsidP="00F74489">
      <w:pPr>
        <w:jc w:val="both"/>
        <w:rPr>
          <w:rFonts w:cstheme="minorHAnsi"/>
        </w:rPr>
      </w:pPr>
      <w:r w:rsidRPr="006E4CC8">
        <w:rPr>
          <w:rFonts w:cstheme="minorHAnsi"/>
        </w:rPr>
        <w:t xml:space="preserve">Keeping the list of mandatory (social) indicators to a small set of KPIs would also be highly beneficial for the general understanding by distributors and end-investors. The concept of PAI is still new not only to most market participants and financial advisers, but especially to retail investors. Adding more PAI indicators will very likely overstrain investors who are anyway struggling to relate PAI entity-level disclosures, </w:t>
      </w:r>
      <w:proofErr w:type="gramStart"/>
      <w:r w:rsidRPr="006E4CC8">
        <w:rPr>
          <w:rFonts w:cstheme="minorHAnsi"/>
        </w:rPr>
        <w:t>e.g.</w:t>
      </w:r>
      <w:proofErr w:type="gramEnd"/>
      <w:r w:rsidRPr="006E4CC8">
        <w:rPr>
          <w:rFonts w:cstheme="minorHAnsi"/>
        </w:rPr>
        <w:t xml:space="preserve"> by a portfolio manager, to their individual portfolio/wealth management.  </w:t>
      </w:r>
    </w:p>
    <w:p w14:paraId="5B88E97F" w14:textId="77777777" w:rsidR="00281668" w:rsidRPr="006E4CC8" w:rsidRDefault="00281668" w:rsidP="00281668">
      <w:pPr>
        <w:jc w:val="both"/>
        <w:rPr>
          <w:rFonts w:cstheme="minorHAnsi"/>
        </w:rPr>
      </w:pPr>
      <w:r w:rsidRPr="006E4CC8">
        <w:rPr>
          <w:rFonts w:cstheme="minorHAnsi"/>
        </w:rPr>
        <w:t xml:space="preserve">However, even if ESBG is against the inclusion of any new mandatory social indicators, we would like to be proactive. Hence, as a basis for further reflection, instead of the indicators “share of employees earning less than the adequate wage” and “interference with the formation of trade unions or election worker representatives”, we nonetheless believe other potential social indicators to consider would </w:t>
      </w:r>
      <w:r w:rsidRPr="006E4CC8">
        <w:rPr>
          <w:rFonts w:cstheme="minorHAnsi"/>
        </w:rPr>
        <w:lastRenderedPageBreak/>
        <w:t>instead rather be the following within the Table 3 of ANNEX I of the Commission Delegated Regulation (EU) 2022/1288 of 6 April 2022 supplementing Regulation (EU) 2019/2088 of the European Parliament and of the Council:</w:t>
      </w:r>
    </w:p>
    <w:p w14:paraId="2E728C39" w14:textId="77777777" w:rsidR="00281668" w:rsidRPr="006E4CC8" w:rsidRDefault="00281668" w:rsidP="00C60239">
      <w:pPr>
        <w:pStyle w:val="Paragraphedeliste"/>
        <w:numPr>
          <w:ilvl w:val="0"/>
          <w:numId w:val="7"/>
        </w:numPr>
        <w:spacing w:after="0" w:line="240" w:lineRule="auto"/>
        <w:jc w:val="both"/>
        <w:rPr>
          <w:rFonts w:cstheme="minorHAnsi"/>
        </w:rPr>
      </w:pPr>
      <w:r w:rsidRPr="006E4CC8">
        <w:rPr>
          <w:rFonts w:cstheme="minorHAnsi"/>
        </w:rPr>
        <w:t>“Social and employee matters, 2. Rate of accidents”</w:t>
      </w:r>
    </w:p>
    <w:p w14:paraId="2FF56595" w14:textId="7B7A2D70" w:rsidR="009C41BB" w:rsidRPr="006E4CC8" w:rsidRDefault="00281668" w:rsidP="00C60239">
      <w:pPr>
        <w:pStyle w:val="Paragraphedeliste"/>
        <w:numPr>
          <w:ilvl w:val="0"/>
          <w:numId w:val="7"/>
        </w:numPr>
        <w:rPr>
          <w:rFonts w:cstheme="minorHAnsi"/>
        </w:rPr>
      </w:pPr>
      <w:r w:rsidRPr="006E4CC8">
        <w:rPr>
          <w:rFonts w:cstheme="minorHAnsi"/>
        </w:rPr>
        <w:t xml:space="preserve">“Anti-corruption and anti-bribery, 17. Number of convictions and </w:t>
      </w:r>
      <w:proofErr w:type="gramStart"/>
      <w:r w:rsidRPr="006E4CC8">
        <w:rPr>
          <w:rFonts w:cstheme="minorHAnsi"/>
        </w:rPr>
        <w:t>amount</w:t>
      </w:r>
      <w:proofErr w:type="gramEnd"/>
      <w:r w:rsidRPr="006E4CC8">
        <w:rPr>
          <w:rFonts w:cstheme="minorHAnsi"/>
        </w:rPr>
        <w:t xml:space="preserve"> of fines for violation of anti-corruption and anti-bribery laws”.</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E4123">
      <w:pPr>
        <w:pStyle w:val="Questionstyle"/>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6819857D" w14:textId="77777777" w:rsidR="00C60239" w:rsidRPr="006E4CC8" w:rsidRDefault="00C60239" w:rsidP="00C60239">
      <w:pPr>
        <w:rPr>
          <w:rFonts w:cstheme="minorHAnsi"/>
          <w:noProof/>
        </w:rPr>
      </w:pPr>
      <w:permStart w:id="1930569352" w:edGrp="everyone"/>
      <w:r w:rsidRPr="006E4CC8">
        <w:rPr>
          <w:rFonts w:cstheme="minorHAnsi"/>
        </w:rPr>
        <w:t xml:space="preserve"> </w:t>
      </w:r>
      <w:r w:rsidRPr="006E4CC8">
        <w:rPr>
          <w:rFonts w:cstheme="minorHAnsi"/>
        </w:rPr>
        <w:t xml:space="preserve">ESBG would like to share </w:t>
      </w:r>
      <w:r w:rsidRPr="006E4CC8">
        <w:rPr>
          <w:rFonts w:cstheme="minorHAnsi"/>
          <w:b/>
          <w:bCs/>
        </w:rPr>
        <w:t>some concerns regarding these newly proposed opt-in social indicators</w:t>
      </w:r>
      <w:r w:rsidRPr="006E4CC8">
        <w:rPr>
          <w:rFonts w:cstheme="minorHAnsi"/>
        </w:rPr>
        <w:t xml:space="preserve">. Indeed, </w:t>
      </w:r>
      <w:r w:rsidRPr="006E4CC8">
        <w:rPr>
          <w:rFonts w:cstheme="minorHAnsi"/>
          <w:noProof/>
        </w:rPr>
        <w:t xml:space="preserve">PAI indicators make sense when they are reported, understandable and used by intended users.    </w:t>
      </w:r>
    </w:p>
    <w:p w14:paraId="3622EB6C" w14:textId="77777777" w:rsidR="00C60239" w:rsidRPr="006E4CC8" w:rsidRDefault="00C60239" w:rsidP="00E1235C">
      <w:pPr>
        <w:jc w:val="both"/>
        <w:rPr>
          <w:rFonts w:cstheme="minorHAnsi"/>
        </w:rPr>
      </w:pPr>
      <w:r w:rsidRPr="006E4CC8">
        <w:rPr>
          <w:rFonts w:cstheme="minorHAnsi"/>
          <w:noProof/>
        </w:rPr>
        <w:t xml:space="preserve">Therefore, in order to reduce complexity and additional efforts for FMPs </w:t>
      </w:r>
      <w:r w:rsidRPr="006E4CC8">
        <w:rPr>
          <w:rFonts w:cstheme="minorHAnsi"/>
          <w:b/>
          <w:bCs/>
          <w:noProof/>
        </w:rPr>
        <w:t>only social indicators that are of general importance for all assets and sectors and with satisfactory data coverage should be included in the final opt-in list</w:t>
      </w:r>
      <w:r w:rsidRPr="006E4CC8">
        <w:rPr>
          <w:rFonts w:cstheme="minorHAnsi"/>
          <w:noProof/>
        </w:rPr>
        <w:t xml:space="preserve">. </w:t>
      </w:r>
      <w:r w:rsidRPr="006E4CC8">
        <w:rPr>
          <w:rFonts w:cstheme="minorHAnsi"/>
        </w:rPr>
        <w:t xml:space="preserve">Therefore, please find some suggested adjustments to the proposed indicators: </w:t>
      </w:r>
    </w:p>
    <w:p w14:paraId="74AE4DFF" w14:textId="77777777" w:rsidR="00C60239" w:rsidRPr="006E4CC8" w:rsidRDefault="00C60239" w:rsidP="00C60239">
      <w:pPr>
        <w:pStyle w:val="Paragraphedeliste"/>
        <w:numPr>
          <w:ilvl w:val="0"/>
          <w:numId w:val="8"/>
        </w:numPr>
        <w:spacing w:after="0" w:line="240" w:lineRule="auto"/>
        <w:jc w:val="both"/>
        <w:rPr>
          <w:rFonts w:cstheme="minorHAnsi"/>
        </w:rPr>
      </w:pPr>
      <w:r w:rsidRPr="006E4CC8">
        <w:rPr>
          <w:rFonts w:cstheme="minorHAnsi"/>
        </w:rPr>
        <w:t>Regarding the first three indicators: “excessive use of non-guaranteed-hour employees in investee companies”; “excessive use of temporary contract employees in investee companies” and “excessive use of non-employee workers in investee companies”: we believe the concepts of “excessive use” and “non-employee workers” are not specific enough. Moreover, the notion of excessive use can be subjective depending on the situation.</w:t>
      </w:r>
    </w:p>
    <w:p w14:paraId="040088C5" w14:textId="5DF31F94" w:rsidR="009C41BB" w:rsidRPr="006E4CC8" w:rsidRDefault="00C60239" w:rsidP="00C60239">
      <w:pPr>
        <w:pStyle w:val="Paragraphedeliste"/>
        <w:numPr>
          <w:ilvl w:val="0"/>
          <w:numId w:val="8"/>
        </w:numPr>
        <w:jc w:val="both"/>
        <w:rPr>
          <w:rFonts w:cstheme="minorHAnsi"/>
        </w:rPr>
      </w:pPr>
      <w:r w:rsidRPr="006E4CC8">
        <w:rPr>
          <w:rFonts w:cstheme="minorHAnsi"/>
        </w:rPr>
        <w:t>Regarding the indicator of “Insufficient employment of persons with disabilities within the workforce” we believe that the concept of “insufficient employment” is not specific enough. The lack of more concrete metrics and definitions could create consistency problems and comparability difficulties.</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E4123">
      <w:pPr>
        <w:pStyle w:val="Questionstyle"/>
      </w:pPr>
      <w:bookmarkStart w:id="3" w:name="_Hlk131609831"/>
      <w:r>
        <w:lastRenderedPageBreak/>
        <w:t>: Would you recommend any other social indicator or adjust any of the ones proposed?</w:t>
      </w:r>
    </w:p>
    <w:bookmarkEnd w:id="3"/>
    <w:p w14:paraId="6BC5AA32" w14:textId="77777777" w:rsidR="009C41BB" w:rsidRDefault="009C41BB" w:rsidP="009C41BB">
      <w:r>
        <w:t>&lt;ESMA_QUESTION_SFDR_4&gt;</w:t>
      </w:r>
    </w:p>
    <w:p w14:paraId="191F2CF6" w14:textId="0A93CEDE" w:rsidR="009C41BB" w:rsidRPr="008653A1" w:rsidRDefault="006C4A54" w:rsidP="006C4A54">
      <w:pPr>
        <w:jc w:val="both"/>
        <w:rPr>
          <w:rFonts w:ascii="Arial" w:hAnsi="Arial" w:cs="Arial"/>
        </w:rPr>
      </w:pPr>
      <w:permStart w:id="2056993415" w:edGrp="everyone"/>
      <w:r>
        <w:t xml:space="preserve"> </w:t>
      </w:r>
      <w:r w:rsidRPr="006E4CC8">
        <w:rPr>
          <w:rFonts w:cstheme="minorHAnsi"/>
          <w:b/>
          <w:bCs/>
        </w:rPr>
        <w:t>ESBG would not recommend any other social indicator</w:t>
      </w:r>
      <w:r w:rsidRPr="006E4CC8">
        <w:rPr>
          <w:rFonts w:cstheme="minorHAnsi"/>
        </w:rPr>
        <w:t xml:space="preserve">. Regarding any proposed adjustments, please see our answers to questions 1, 2 and 3. As a general remark, we would like to highlight that implementing changes comes at a high economic expense, which requires a considerable investment of resources as well as costly IT adaptations. ESBG believes it is important to avoid adding an extra layer of complexity to the current framework </w:t>
      </w:r>
      <w:proofErr w:type="gramStart"/>
      <w:r w:rsidRPr="006E4CC8">
        <w:rPr>
          <w:rFonts w:cstheme="minorHAnsi"/>
        </w:rPr>
        <w:t>and also</w:t>
      </w:r>
      <w:proofErr w:type="gramEnd"/>
      <w:r w:rsidRPr="006E4CC8">
        <w:rPr>
          <w:rFonts w:cstheme="minorHAnsi"/>
        </w:rPr>
        <w:t xml:space="preserve"> avoid causing fatigue to customers with new information/requirements in a short period of time</w:t>
      </w:r>
      <w:r w:rsidRPr="008653A1">
        <w:rPr>
          <w:rFonts w:ascii="Arial" w:hAnsi="Arial" w:cs="Arial"/>
        </w:rPr>
        <w:t>.</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E4123">
      <w:pPr>
        <w:pStyle w:val="Questionstyle"/>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4C36E9FA" w14:textId="77777777" w:rsidR="00D06942" w:rsidRPr="00D06942" w:rsidRDefault="00D06942" w:rsidP="00D06942">
      <w:pPr>
        <w:spacing w:after="0" w:line="240" w:lineRule="auto"/>
        <w:jc w:val="both"/>
        <w:rPr>
          <w:rFonts w:eastAsia="Times New Roman" w:cstheme="minorHAnsi"/>
          <w:lang w:eastAsia="fr-FR"/>
        </w:rPr>
      </w:pPr>
      <w:r w:rsidRPr="00D06942">
        <w:rPr>
          <w:rFonts w:eastAsia="Times New Roman" w:cstheme="minorHAnsi"/>
          <w:lang w:eastAsia="fr-FR"/>
        </w:rPr>
        <w:t xml:space="preserve">ESBG believes that </w:t>
      </w:r>
      <w:r w:rsidRPr="00D06942">
        <w:rPr>
          <w:rFonts w:eastAsia="Times New Roman" w:cstheme="minorHAnsi"/>
          <w:b/>
          <w:bCs/>
          <w:lang w:eastAsia="fr-FR"/>
        </w:rPr>
        <w:t>the current regime/framework is working well</w:t>
      </w:r>
      <w:r w:rsidRPr="00D06942">
        <w:rPr>
          <w:rFonts w:eastAsia="Times New Roman" w:cstheme="minorHAnsi"/>
          <w:lang w:eastAsia="fr-FR"/>
        </w:rPr>
        <w:t>. The proposed changes could create comparability problems between different exercises, as indicators would be based on different data.  Overall, ESBG believes that it is of paramount importance to ensure stability and consistency between different years.</w:t>
      </w:r>
    </w:p>
    <w:p w14:paraId="71BAE6E5" w14:textId="77777777" w:rsidR="00D06942" w:rsidRPr="00D06942" w:rsidRDefault="00D06942" w:rsidP="00D06942">
      <w:pPr>
        <w:spacing w:after="0" w:line="240" w:lineRule="auto"/>
        <w:jc w:val="both"/>
        <w:rPr>
          <w:rFonts w:eastAsia="Times New Roman" w:cstheme="minorHAnsi"/>
          <w:lang w:eastAsia="fr-FR"/>
        </w:rPr>
      </w:pPr>
    </w:p>
    <w:p w14:paraId="70B1569F" w14:textId="77777777" w:rsidR="00D06942" w:rsidRPr="006E4CC8" w:rsidRDefault="00D06942" w:rsidP="00D06942">
      <w:pPr>
        <w:jc w:val="both"/>
        <w:rPr>
          <w:rFonts w:eastAsia="Times New Roman" w:cstheme="minorHAnsi"/>
          <w:lang w:eastAsia="fr-FR"/>
        </w:rPr>
      </w:pPr>
      <w:r w:rsidRPr="006E4CC8">
        <w:rPr>
          <w:rFonts w:eastAsia="Times New Roman" w:cstheme="minorHAnsi"/>
          <w:lang w:eastAsia="fr-FR"/>
        </w:rPr>
        <w:t>It should be noted that, replacing this indicator could lead to confusion and uncertainty among investors, which could have a negative impact on the demand for sustainable financial instruments. Furthermore, a corresponding exchange would lead to partly extensive contractual adjustments, which would require intensive interaction with the customer. Furthermore, we fear that clients would be flooded with even more data that would not bring any added value.</w:t>
      </w:r>
    </w:p>
    <w:p w14:paraId="454AB350" w14:textId="1F85F269" w:rsidR="009C41BB" w:rsidRDefault="009C41BB" w:rsidP="00D06942">
      <w:r>
        <w:t>&lt;ESMA_QUESTION_SFDR_5&gt;</w:t>
      </w:r>
    </w:p>
    <w:p w14:paraId="5DCDD44F" w14:textId="77777777" w:rsidR="009C41BB" w:rsidRDefault="009C41BB" w:rsidP="009C41BB"/>
    <w:p w14:paraId="3C56C925" w14:textId="77777777" w:rsidR="009C41BB" w:rsidRDefault="009C41BB" w:rsidP="009E4123">
      <w:pPr>
        <w:pStyle w:val="Questionstyle"/>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62B7A3" w14:textId="2DDFE938" w:rsidR="00536E92" w:rsidRPr="009367F4" w:rsidRDefault="00536E92" w:rsidP="00536E92">
      <w:pPr>
        <w:jc w:val="both"/>
        <w:rPr>
          <w:rFonts w:cstheme="minorHAnsi"/>
        </w:rPr>
      </w:pPr>
      <w:permStart w:id="887372501" w:edGrp="everyone"/>
      <w:r>
        <w:t xml:space="preserve"> </w:t>
      </w:r>
      <w:r w:rsidRPr="009367F4">
        <w:rPr>
          <w:rFonts w:cstheme="minorHAnsi"/>
        </w:rPr>
        <w:t xml:space="preserve">ESBG </w:t>
      </w:r>
      <w:r w:rsidRPr="009367F4">
        <w:rPr>
          <w:rFonts w:cstheme="minorHAnsi"/>
          <w:b/>
          <w:bCs/>
        </w:rPr>
        <w:t>believes it would not be necessary to apply existing and proposed PAI indicators</w:t>
      </w:r>
      <w:r w:rsidRPr="009367F4">
        <w:rPr>
          <w:rFonts w:cstheme="minorHAnsi"/>
        </w:rPr>
        <w:t xml:space="preserve"> related to social matters to the entity in charge of the management of the real estate assets the FMP invested </w:t>
      </w:r>
      <w:r w:rsidRPr="009367F4">
        <w:rPr>
          <w:rFonts w:cstheme="minorHAnsi"/>
        </w:rPr>
        <w:lastRenderedPageBreak/>
        <w:t>in. However, should those indicators be finally included anyway, ESBG would recommend strongly that they should not be mandatory, hence falling within the opt-in options. Otherwise, it would be a huge challenge especially with regards to the control process of the PAI, since the asset manager PAIs could no longer be changed by activities in the real estate fund.</w:t>
      </w:r>
    </w:p>
    <w:p w14:paraId="1EAA13D6" w14:textId="1FD3336F" w:rsidR="00536E92" w:rsidRPr="009367F4" w:rsidRDefault="00536E92" w:rsidP="004517BF">
      <w:pPr>
        <w:jc w:val="both"/>
        <w:rPr>
          <w:rFonts w:cstheme="minorHAnsi"/>
        </w:rPr>
      </w:pPr>
      <w:r w:rsidRPr="009367F4">
        <w:rPr>
          <w:rFonts w:cstheme="minorHAnsi"/>
        </w:rPr>
        <w:t>Regarding the proposed inclusion of new mandatory social indicators, ESBG would like to stress the following remarks:</w:t>
      </w:r>
      <w:r w:rsidRPr="009367F4">
        <w:rPr>
          <w:rFonts w:cstheme="minorHAnsi"/>
          <w:u w:val="single"/>
        </w:rPr>
        <w:t xml:space="preserve"> </w:t>
      </w:r>
    </w:p>
    <w:p w14:paraId="7DC7AFA9" w14:textId="77777777" w:rsidR="00536E92" w:rsidRPr="009367F4" w:rsidRDefault="00536E92" w:rsidP="00536E92">
      <w:pPr>
        <w:pStyle w:val="Paragraphedeliste"/>
        <w:numPr>
          <w:ilvl w:val="0"/>
          <w:numId w:val="9"/>
        </w:numPr>
        <w:spacing w:after="0" w:line="240" w:lineRule="auto"/>
        <w:jc w:val="both"/>
        <w:rPr>
          <w:rFonts w:cstheme="minorHAnsi"/>
        </w:rPr>
      </w:pPr>
      <w:r w:rsidRPr="009367F4">
        <w:rPr>
          <w:rFonts w:cstheme="minorHAnsi"/>
          <w:u w:val="single"/>
        </w:rPr>
        <w:t>Earnings in noncooperative tax jurisdictions</w:t>
      </w:r>
      <w:r w:rsidRPr="009367F4">
        <w:rPr>
          <w:rFonts w:cstheme="minorHAnsi"/>
        </w:rPr>
        <w:t xml:space="preserve">: This would be an indicator where the asset manager could have influence in the product design, and which could be applied to large real estate investors. </w:t>
      </w:r>
    </w:p>
    <w:p w14:paraId="70AAEC10" w14:textId="77777777" w:rsidR="00536E92" w:rsidRPr="009367F4" w:rsidRDefault="00536E92" w:rsidP="00536E92">
      <w:pPr>
        <w:pStyle w:val="Paragraphedeliste"/>
        <w:numPr>
          <w:ilvl w:val="0"/>
          <w:numId w:val="9"/>
        </w:numPr>
        <w:spacing w:after="0" w:line="240" w:lineRule="auto"/>
        <w:jc w:val="both"/>
        <w:rPr>
          <w:rFonts w:cstheme="minorHAnsi"/>
        </w:rPr>
      </w:pPr>
      <w:r w:rsidRPr="009367F4">
        <w:rPr>
          <w:rFonts w:cstheme="minorHAnsi"/>
          <w:u w:val="single"/>
        </w:rPr>
        <w:t>Exposure to companies involved in the cultivation and production of tobacco</w:t>
      </w:r>
      <w:r w:rsidRPr="009367F4">
        <w:rPr>
          <w:rFonts w:cstheme="minorHAnsi"/>
        </w:rPr>
        <w:t>: This indicator would not be relevant for real estate funds.</w:t>
      </w:r>
    </w:p>
    <w:p w14:paraId="682F23D0" w14:textId="77777777" w:rsidR="00536E92" w:rsidRPr="009367F4" w:rsidRDefault="00536E92" w:rsidP="00536E92">
      <w:pPr>
        <w:pStyle w:val="Paragraphedeliste"/>
        <w:numPr>
          <w:ilvl w:val="0"/>
          <w:numId w:val="9"/>
        </w:numPr>
        <w:spacing w:after="0" w:line="240" w:lineRule="auto"/>
        <w:jc w:val="both"/>
        <w:rPr>
          <w:rFonts w:cstheme="minorHAnsi"/>
        </w:rPr>
      </w:pPr>
      <w:r w:rsidRPr="009367F4">
        <w:rPr>
          <w:rFonts w:cstheme="minorHAnsi"/>
          <w:u w:val="single"/>
        </w:rPr>
        <w:t>Interference in the formation of trade unions or election of worker representatives</w:t>
      </w:r>
      <w:r w:rsidRPr="009367F4">
        <w:rPr>
          <w:rFonts w:cstheme="minorHAnsi"/>
        </w:rPr>
        <w:t>: The asset manager would have no knowledge about that in the real estate sector respectively in the supply chain, nor could this data be readily obtained, as companies in the supply are not obliged to report the data (due to the size and nature of their operations and have no disclosure requirements).</w:t>
      </w:r>
    </w:p>
    <w:p w14:paraId="737DC218" w14:textId="77777777" w:rsidR="00536E92" w:rsidRPr="009367F4" w:rsidRDefault="00536E92" w:rsidP="00536E92">
      <w:pPr>
        <w:pStyle w:val="Paragraphedeliste"/>
        <w:numPr>
          <w:ilvl w:val="0"/>
          <w:numId w:val="9"/>
        </w:numPr>
        <w:spacing w:after="0" w:line="240" w:lineRule="auto"/>
        <w:jc w:val="both"/>
        <w:rPr>
          <w:rFonts w:cstheme="minorHAnsi"/>
        </w:rPr>
      </w:pPr>
      <w:r w:rsidRPr="009367F4">
        <w:rPr>
          <w:rFonts w:cstheme="minorHAnsi"/>
          <w:u w:val="single"/>
        </w:rPr>
        <w:t>Share of employees earning less than the adequate wage</w:t>
      </w:r>
      <w:r w:rsidRPr="009367F4">
        <w:rPr>
          <w:rFonts w:cstheme="minorHAnsi"/>
        </w:rPr>
        <w:t>: Obtaining data on this indicator would also be problematic regarding the supply chain.</w:t>
      </w:r>
    </w:p>
    <w:p w14:paraId="3A8C0343" w14:textId="77777777" w:rsidR="00536E92" w:rsidRPr="009367F4" w:rsidRDefault="00536E92" w:rsidP="00536E92">
      <w:pPr>
        <w:jc w:val="both"/>
        <w:rPr>
          <w:rFonts w:cstheme="minorHAnsi"/>
        </w:rPr>
      </w:pPr>
    </w:p>
    <w:p w14:paraId="13CBEF29" w14:textId="6A64F0C3" w:rsidR="009C41BB" w:rsidRPr="009367F4" w:rsidRDefault="00536E92" w:rsidP="00536E92">
      <w:pPr>
        <w:jc w:val="both"/>
        <w:rPr>
          <w:rFonts w:cstheme="minorHAnsi"/>
        </w:rPr>
      </w:pPr>
      <w:r w:rsidRPr="009367F4">
        <w:rPr>
          <w:rFonts w:cstheme="minorHAnsi"/>
        </w:rPr>
        <w:t xml:space="preserve">The PAI calculation may also be problematic if real estate funds are mixed through joint ventures or asset managers and financial advisory mandates. It would then be unclear how the PAIs of the asset manager are to be calculated and reported. Instead of applying the existing and/or new social PAI indicators one to one to real estate asset managing companies </w:t>
      </w:r>
      <w:r w:rsidRPr="009367F4">
        <w:rPr>
          <w:rFonts w:cstheme="minorHAnsi"/>
          <w:b/>
          <w:bCs/>
        </w:rPr>
        <w:t>we would rather propose social PAI indicators that are related to real estates</w:t>
      </w:r>
      <w:r w:rsidRPr="009367F4">
        <w:rPr>
          <w:rFonts w:cstheme="minorHAnsi"/>
        </w:rPr>
        <w:t>. This would do justice to the specifics of the products at issue. For example: Share of space rented to social or non-profit institutions or needy tenants, share of buildings that are fully inclusive (100% usable by persons with disabilities), share of socially subsidized housing.</w:t>
      </w:r>
    </w:p>
    <w:permEnd w:id="887372501"/>
    <w:p w14:paraId="11A2BA0F" w14:textId="77777777" w:rsidR="009C41BB" w:rsidRPr="009367F4" w:rsidRDefault="009C41BB" w:rsidP="009C41BB">
      <w:pPr>
        <w:rPr>
          <w:rFonts w:cstheme="minorHAnsi"/>
        </w:rPr>
      </w:pPr>
      <w:r w:rsidRPr="009367F4">
        <w:rPr>
          <w:rFonts w:cstheme="minorHAnsi"/>
        </w:rPr>
        <w:t>&lt;ESMA_QUESTION_SFDR_6&gt;</w:t>
      </w:r>
    </w:p>
    <w:p w14:paraId="2AC893D6" w14:textId="77777777" w:rsidR="009C41BB" w:rsidRPr="009367F4" w:rsidRDefault="009C41BB" w:rsidP="009C41BB">
      <w:pPr>
        <w:rPr>
          <w:rFonts w:cstheme="minorHAnsi"/>
        </w:rPr>
      </w:pPr>
    </w:p>
    <w:p w14:paraId="6BDC5008" w14:textId="77777777" w:rsidR="009C41BB" w:rsidRPr="009E4123" w:rsidRDefault="009C41BB" w:rsidP="009E4123">
      <w:pPr>
        <w:pStyle w:val="Questionstyle"/>
      </w:pPr>
      <w:bookmarkStart w:id="6" w:name="_Hlk131609836"/>
      <w:r w:rsidRPr="009E4123">
        <w:t xml:space="preserve">: For real estate assets, do you see any merit in adjusting the definition of PAI indicator 22 of Table 1 </w:t>
      </w:r>
      <w:proofErr w:type="gramStart"/>
      <w:r w:rsidRPr="009E4123">
        <w:t>in order to</w:t>
      </w:r>
      <w:proofErr w:type="gramEnd"/>
      <w:r w:rsidRPr="009E4123">
        <w:t xml:space="preserve"> align it with the EU Taxonomy criteria applicable to the DNSH of the climate change mitigation objective under the climate change adaptation objective?</w:t>
      </w:r>
    </w:p>
    <w:bookmarkEnd w:id="6"/>
    <w:p w14:paraId="7DF73432" w14:textId="77777777" w:rsidR="009C41BB" w:rsidRPr="009367F4" w:rsidRDefault="009C41BB" w:rsidP="009C41BB">
      <w:pPr>
        <w:rPr>
          <w:rFonts w:cstheme="minorHAnsi"/>
        </w:rPr>
      </w:pPr>
      <w:r w:rsidRPr="009367F4">
        <w:rPr>
          <w:rFonts w:cstheme="minorHAnsi"/>
        </w:rPr>
        <w:t>&lt;ESMA_QUESTION_SFDR_7&gt;</w:t>
      </w:r>
    </w:p>
    <w:p w14:paraId="0EF4347B" w14:textId="77777777" w:rsidR="00417E6B" w:rsidRPr="009367F4" w:rsidRDefault="00417E6B" w:rsidP="00417E6B">
      <w:pPr>
        <w:jc w:val="both"/>
        <w:rPr>
          <w:rFonts w:cstheme="minorHAnsi"/>
          <w:lang w:val="en-US"/>
        </w:rPr>
      </w:pPr>
      <w:permStart w:id="1335120249" w:edGrp="everyone"/>
      <w:r w:rsidRPr="009367F4">
        <w:rPr>
          <w:rFonts w:cstheme="minorHAnsi"/>
        </w:rPr>
        <w:t xml:space="preserve"> </w:t>
      </w:r>
      <w:r w:rsidRPr="009367F4">
        <w:rPr>
          <w:rFonts w:cstheme="minorHAnsi"/>
          <w:lang w:val="en-US"/>
        </w:rPr>
        <w:t>In ESBG’s views, adjusting the definition of PAI indicator 22 of Table 1 has both advantages and disadvantages.</w:t>
      </w:r>
    </w:p>
    <w:p w14:paraId="498DFCB8" w14:textId="77777777" w:rsidR="00417E6B" w:rsidRPr="009367F4" w:rsidRDefault="00417E6B" w:rsidP="00417E6B">
      <w:pPr>
        <w:jc w:val="both"/>
        <w:rPr>
          <w:rFonts w:cstheme="minorHAnsi"/>
          <w:lang w:val="en-US"/>
        </w:rPr>
      </w:pPr>
      <w:r w:rsidRPr="009367F4">
        <w:rPr>
          <w:rFonts w:cstheme="minorHAnsi"/>
          <w:u w:val="single"/>
          <w:lang w:val="en-US"/>
        </w:rPr>
        <w:t>Advantages</w:t>
      </w:r>
      <w:r w:rsidRPr="009367F4">
        <w:rPr>
          <w:rFonts w:cstheme="minorHAnsi"/>
          <w:lang w:val="en-US"/>
        </w:rPr>
        <w:t xml:space="preserve">: </w:t>
      </w:r>
    </w:p>
    <w:p w14:paraId="6724F4DC" w14:textId="77777777" w:rsidR="00417E6B" w:rsidRPr="009367F4" w:rsidRDefault="00417E6B" w:rsidP="00417E6B">
      <w:pPr>
        <w:jc w:val="both"/>
        <w:rPr>
          <w:rFonts w:cstheme="minorHAnsi"/>
          <w:lang w:val="en-US"/>
        </w:rPr>
      </w:pPr>
      <w:r w:rsidRPr="009367F4">
        <w:rPr>
          <w:rFonts w:cstheme="minorHAnsi"/>
          <w:lang w:val="en-US"/>
        </w:rPr>
        <w:lastRenderedPageBreak/>
        <w:t>·</w:t>
      </w:r>
      <w:proofErr w:type="spellStart"/>
      <w:r w:rsidRPr="009367F4">
        <w:rPr>
          <w:rFonts w:cstheme="minorHAnsi"/>
          <w:lang w:val="en-US"/>
        </w:rPr>
        <w:t>Harmonising</w:t>
      </w:r>
      <w:proofErr w:type="spellEnd"/>
      <w:r w:rsidRPr="009367F4">
        <w:rPr>
          <w:rFonts w:cstheme="minorHAnsi"/>
          <w:lang w:val="en-US"/>
        </w:rPr>
        <w:t xml:space="preserve"> the definition with the Taxonomy Regulation would improve the comprehensibility of the subject and simplify parallel strategies (PAI product and taxonomy proportion).</w:t>
      </w:r>
    </w:p>
    <w:p w14:paraId="1AFEE8DB" w14:textId="06DD3063" w:rsidR="00417E6B" w:rsidRPr="009367F4" w:rsidRDefault="00417E6B" w:rsidP="00417E6B">
      <w:pPr>
        <w:jc w:val="both"/>
        <w:rPr>
          <w:rFonts w:cstheme="minorHAnsi"/>
          <w:lang w:val="en-US"/>
        </w:rPr>
      </w:pPr>
      <w:r w:rsidRPr="009367F4">
        <w:rPr>
          <w:rFonts w:cstheme="minorHAnsi"/>
          <w:lang w:val="en-US"/>
        </w:rPr>
        <w:t xml:space="preserve">·Improving a building from D to C </w:t>
      </w:r>
      <w:proofErr w:type="gramStart"/>
      <w:r w:rsidRPr="009367F4">
        <w:rPr>
          <w:rFonts w:cstheme="minorHAnsi"/>
          <w:lang w:val="en-US"/>
        </w:rPr>
        <w:t>in order to</w:t>
      </w:r>
      <w:proofErr w:type="gramEnd"/>
      <w:r w:rsidRPr="009367F4">
        <w:rPr>
          <w:rFonts w:cstheme="minorHAnsi"/>
          <w:lang w:val="en-US"/>
        </w:rPr>
        <w:t xml:space="preserve"> improve the PAI quota brings more than improving a building from C to B.</w:t>
      </w:r>
    </w:p>
    <w:p w14:paraId="4037D4AD" w14:textId="77777777" w:rsidR="00417E6B" w:rsidRPr="009367F4" w:rsidRDefault="00417E6B" w:rsidP="00417E6B">
      <w:pPr>
        <w:jc w:val="both"/>
        <w:rPr>
          <w:rFonts w:cstheme="minorHAnsi"/>
          <w:lang w:val="en-US"/>
        </w:rPr>
      </w:pPr>
      <w:r w:rsidRPr="009367F4">
        <w:rPr>
          <w:rFonts w:cstheme="minorHAnsi"/>
          <w:u w:val="single"/>
          <w:lang w:val="en-US"/>
        </w:rPr>
        <w:t>Disadvantages</w:t>
      </w:r>
      <w:r w:rsidRPr="009367F4">
        <w:rPr>
          <w:rFonts w:cstheme="minorHAnsi"/>
          <w:lang w:val="en-US"/>
        </w:rPr>
        <w:t xml:space="preserve">: </w:t>
      </w:r>
    </w:p>
    <w:p w14:paraId="38E6D6C0" w14:textId="77777777" w:rsidR="00417E6B" w:rsidRPr="009367F4" w:rsidRDefault="00417E6B" w:rsidP="00417E6B">
      <w:pPr>
        <w:jc w:val="both"/>
        <w:rPr>
          <w:rFonts w:cstheme="minorHAnsi"/>
          <w:lang w:val="en-US"/>
        </w:rPr>
      </w:pPr>
      <w:r w:rsidRPr="009367F4">
        <w:rPr>
          <w:rFonts w:cstheme="minorHAnsi"/>
          <w:lang w:val="en-US"/>
        </w:rPr>
        <w:t xml:space="preserve">·The market for A-C real estates is broader so that there would be less investment pressure for </w:t>
      </w:r>
      <w:proofErr w:type="gramStart"/>
      <w:r w:rsidRPr="009367F4">
        <w:rPr>
          <w:rFonts w:cstheme="minorHAnsi"/>
          <w:lang w:val="en-US"/>
        </w:rPr>
        <w:t>really efficient</w:t>
      </w:r>
      <w:proofErr w:type="gramEnd"/>
      <w:r w:rsidRPr="009367F4">
        <w:rPr>
          <w:rFonts w:cstheme="minorHAnsi"/>
          <w:lang w:val="en-US"/>
        </w:rPr>
        <w:t xml:space="preserve"> buildings (A and B buildings).</w:t>
      </w:r>
    </w:p>
    <w:p w14:paraId="0AC95ECB" w14:textId="77777777" w:rsidR="00417E6B" w:rsidRPr="009367F4" w:rsidRDefault="00417E6B" w:rsidP="00417E6B">
      <w:pPr>
        <w:jc w:val="both"/>
        <w:rPr>
          <w:rFonts w:cstheme="minorHAnsi"/>
          <w:lang w:val="en-US"/>
        </w:rPr>
      </w:pPr>
      <w:r w:rsidRPr="009367F4">
        <w:rPr>
          <w:rFonts w:cstheme="minorHAnsi"/>
          <w:lang w:val="en-US"/>
        </w:rPr>
        <w:t>·The demand for improvement becomes lower, so we are afraid that less will be invested as well.</w:t>
      </w:r>
    </w:p>
    <w:p w14:paraId="0F9A5495" w14:textId="6A463975" w:rsidR="009C41BB" w:rsidRDefault="00417E6B" w:rsidP="00417E6B">
      <w:pPr>
        <w:jc w:val="both"/>
      </w:pPr>
      <w:r w:rsidRPr="009367F4">
        <w:rPr>
          <w:rFonts w:cstheme="minorHAnsi"/>
          <w:lang w:val="en-US"/>
        </w:rPr>
        <w:t>Furthermore, it must be stated that data availability is already not a given. When establishing new reporting obligations, it is essential to ensure that the data is available</w:t>
      </w:r>
      <w:r w:rsidRPr="00C834B9">
        <w:rPr>
          <w:lang w:val="en-US"/>
        </w:rPr>
        <w:t>.</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E4123">
      <w:pPr>
        <w:pStyle w:val="Questionstyle"/>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572BAA31" w14:textId="5A45EAB5" w:rsidR="004D3804" w:rsidRPr="009367F4" w:rsidRDefault="004D3804" w:rsidP="004D3804">
      <w:pPr>
        <w:jc w:val="both"/>
        <w:rPr>
          <w:rFonts w:cstheme="minorHAnsi"/>
          <w:noProof/>
          <w:lang w:val="en-US"/>
        </w:rPr>
      </w:pPr>
      <w:permStart w:id="1288714632" w:edGrp="everyone"/>
      <w:r>
        <w:t xml:space="preserve"> </w:t>
      </w:r>
      <w:r w:rsidRPr="009367F4">
        <w:rPr>
          <w:rFonts w:cstheme="minorHAnsi"/>
        </w:rPr>
        <w:t>ESBG sees indeed some challenges in this regard. The main challenge in the calculation of the PAI indicators are (</w:t>
      </w:r>
      <w:proofErr w:type="spellStart"/>
      <w:r w:rsidRPr="009367F4">
        <w:rPr>
          <w:rFonts w:cstheme="minorHAnsi"/>
        </w:rPr>
        <w:t>i</w:t>
      </w:r>
      <w:proofErr w:type="spellEnd"/>
      <w:r w:rsidRPr="009367F4">
        <w:rPr>
          <w:rFonts w:cstheme="minorHAnsi"/>
        </w:rPr>
        <w:t>) the coverage ratio and (ii) the fact that the Enterprise Value Including Cash (“EVIC”) value is not always available on the same date or regarding all companies. When it comes to reporting, this lack of consistency causes additional difficulties.</w:t>
      </w:r>
    </w:p>
    <w:p w14:paraId="74B9AA2E" w14:textId="474A0735" w:rsidR="004D3804" w:rsidRPr="009367F4" w:rsidRDefault="004D3804" w:rsidP="004D3804">
      <w:pPr>
        <w:jc w:val="both"/>
        <w:rPr>
          <w:rFonts w:cstheme="minorHAnsi"/>
          <w:noProof/>
          <w:lang w:val="en-US"/>
        </w:rPr>
      </w:pPr>
      <w:r w:rsidRPr="009367F4">
        <w:rPr>
          <w:rFonts w:cstheme="minorHAnsi"/>
          <w:noProof/>
          <w:lang w:val="en-US"/>
        </w:rPr>
        <w:t>The connection between the market value of investments and the enterprise value of the investment companies, as introduced by the Q&amp;A published on 17 November 2022 under the reference JC 2022 82 (the “Q&amp;A”) is very problematic as regards to its inner logic.</w:t>
      </w:r>
    </w:p>
    <w:p w14:paraId="6F57211F" w14:textId="7E0353D7" w:rsidR="004D3804" w:rsidRPr="009367F4" w:rsidRDefault="004D3804" w:rsidP="004D3804">
      <w:pPr>
        <w:jc w:val="both"/>
        <w:rPr>
          <w:rFonts w:cstheme="minorHAnsi"/>
          <w:noProof/>
          <w:lang w:val="en-US"/>
        </w:rPr>
      </w:pPr>
      <w:r w:rsidRPr="009367F4">
        <w:rPr>
          <w:rFonts w:cstheme="minorHAnsi"/>
          <w:noProof/>
          <w:lang w:val="en-US"/>
        </w:rPr>
        <w:t>The calculation requires that the market value is calculated by weighing the average number of shares during the timeframe analysed with the valuation of the investment at the date of the fiscal year end of the investment company. This is problematic due to the following reasons:</w:t>
      </w:r>
    </w:p>
    <w:p w14:paraId="7C9E895C" w14:textId="77777777" w:rsidR="004D3804" w:rsidRPr="009367F4" w:rsidRDefault="004D3804" w:rsidP="004D3804">
      <w:pPr>
        <w:pStyle w:val="Paragraphedeliste"/>
        <w:numPr>
          <w:ilvl w:val="0"/>
          <w:numId w:val="10"/>
        </w:numPr>
        <w:spacing w:after="0" w:line="240" w:lineRule="auto"/>
        <w:jc w:val="both"/>
        <w:rPr>
          <w:rFonts w:cstheme="minorHAnsi"/>
          <w:noProof/>
          <w:lang w:val="en-US"/>
        </w:rPr>
      </w:pPr>
      <w:r w:rsidRPr="009367F4">
        <w:rPr>
          <w:rFonts w:cstheme="minorHAnsi"/>
          <w:noProof/>
          <w:lang w:val="en-US"/>
        </w:rPr>
        <w:t>The fiscal year end is not necessarily available for all investments, for which data for the PAI indicators is available. This means that either for such an investment an arbitrary fiscal year end must be considered (which would contradict the requirement laid out by the Q&amp;A, or that such an investment cannot be included in the calculation. The latter one can not be in the interest of the regulator, since it artificially reduces the coverage of PAI-indicators.</w:t>
      </w:r>
    </w:p>
    <w:p w14:paraId="69088C39" w14:textId="77777777" w:rsidR="004D3804" w:rsidRPr="009367F4" w:rsidRDefault="004D3804" w:rsidP="004D3804">
      <w:pPr>
        <w:pStyle w:val="Paragraphedeliste"/>
        <w:numPr>
          <w:ilvl w:val="0"/>
          <w:numId w:val="10"/>
        </w:numPr>
        <w:spacing w:after="0" w:line="240" w:lineRule="auto"/>
        <w:jc w:val="both"/>
        <w:rPr>
          <w:rFonts w:cstheme="minorHAnsi"/>
          <w:noProof/>
          <w:lang w:val="en-US"/>
        </w:rPr>
      </w:pPr>
      <w:r w:rsidRPr="009367F4">
        <w:rPr>
          <w:rFonts w:cstheme="minorHAnsi"/>
          <w:noProof/>
          <w:lang w:val="en-US"/>
        </w:rPr>
        <w:t xml:space="preserve">If a FMP invests in funds, the PAI calculation must consider those investments as well. However, even though reliable data for the PAI indicators for funds is available, the weighting with the valuation at fiscal year end of a fund constituent cannot be carried out, since this fiscal year end is not known. This means that unless the FMP has a full “see-through” to the constituents of a fund, the financial market participant must use the funds valuation for calculating the PAI-indicator. Since a fiscal year end for the funds constituents is not available, </w:t>
      </w:r>
      <w:r w:rsidRPr="009367F4">
        <w:rPr>
          <w:rFonts w:cstheme="minorHAnsi"/>
          <w:noProof/>
          <w:lang w:val="en-US"/>
        </w:rPr>
        <w:lastRenderedPageBreak/>
        <w:t>an arbitrary fiscal year end of e.g. 31st December of the analysed year must be used. Since funds might make up a large proportion of an investment of FMPs, this means that a (potentially large) proportion of investments cannot be included in the PAI calculation but only by using the market valuation at an arbitrary date.</w:t>
      </w:r>
    </w:p>
    <w:p w14:paraId="07F86604" w14:textId="77777777" w:rsidR="004D3804" w:rsidRPr="009367F4" w:rsidRDefault="004D3804" w:rsidP="004D3804">
      <w:pPr>
        <w:pStyle w:val="Paragraphedeliste"/>
        <w:numPr>
          <w:ilvl w:val="0"/>
          <w:numId w:val="10"/>
        </w:numPr>
        <w:spacing w:after="0" w:line="240" w:lineRule="auto"/>
        <w:jc w:val="both"/>
        <w:rPr>
          <w:rFonts w:cstheme="minorHAnsi"/>
          <w:noProof/>
          <w:lang w:val="en-US"/>
        </w:rPr>
      </w:pPr>
      <w:r w:rsidRPr="009367F4">
        <w:rPr>
          <w:rFonts w:cstheme="minorHAnsi"/>
          <w:noProof/>
          <w:lang w:val="en-US"/>
        </w:rPr>
        <w:t>Most importantly, however, the introduction of the valuation of an investment at its fiscal year end implies that the calculation is differing greatly from common valuation of shares, bonds, funds etc. Assets are valued with their valuation at the time when they are analysed. A priori expectation for valuations of assets in the PAI aggregation is that their valuation is considered at 31st March, 30th June, 30th September and 31st September (if the calculation is carried out on a quarterly basis). With the introduction of the fiscal year end valuation as layed down the ESA Q&amp;Ai, however, artificial valuations are created, which can differ greatly from the average market valuation of FMP investments and thus hinder understanding of the PAI statement.</w:t>
      </w:r>
    </w:p>
    <w:p w14:paraId="5F6E4BDE" w14:textId="77777777" w:rsidR="004D3804" w:rsidRPr="009367F4" w:rsidRDefault="004D3804" w:rsidP="004D3804">
      <w:pPr>
        <w:jc w:val="both"/>
        <w:rPr>
          <w:rFonts w:cstheme="minorHAnsi"/>
          <w:noProof/>
          <w:lang w:val="en-US"/>
        </w:rPr>
      </w:pPr>
    </w:p>
    <w:p w14:paraId="668ACE9C" w14:textId="24E483B8" w:rsidR="009C41BB" w:rsidRPr="004D3804" w:rsidRDefault="004D3804" w:rsidP="004D3804">
      <w:pPr>
        <w:jc w:val="both"/>
        <w:rPr>
          <w:rFonts w:ascii="Arial" w:hAnsi="Arial" w:cs="Arial"/>
        </w:rPr>
      </w:pPr>
      <w:r w:rsidRPr="009367F4">
        <w:rPr>
          <w:rFonts w:cstheme="minorHAnsi"/>
          <w:noProof/>
          <w:lang w:val="en-US"/>
        </w:rPr>
        <w:t>To reduce the bias in the PAI impact calculation, we recommend for transparency and consistency purposes, to adopt an approach that relies on a quarterly estimation of the enterprise value based on market prices to calculate the detention percentage</w:t>
      </w:r>
      <w:r w:rsidRPr="004D3804">
        <w:rPr>
          <w:rFonts w:ascii="Arial" w:hAnsi="Arial" w:cs="Arial"/>
          <w:noProof/>
          <w:lang w:val="en-US"/>
        </w:rPr>
        <w:t>.</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E4123">
      <w:pPr>
        <w:pStyle w:val="Questionstyle"/>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29E6B92C" w14:textId="4D4F6758" w:rsidR="005720D7" w:rsidRPr="009367F4" w:rsidRDefault="005720D7" w:rsidP="005720D7">
      <w:pPr>
        <w:jc w:val="both"/>
        <w:rPr>
          <w:rFonts w:cstheme="minorHAnsi"/>
        </w:rPr>
      </w:pPr>
      <w:permStart w:id="2059607147" w:edGrp="everyone"/>
      <w:r>
        <w:t xml:space="preserve"> </w:t>
      </w:r>
      <w:r w:rsidRPr="009367F4">
        <w:rPr>
          <w:rFonts w:cstheme="minorHAnsi"/>
        </w:rPr>
        <w:t xml:space="preserve">ESBG welcomes that the ESAs already adjusted some formulae in Annex I of SFDR Delegated Regulation, especially the formulae for calculating the current PAI Indicators 3 and 15 (GHG intensity of investee companies and GHG intensity of investee countries).  Furthermore, the introduction of formulae for each PAI indicator is very much </w:t>
      </w:r>
      <w:proofErr w:type="gramStart"/>
      <w:r w:rsidRPr="009367F4">
        <w:rPr>
          <w:rFonts w:cstheme="minorHAnsi"/>
        </w:rPr>
        <w:t>appreciated, since</w:t>
      </w:r>
      <w:proofErr w:type="gramEnd"/>
      <w:r w:rsidRPr="009367F4">
        <w:rPr>
          <w:rFonts w:cstheme="minorHAnsi"/>
        </w:rPr>
        <w:t xml:space="preserve"> it could help to prevent misunderstandings.  </w:t>
      </w:r>
    </w:p>
    <w:p w14:paraId="135AA2EE" w14:textId="77777777" w:rsidR="005720D7" w:rsidRPr="009367F4" w:rsidRDefault="005720D7" w:rsidP="005720D7">
      <w:pPr>
        <w:jc w:val="both"/>
        <w:rPr>
          <w:rFonts w:cstheme="minorHAnsi"/>
        </w:rPr>
      </w:pPr>
      <w:r w:rsidRPr="009367F4">
        <w:rPr>
          <w:rFonts w:cstheme="minorHAnsi"/>
        </w:rPr>
        <w:t xml:space="preserve">Nevertheless, we would like to suggest the following amendments: </w:t>
      </w:r>
    </w:p>
    <w:p w14:paraId="254ACD3B" w14:textId="7A3C7F38" w:rsidR="005720D7" w:rsidRPr="009367F4" w:rsidRDefault="005720D7" w:rsidP="005720D7">
      <w:pPr>
        <w:jc w:val="both"/>
        <w:rPr>
          <w:rFonts w:cstheme="minorHAnsi"/>
        </w:rPr>
      </w:pPr>
      <w:r w:rsidRPr="009367F4">
        <w:rPr>
          <w:rFonts w:cstheme="minorHAnsi"/>
          <w:u w:val="single"/>
        </w:rPr>
        <w:t>“</w:t>
      </w:r>
      <w:proofErr w:type="gramStart"/>
      <w:r w:rsidRPr="009367F4">
        <w:rPr>
          <w:rFonts w:cstheme="minorHAnsi"/>
          <w:u w:val="single"/>
        </w:rPr>
        <w:t>exposure</w:t>
      </w:r>
      <w:proofErr w:type="gramEnd"/>
      <w:r w:rsidRPr="009367F4">
        <w:rPr>
          <w:rFonts w:cstheme="minorHAnsi"/>
          <w:u w:val="single"/>
        </w:rPr>
        <w:t xml:space="preserve"> to companies active in the coal sector”</w:t>
      </w:r>
      <w:r w:rsidRPr="009367F4">
        <w:rPr>
          <w:rFonts w:cstheme="minorHAnsi"/>
        </w:rPr>
        <w:t xml:space="preserve">: coal sector is not clearly defined. Is it related to thermal and/or metallurgical coal, coal power plants, trading, transportation, or mining?  A revenue threshold should be defined. ESBG believes it is unfair to treat companies with 1% and 100% exposure with the same footing. </w:t>
      </w:r>
    </w:p>
    <w:p w14:paraId="19A9A6C6" w14:textId="7DE988E4" w:rsidR="005720D7" w:rsidRPr="009367F4" w:rsidRDefault="005720D7" w:rsidP="005720D7">
      <w:pPr>
        <w:jc w:val="both"/>
        <w:rPr>
          <w:rFonts w:cstheme="minorHAnsi"/>
        </w:rPr>
      </w:pPr>
      <w:r w:rsidRPr="009367F4">
        <w:rPr>
          <w:rFonts w:cstheme="minorHAnsi"/>
          <w:u w:val="single"/>
        </w:rPr>
        <w:t>‘</w:t>
      </w:r>
      <w:proofErr w:type="gramStart"/>
      <w:r w:rsidRPr="009367F4">
        <w:rPr>
          <w:rFonts w:cstheme="minorHAnsi"/>
          <w:u w:val="single"/>
        </w:rPr>
        <w:t>companies</w:t>
      </w:r>
      <w:proofErr w:type="gramEnd"/>
      <w:r w:rsidRPr="009367F4">
        <w:rPr>
          <w:rFonts w:cstheme="minorHAnsi"/>
          <w:u w:val="single"/>
        </w:rPr>
        <w:t xml:space="preserve"> active in the fossil fuel sector’</w:t>
      </w:r>
      <w:r w:rsidRPr="009367F4">
        <w:rPr>
          <w:rFonts w:cstheme="minorHAnsi"/>
        </w:rPr>
        <w:t>: A revenue threshold should be defined. It is unfair to treat companies with 1% and 100% exposure to that sector with the same footing.</w:t>
      </w:r>
    </w:p>
    <w:p w14:paraId="06A0BAD3" w14:textId="03359548" w:rsidR="005720D7" w:rsidRPr="009367F4" w:rsidRDefault="005720D7" w:rsidP="005720D7">
      <w:pPr>
        <w:jc w:val="both"/>
        <w:rPr>
          <w:rFonts w:cstheme="minorHAnsi"/>
        </w:rPr>
      </w:pPr>
      <w:r w:rsidRPr="009367F4">
        <w:rPr>
          <w:rFonts w:cstheme="minorHAnsi"/>
          <w:u w:val="single"/>
        </w:rPr>
        <w:t>‘</w:t>
      </w:r>
      <w:proofErr w:type="gramStart"/>
      <w:r w:rsidRPr="009367F4">
        <w:rPr>
          <w:rFonts w:cstheme="minorHAnsi"/>
          <w:u w:val="single"/>
        </w:rPr>
        <w:t>energy</w:t>
      </w:r>
      <w:proofErr w:type="gramEnd"/>
      <w:r w:rsidRPr="009367F4">
        <w:rPr>
          <w:rFonts w:cstheme="minorHAnsi"/>
          <w:u w:val="single"/>
        </w:rPr>
        <w:t xml:space="preserve"> consumption intensity per high impact climate sector’</w:t>
      </w:r>
      <w:r w:rsidRPr="009367F4">
        <w:rPr>
          <w:rFonts w:cstheme="minorHAnsi"/>
        </w:rPr>
        <w:t xml:space="preserve">:   In formula 7 for ‘energy consumption intensity per high impact climate sector’ it is proposed that a company’s energy consumption intensity shall be weighted by the company’s revenue that falls into the NACE-sector [A-H, L]. However, this data is not readily available. Companies are attributed to a specific </w:t>
      </w:r>
      <w:proofErr w:type="gramStart"/>
      <w:r w:rsidRPr="009367F4">
        <w:rPr>
          <w:rFonts w:cstheme="minorHAnsi"/>
        </w:rPr>
        <w:t>NACE-sector as a whole</w:t>
      </w:r>
      <w:proofErr w:type="gramEnd"/>
      <w:r w:rsidRPr="009367F4">
        <w:rPr>
          <w:rFonts w:cstheme="minorHAnsi"/>
        </w:rPr>
        <w:t xml:space="preserve">. Thus, the </w:t>
      </w:r>
      <w:r w:rsidRPr="009367F4">
        <w:rPr>
          <w:rFonts w:cstheme="minorHAnsi"/>
        </w:rPr>
        <w:lastRenderedPageBreak/>
        <w:t>introduction of this requirement would imply further complications to an already very complicated calculation. We would propose to account for the NACE-sectors in the definition of ‘all investments’ (see also our response to question 12). This way an artificial reduction of PAI 6 is avoided without introducing further burdens on FMPs.</w:t>
      </w:r>
    </w:p>
    <w:p w14:paraId="304C09A3" w14:textId="39ACA7C6" w:rsidR="005720D7" w:rsidRPr="009367F4" w:rsidRDefault="005720D7" w:rsidP="005720D7">
      <w:pPr>
        <w:jc w:val="both"/>
        <w:rPr>
          <w:rFonts w:cstheme="minorHAnsi"/>
        </w:rPr>
      </w:pPr>
      <w:r w:rsidRPr="009367F4">
        <w:rPr>
          <w:rFonts w:ascii="Cambria Math" w:hAnsi="Cambria Math" w:cs="Cambria Math"/>
          <w:u w:val="single"/>
        </w:rPr>
        <w:t>𝐺</w:t>
      </w:r>
      <w:r w:rsidRPr="009367F4">
        <w:rPr>
          <w:rFonts w:cstheme="minorHAnsi"/>
          <w:u w:val="single"/>
        </w:rPr>
        <w:t xml:space="preserve">ender pay gap: </w:t>
      </w:r>
      <w:r w:rsidRPr="009367F4">
        <w:rPr>
          <w:rFonts w:cstheme="minorHAnsi"/>
        </w:rPr>
        <w:t>In the formula 13, G</w:t>
      </w:r>
      <w:r w:rsidRPr="009367F4">
        <w:rPr>
          <w:rFonts w:ascii="Cambria Math" w:hAnsi="Cambria Math" w:cs="Cambria Math"/>
        </w:rPr>
        <w:t>𝑒𝑛𝑑𝑒𝑟</w:t>
      </w:r>
      <w:r w:rsidRPr="009367F4">
        <w:rPr>
          <w:rFonts w:cstheme="minorHAnsi"/>
        </w:rPr>
        <w:t xml:space="preserve"> </w:t>
      </w:r>
      <w:r w:rsidRPr="009367F4">
        <w:rPr>
          <w:rFonts w:ascii="Cambria Math" w:hAnsi="Cambria Math" w:cs="Cambria Math"/>
        </w:rPr>
        <w:t>𝑃𝑎𝑦</w:t>
      </w:r>
      <w:r w:rsidRPr="009367F4">
        <w:rPr>
          <w:rFonts w:cstheme="minorHAnsi"/>
        </w:rPr>
        <w:t xml:space="preserve"> </w:t>
      </w:r>
      <w:r w:rsidRPr="009367F4">
        <w:rPr>
          <w:rFonts w:ascii="Cambria Math" w:hAnsi="Cambria Math" w:cs="Cambria Math"/>
        </w:rPr>
        <w:t>𝐺𝑎𝑝</w:t>
      </w:r>
      <w:r w:rsidRPr="009367F4">
        <w:rPr>
          <w:rFonts w:cstheme="minorHAnsi"/>
        </w:rPr>
        <w:t xml:space="preserve"> is floored at 0. However, to address the gender gap, companies where females are paid more than male should be encouraged.  It should allow for negative values, in the case when women are paid more. The definition of the calculation of the gender pay gap is a maximization formula. However, since the payment for male and female employees of an investment company is taken as a whole (lower script for the payments of male and female employees), the maximization does not appear necessary.</w:t>
      </w:r>
    </w:p>
    <w:p w14:paraId="4505EC0F" w14:textId="2FAD2EC0" w:rsidR="005720D7" w:rsidRPr="009367F4" w:rsidRDefault="005720D7" w:rsidP="005720D7">
      <w:pPr>
        <w:jc w:val="both"/>
        <w:rPr>
          <w:rFonts w:cstheme="minorHAnsi"/>
        </w:rPr>
      </w:pPr>
      <w:r w:rsidRPr="009367F4">
        <w:rPr>
          <w:rFonts w:cstheme="minorHAnsi"/>
          <w:u w:val="single"/>
        </w:rPr>
        <w:t>‘</w:t>
      </w:r>
      <w:proofErr w:type="gramStart"/>
      <w:r w:rsidRPr="009367F4">
        <w:rPr>
          <w:rFonts w:cstheme="minorHAnsi"/>
          <w:u w:val="single"/>
        </w:rPr>
        <w:t>amount</w:t>
      </w:r>
      <w:proofErr w:type="gramEnd"/>
      <w:r w:rsidRPr="009367F4">
        <w:rPr>
          <w:rFonts w:cstheme="minorHAnsi"/>
          <w:u w:val="single"/>
        </w:rPr>
        <w:t xml:space="preserve"> of accumulated earnings in non-cooperative tax jurisdictions:</w:t>
      </w:r>
      <w:r w:rsidRPr="009367F4">
        <w:rPr>
          <w:rFonts w:cstheme="minorHAnsi"/>
        </w:rPr>
        <w:t xml:space="preserve"> </w:t>
      </w:r>
      <w:r w:rsidRPr="009367F4">
        <w:rPr>
          <w:rFonts w:ascii="Cambria Math" w:hAnsi="Cambria Math" w:cs="Cambria Math"/>
        </w:rPr>
        <w:t>𝑡ℎ𝑒</w:t>
      </w:r>
      <w:r w:rsidRPr="009367F4">
        <w:rPr>
          <w:rFonts w:cstheme="minorHAnsi"/>
        </w:rPr>
        <w:t xml:space="preserve"> </w:t>
      </w:r>
      <w:r w:rsidRPr="009367F4">
        <w:rPr>
          <w:rFonts w:ascii="Cambria Math" w:hAnsi="Cambria Math" w:cs="Cambria Math"/>
        </w:rPr>
        <w:t>𝐸𝑈</w:t>
      </w:r>
      <w:r w:rsidRPr="009367F4">
        <w:rPr>
          <w:rFonts w:cstheme="minorHAnsi"/>
        </w:rPr>
        <w:t xml:space="preserve"> </w:t>
      </w:r>
      <w:r w:rsidRPr="009367F4">
        <w:rPr>
          <w:rFonts w:ascii="Cambria Math" w:hAnsi="Cambria Math" w:cs="Cambria Math"/>
        </w:rPr>
        <w:t>𝑟𝑒𝑣𝑖𝑠𝑒𝑑</w:t>
      </w:r>
      <w:r w:rsidRPr="009367F4">
        <w:rPr>
          <w:rFonts w:cstheme="minorHAnsi"/>
        </w:rPr>
        <w:t xml:space="preserve"> </w:t>
      </w:r>
      <w:r w:rsidRPr="009367F4">
        <w:rPr>
          <w:rFonts w:ascii="Cambria Math" w:hAnsi="Cambria Math" w:cs="Cambria Math"/>
        </w:rPr>
        <w:t>𝑙𝑖𝑠𝑡</w:t>
      </w:r>
      <w:r w:rsidRPr="009367F4">
        <w:rPr>
          <w:rFonts w:cstheme="minorHAnsi"/>
        </w:rPr>
        <w:t xml:space="preserve"> </w:t>
      </w:r>
      <w:r w:rsidRPr="009367F4">
        <w:rPr>
          <w:rFonts w:ascii="Cambria Math" w:hAnsi="Cambria Math" w:cs="Cambria Math"/>
        </w:rPr>
        <w:t>𝑜𝑓</w:t>
      </w:r>
      <w:r w:rsidRPr="009367F4">
        <w:rPr>
          <w:rFonts w:cstheme="minorHAnsi"/>
        </w:rPr>
        <w:t xml:space="preserve"> </w:t>
      </w:r>
      <w:r w:rsidRPr="009367F4">
        <w:rPr>
          <w:rFonts w:ascii="Cambria Math" w:hAnsi="Cambria Math" w:cs="Cambria Math"/>
        </w:rPr>
        <w:t>𝑛𝑜𝑛</w:t>
      </w:r>
      <w:r w:rsidRPr="009367F4">
        <w:rPr>
          <w:rFonts w:cstheme="minorHAnsi"/>
        </w:rPr>
        <w:t xml:space="preserve"> − </w:t>
      </w:r>
      <w:r w:rsidRPr="009367F4">
        <w:rPr>
          <w:rFonts w:ascii="Cambria Math" w:hAnsi="Cambria Math" w:cs="Cambria Math"/>
        </w:rPr>
        <w:t>𝑐𝑜𝑜𝑝𝑒𝑟𝑎𝑡𝑖𝑣𝑒</w:t>
      </w:r>
      <w:r w:rsidRPr="009367F4">
        <w:rPr>
          <w:rFonts w:cstheme="minorHAnsi"/>
        </w:rPr>
        <w:t xml:space="preserve"> </w:t>
      </w:r>
      <w:r w:rsidRPr="009367F4">
        <w:rPr>
          <w:rFonts w:ascii="Cambria Math" w:hAnsi="Cambria Math" w:cs="Cambria Math"/>
        </w:rPr>
        <w:t>𝑗𝑢𝑟𝑖𝑑𝑖𝑐𝑡𝑖𝑜𝑛𝑠</w:t>
      </w:r>
      <w:r w:rsidRPr="009367F4">
        <w:rPr>
          <w:rFonts w:cstheme="minorHAnsi"/>
        </w:rPr>
        <w:t xml:space="preserve"> </w:t>
      </w:r>
      <w:r w:rsidRPr="009367F4">
        <w:rPr>
          <w:rFonts w:ascii="Cambria Math" w:hAnsi="Cambria Math" w:cs="Cambria Math"/>
        </w:rPr>
        <w:t>𝑓𝑜𝑟</w:t>
      </w:r>
      <w:r w:rsidRPr="009367F4">
        <w:rPr>
          <w:rFonts w:cstheme="minorHAnsi"/>
        </w:rPr>
        <w:t xml:space="preserve"> </w:t>
      </w:r>
      <w:r w:rsidRPr="009367F4">
        <w:rPr>
          <w:rFonts w:ascii="Cambria Math" w:hAnsi="Cambria Math" w:cs="Cambria Math"/>
        </w:rPr>
        <w:t>𝑡𝑎𝑥</w:t>
      </w:r>
      <w:r w:rsidRPr="009367F4">
        <w:rPr>
          <w:rFonts w:cstheme="minorHAnsi"/>
        </w:rPr>
        <w:t xml:space="preserve"> </w:t>
      </w:r>
      <w:r w:rsidRPr="009367F4">
        <w:rPr>
          <w:rFonts w:ascii="Cambria Math" w:hAnsi="Cambria Math" w:cs="Cambria Math"/>
        </w:rPr>
        <w:t>𝑝𝑢𝑟𝑝𝑜𝑠𝑒</w:t>
      </w:r>
      <w:r w:rsidRPr="009367F4">
        <w:rPr>
          <w:rFonts w:cstheme="minorHAnsi"/>
        </w:rPr>
        <w:t xml:space="preserve"> is a dynamic list with changing member jurisdictions. It should be specified the time point at which the list should be used in calculation. </w:t>
      </w:r>
    </w:p>
    <w:p w14:paraId="5470EF6E" w14:textId="21E741BC" w:rsidR="005720D7" w:rsidRPr="009367F4" w:rsidRDefault="005720D7" w:rsidP="005720D7">
      <w:pPr>
        <w:jc w:val="both"/>
        <w:rPr>
          <w:rFonts w:cstheme="minorHAnsi"/>
        </w:rPr>
      </w:pPr>
      <w:r w:rsidRPr="009367F4">
        <w:rPr>
          <w:rFonts w:cstheme="minorHAnsi"/>
          <w:u w:val="single"/>
        </w:rPr>
        <w:t>adequate wage:</w:t>
      </w:r>
      <w:r w:rsidRPr="009367F4">
        <w:rPr>
          <w:rFonts w:cstheme="minorHAnsi"/>
        </w:rPr>
        <w:t xml:space="preserve">  It should be left to the labour market to determine wage and employment. One would not be better off if unemployed compared to </w:t>
      </w:r>
      <w:proofErr w:type="spellStart"/>
      <w:r w:rsidRPr="009367F4">
        <w:rPr>
          <w:rFonts w:cstheme="minorHAnsi"/>
        </w:rPr>
        <w:t>earning</w:t>
      </w:r>
      <w:proofErr w:type="spellEnd"/>
      <w:r w:rsidRPr="009367F4">
        <w:rPr>
          <w:rFonts w:cstheme="minorHAnsi"/>
        </w:rPr>
        <w:t xml:space="preserve"> at least some wage. There is no definite threshold of adequate wage, which is different according to individual situation.</w:t>
      </w:r>
    </w:p>
    <w:p w14:paraId="4F397F01" w14:textId="3FD195CD" w:rsidR="005720D7" w:rsidRPr="009367F4" w:rsidRDefault="005720D7" w:rsidP="005720D7">
      <w:pPr>
        <w:jc w:val="both"/>
        <w:rPr>
          <w:rFonts w:cstheme="minorHAnsi"/>
        </w:rPr>
      </w:pPr>
      <w:r w:rsidRPr="009367F4">
        <w:rPr>
          <w:rFonts w:cstheme="minorHAnsi"/>
        </w:rPr>
        <w:t xml:space="preserve">Formula 21 for ‘investee countries subject to social violations’ is defined to be interpreted as a percentage value, same as with other “share of investments…” formulae. However, the new PAI-indicator 20 “Investee countries subject to social violations’” is defined as “Number of investee countries subject to social </w:t>
      </w:r>
      <w:proofErr w:type="gramStart"/>
      <w:r w:rsidRPr="009367F4">
        <w:rPr>
          <w:rFonts w:cstheme="minorHAnsi"/>
        </w:rPr>
        <w:t>violations,…</w:t>
      </w:r>
      <w:proofErr w:type="gramEnd"/>
      <w:r w:rsidRPr="009367F4">
        <w:rPr>
          <w:rFonts w:cstheme="minorHAnsi"/>
        </w:rPr>
        <w:t>” which contradicts formula 21. The formula for the PAI indicator and the PAI indicators description should be aligned.</w:t>
      </w:r>
    </w:p>
    <w:p w14:paraId="4D5F1AA0" w14:textId="6BCA26A6" w:rsidR="009C41BB" w:rsidRPr="009367F4" w:rsidRDefault="005720D7" w:rsidP="005720D7">
      <w:pPr>
        <w:jc w:val="both"/>
        <w:rPr>
          <w:rFonts w:cstheme="minorHAnsi"/>
        </w:rPr>
      </w:pPr>
      <w:r w:rsidRPr="009367F4">
        <w:rPr>
          <w:rFonts w:cstheme="minorHAnsi"/>
        </w:rPr>
        <w:t>In any case new formulae should not increase the complexity of calculating PAI indicators.</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E4123">
      <w:pPr>
        <w:pStyle w:val="Questionstyle"/>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17D21E65" w14:textId="0FF901FF" w:rsidR="00813527" w:rsidRPr="00F77725" w:rsidRDefault="00813527" w:rsidP="00813527">
      <w:pPr>
        <w:jc w:val="both"/>
        <w:rPr>
          <w:rFonts w:cstheme="minorHAnsi"/>
          <w:b/>
          <w:bCs/>
        </w:rPr>
      </w:pPr>
      <w:permStart w:id="1591695117" w:edGrp="everyone"/>
      <w:r>
        <w:t xml:space="preserve"> </w:t>
      </w:r>
      <w:r w:rsidRPr="00F77725">
        <w:rPr>
          <w:rFonts w:cstheme="minorHAnsi"/>
        </w:rPr>
        <w:t xml:space="preserve">We would like to point out that there were </w:t>
      </w:r>
      <w:r w:rsidRPr="00F77725">
        <w:rPr>
          <w:rFonts w:cstheme="minorHAnsi"/>
          <w:b/>
          <w:bCs/>
        </w:rPr>
        <w:t>numerous challenges when generating the first PAI aggregation, most notably the following:</w:t>
      </w:r>
    </w:p>
    <w:p w14:paraId="72E4D1BE" w14:textId="5ECE5C64" w:rsidR="00813527" w:rsidRPr="00F77725" w:rsidRDefault="00813527" w:rsidP="00813527">
      <w:pPr>
        <w:jc w:val="both"/>
        <w:rPr>
          <w:rFonts w:cstheme="minorHAnsi"/>
        </w:rPr>
      </w:pPr>
      <w:r w:rsidRPr="00F77725">
        <w:rPr>
          <w:rFonts w:cstheme="minorHAnsi"/>
        </w:rPr>
        <w:t>•</w:t>
      </w:r>
      <w:r w:rsidRPr="00F77725">
        <w:rPr>
          <w:rFonts w:cstheme="minorHAnsi"/>
        </w:rPr>
        <w:t xml:space="preserve"> </w:t>
      </w:r>
      <w:r w:rsidRPr="00F77725">
        <w:rPr>
          <w:rFonts w:cstheme="minorHAnsi"/>
        </w:rPr>
        <w:t xml:space="preserve">The introduction of the counter-intuitive connection of an investment valuation at its fiscal year end with Q&amp;A jc_2022_62_jc_sfdr_Q&amp;A_DelVO.pdf implied large efforts to change the calculation. It would be appreciated, if such changes are proposed with an amendment of the delegation regulation, as is done with this consultation (see Q8). </w:t>
      </w:r>
    </w:p>
    <w:p w14:paraId="4F4F6A0C" w14:textId="2DBB507B" w:rsidR="00813527" w:rsidRPr="00F77725" w:rsidRDefault="00813527" w:rsidP="00813527">
      <w:pPr>
        <w:jc w:val="both"/>
        <w:rPr>
          <w:rFonts w:cstheme="minorHAnsi"/>
        </w:rPr>
      </w:pPr>
      <w:r w:rsidRPr="00F77725">
        <w:rPr>
          <w:rFonts w:cstheme="minorHAnsi"/>
        </w:rPr>
        <w:lastRenderedPageBreak/>
        <w:t>•</w:t>
      </w:r>
      <w:r w:rsidRPr="00F77725">
        <w:rPr>
          <w:rFonts w:cstheme="minorHAnsi"/>
        </w:rPr>
        <w:t xml:space="preserve"> </w:t>
      </w:r>
      <w:r w:rsidRPr="00F77725">
        <w:rPr>
          <w:rFonts w:cstheme="minorHAnsi"/>
        </w:rPr>
        <w:t>The calculation of the “Carbon footprint” is contrary to the common calculation of the carbon footprint in the market. In the current formula for the carbon footprint it is required, that ‘all investments’ are considered as ‘million Euros’. This implies, that the denominator of the formula becomes artificially small compared to the nominator (where the current value of investment in company is considered) and thus means an artificially high carbon footprint. We appreciate that this has been corrected with formula 2 in this consultation.</w:t>
      </w:r>
    </w:p>
    <w:p w14:paraId="18F77A95" w14:textId="795340C0" w:rsidR="00813527" w:rsidRPr="00F77725" w:rsidRDefault="00813527" w:rsidP="00813527">
      <w:pPr>
        <w:jc w:val="both"/>
        <w:rPr>
          <w:rFonts w:cstheme="minorHAnsi"/>
        </w:rPr>
      </w:pPr>
      <w:r w:rsidRPr="00F77725">
        <w:rPr>
          <w:rFonts w:cstheme="minorHAnsi"/>
        </w:rPr>
        <w:t>•</w:t>
      </w:r>
      <w:r w:rsidRPr="00F77725">
        <w:rPr>
          <w:rFonts w:cstheme="minorHAnsi"/>
        </w:rPr>
        <w:t xml:space="preserve"> </w:t>
      </w:r>
      <w:r w:rsidRPr="00F77725">
        <w:rPr>
          <w:rFonts w:cstheme="minorHAnsi"/>
        </w:rPr>
        <w:t>Some of the PAI indicators (such as PAI 8, 9 12 and 13 of the current RTS have a very small coverage of ESG-data. We therefore welcome that the proposed new PAI indicators are based on the ESRS, which should reduce this problem for future calculations.</w:t>
      </w:r>
    </w:p>
    <w:p w14:paraId="7F2BA245" w14:textId="09E7F52C" w:rsidR="00813527" w:rsidRPr="00F77725" w:rsidRDefault="00813527" w:rsidP="00813527">
      <w:pPr>
        <w:jc w:val="both"/>
        <w:rPr>
          <w:rFonts w:cstheme="minorHAnsi"/>
          <w:noProof/>
        </w:rPr>
      </w:pPr>
      <w:r w:rsidRPr="00F77725">
        <w:rPr>
          <w:rFonts w:cstheme="minorHAnsi"/>
        </w:rPr>
        <w:t xml:space="preserve">We would also like to emphasise that </w:t>
      </w:r>
      <w:r w:rsidRPr="00F77725">
        <w:rPr>
          <w:rFonts w:cstheme="minorHAnsi"/>
          <w:b/>
          <w:bCs/>
        </w:rPr>
        <w:t>the main issues FMPs are facing are related to access to data and more specifically, reliable data</w:t>
      </w:r>
      <w:r w:rsidRPr="00F77725">
        <w:rPr>
          <w:rFonts w:cstheme="minorHAnsi"/>
        </w:rPr>
        <w:t>. As investments are done at the global level, data reliability and data access problems are more acute outside the EU, where terminology and indicators are not consistent, equivalent, or adapted to local realities. W</w:t>
      </w:r>
      <w:r w:rsidRPr="00F77725">
        <w:rPr>
          <w:rFonts w:cstheme="minorHAnsi"/>
          <w:noProof/>
        </w:rPr>
        <w:t>e consider that applying the same criteria everywhere (more specially, outside the EU) is not realistic.</w:t>
      </w:r>
    </w:p>
    <w:p w14:paraId="57B3F1AC" w14:textId="20D895D1" w:rsidR="00813527" w:rsidRPr="00F77725" w:rsidRDefault="00813527" w:rsidP="00813527">
      <w:pPr>
        <w:jc w:val="both"/>
        <w:rPr>
          <w:rFonts w:cstheme="minorHAnsi"/>
          <w:lang w:val="en-US"/>
        </w:rPr>
      </w:pPr>
      <w:r w:rsidRPr="00F77725">
        <w:rPr>
          <w:rFonts w:cstheme="minorHAnsi"/>
          <w:noProof/>
        </w:rPr>
        <w:t xml:space="preserve">As it is quite difficult to access reliable data, ESBG is therefore against extra reporting obligations. This is why, ESBG believes </w:t>
      </w:r>
      <w:proofErr w:type="gramStart"/>
      <w:r w:rsidRPr="00F77725">
        <w:rPr>
          <w:rFonts w:cstheme="minorHAnsi"/>
          <w:noProof/>
        </w:rPr>
        <w:t>that,</w:t>
      </w:r>
      <w:r w:rsidRPr="00F77725">
        <w:rPr>
          <w:rFonts w:cstheme="minorHAnsi"/>
          <w:lang w:val="en-US"/>
        </w:rPr>
        <w:t xml:space="preserve"> </w:t>
      </w:r>
      <w:r w:rsidRPr="00F77725">
        <w:rPr>
          <w:rFonts w:cstheme="minorHAnsi"/>
        </w:rPr>
        <w:t xml:space="preserve"> </w:t>
      </w:r>
      <w:proofErr w:type="spellStart"/>
      <w:r w:rsidRPr="00F77725">
        <w:rPr>
          <w:rFonts w:cstheme="minorHAnsi"/>
        </w:rPr>
        <w:t>i</w:t>
      </w:r>
      <w:r w:rsidRPr="00F77725">
        <w:rPr>
          <w:rFonts w:cstheme="minorHAnsi"/>
          <w:lang w:val="en-US"/>
        </w:rPr>
        <w:t>n</w:t>
      </w:r>
      <w:proofErr w:type="spellEnd"/>
      <w:proofErr w:type="gramEnd"/>
      <w:r w:rsidRPr="00F77725">
        <w:rPr>
          <w:rFonts w:cstheme="minorHAnsi"/>
          <w:lang w:val="en-US"/>
        </w:rPr>
        <w:t xml:space="preserve"> order to provide a clear understanding when calculating the adverse impacts, FMPs  could distinguish between three situations</w:t>
      </w:r>
      <w:r w:rsidRPr="00F77725">
        <w:rPr>
          <w:rStyle w:val="ui-provider"/>
          <w:rFonts w:cstheme="minorHAnsi"/>
        </w:rPr>
        <w:t xml:space="preserve"> of SFDR PAI of their investees being not reported</w:t>
      </w:r>
      <w:r w:rsidRPr="00F77725">
        <w:rPr>
          <w:rFonts w:cstheme="minorHAnsi"/>
          <w:lang w:val="en-US"/>
        </w:rPr>
        <w:t>:</w:t>
      </w:r>
    </w:p>
    <w:p w14:paraId="2D4B496C" w14:textId="77777777" w:rsidR="00813527" w:rsidRPr="00F77725" w:rsidRDefault="00813527" w:rsidP="00813527">
      <w:pPr>
        <w:pStyle w:val="Paragraphedeliste"/>
        <w:numPr>
          <w:ilvl w:val="0"/>
          <w:numId w:val="11"/>
        </w:numPr>
        <w:spacing w:after="0" w:line="240" w:lineRule="auto"/>
        <w:jc w:val="both"/>
        <w:rPr>
          <w:rFonts w:cstheme="minorHAnsi"/>
          <w:lang w:val="en-US"/>
        </w:rPr>
      </w:pPr>
      <w:r w:rsidRPr="00F77725">
        <w:rPr>
          <w:rFonts w:cstheme="minorHAnsi"/>
          <w:lang w:val="en-US"/>
        </w:rPr>
        <w:t xml:space="preserve">Not reported because not </w:t>
      </w:r>
      <w:proofErr w:type="gramStart"/>
      <w:r w:rsidRPr="00F77725">
        <w:rPr>
          <w:rFonts w:cstheme="minorHAnsi"/>
          <w:lang w:val="en-US"/>
        </w:rPr>
        <w:t>material;</w:t>
      </w:r>
      <w:proofErr w:type="gramEnd"/>
    </w:p>
    <w:p w14:paraId="3C4C8A54" w14:textId="77777777" w:rsidR="00813527" w:rsidRPr="00F77725" w:rsidRDefault="00813527" w:rsidP="00813527">
      <w:pPr>
        <w:pStyle w:val="Paragraphedeliste"/>
        <w:numPr>
          <w:ilvl w:val="0"/>
          <w:numId w:val="11"/>
        </w:numPr>
        <w:spacing w:after="0" w:line="240" w:lineRule="auto"/>
        <w:jc w:val="both"/>
        <w:rPr>
          <w:rFonts w:cstheme="minorHAnsi"/>
          <w:lang w:val="en-US"/>
        </w:rPr>
      </w:pPr>
      <w:r w:rsidRPr="00F77725">
        <w:rPr>
          <w:rFonts w:cstheme="minorHAnsi"/>
          <w:lang w:val="en-US"/>
        </w:rPr>
        <w:t xml:space="preserve">Not reported because the value is </w:t>
      </w:r>
      <w:proofErr w:type="gramStart"/>
      <w:r w:rsidRPr="00F77725">
        <w:rPr>
          <w:rFonts w:cstheme="minorHAnsi"/>
          <w:lang w:val="en-US"/>
        </w:rPr>
        <w:t>zero;</w:t>
      </w:r>
      <w:proofErr w:type="gramEnd"/>
    </w:p>
    <w:p w14:paraId="5F63870A" w14:textId="77777777" w:rsidR="00813527" w:rsidRPr="00F77725" w:rsidRDefault="00813527" w:rsidP="00813527">
      <w:pPr>
        <w:pStyle w:val="Paragraphedeliste"/>
        <w:numPr>
          <w:ilvl w:val="0"/>
          <w:numId w:val="11"/>
        </w:numPr>
        <w:spacing w:after="0" w:line="240" w:lineRule="auto"/>
        <w:jc w:val="both"/>
        <w:rPr>
          <w:rFonts w:cstheme="minorHAnsi"/>
          <w:lang w:val="en-US"/>
        </w:rPr>
      </w:pPr>
      <w:r w:rsidRPr="00F77725">
        <w:rPr>
          <w:rFonts w:cstheme="minorHAnsi"/>
          <w:lang w:val="en-US"/>
        </w:rPr>
        <w:t xml:space="preserve">Not reported because data is unfeasible to obtain without undue </w:t>
      </w:r>
      <w:proofErr w:type="gramStart"/>
      <w:r w:rsidRPr="00F77725">
        <w:rPr>
          <w:rFonts w:cstheme="minorHAnsi"/>
          <w:lang w:val="en-US"/>
        </w:rPr>
        <w:t>costs;</w:t>
      </w:r>
      <w:proofErr w:type="gramEnd"/>
    </w:p>
    <w:p w14:paraId="08407243" w14:textId="77777777" w:rsidR="00813527" w:rsidRPr="00F77725" w:rsidRDefault="00813527" w:rsidP="00813527">
      <w:pPr>
        <w:jc w:val="both"/>
        <w:rPr>
          <w:rFonts w:cstheme="minorHAnsi"/>
        </w:rPr>
      </w:pPr>
    </w:p>
    <w:p w14:paraId="7073E0C2" w14:textId="2FF835D7" w:rsidR="00813527" w:rsidRPr="00F77725" w:rsidRDefault="00813527" w:rsidP="00813527">
      <w:pPr>
        <w:jc w:val="both"/>
        <w:rPr>
          <w:rFonts w:cstheme="minorHAnsi"/>
          <w:noProof/>
        </w:rPr>
      </w:pPr>
      <w:r w:rsidRPr="00F77725">
        <w:rPr>
          <w:rFonts w:cstheme="minorHAnsi"/>
        </w:rPr>
        <w:t xml:space="preserve">We have identified another issue regarding the calculation of adverse impacts derived from the </w:t>
      </w:r>
      <w:r w:rsidRPr="00F77725">
        <w:rPr>
          <w:rFonts w:cstheme="minorHAnsi"/>
          <w:b/>
          <w:bCs/>
        </w:rPr>
        <w:t>PAI indicators</w:t>
      </w:r>
      <w:r w:rsidRPr="00F77725">
        <w:rPr>
          <w:rFonts w:cstheme="minorHAnsi"/>
        </w:rPr>
        <w:t xml:space="preserve"> interpretation of some data providers. A lack of common standards or global certifications regarding the data to calculate some indicators might cause data providers to assess different conclusions about the same given situation, and thus causing additional complexity.  Therefore, the number of PAI indicators should not be widened or extended, neither now nor in the future.</w:t>
      </w:r>
    </w:p>
    <w:p w14:paraId="28825F46" w14:textId="77777777" w:rsidR="00813527" w:rsidRPr="00F77725" w:rsidRDefault="00813527" w:rsidP="00813527">
      <w:pPr>
        <w:jc w:val="both"/>
        <w:rPr>
          <w:rFonts w:cstheme="minorHAnsi"/>
          <w:noProof/>
        </w:rPr>
      </w:pPr>
      <w:r w:rsidRPr="00F77725">
        <w:rPr>
          <w:rFonts w:cstheme="minorHAnsi"/>
          <w:noProof/>
        </w:rPr>
        <w:t>ESBG would also like to share some comments on the following points:</w:t>
      </w:r>
    </w:p>
    <w:p w14:paraId="2C8DD061" w14:textId="77777777" w:rsidR="00813527" w:rsidRPr="00F77725" w:rsidRDefault="00813527" w:rsidP="00813527">
      <w:pPr>
        <w:pStyle w:val="Paragraphedeliste"/>
        <w:numPr>
          <w:ilvl w:val="0"/>
          <w:numId w:val="12"/>
        </w:numPr>
        <w:spacing w:after="0" w:line="240" w:lineRule="auto"/>
        <w:jc w:val="both"/>
        <w:rPr>
          <w:rFonts w:cstheme="minorHAnsi"/>
          <w:noProof/>
        </w:rPr>
      </w:pPr>
      <w:r w:rsidRPr="00F77725">
        <w:rPr>
          <w:rFonts w:cstheme="minorHAnsi"/>
          <w:b/>
          <w:bCs/>
          <w:noProof/>
        </w:rPr>
        <w:t>Non-coverage:</w:t>
      </w:r>
      <w:r w:rsidRPr="00F77725">
        <w:rPr>
          <w:rFonts w:cstheme="minorHAnsi"/>
          <w:noProof/>
        </w:rPr>
        <w:t xml:space="preserve"> The suggested formula does not address the issue of non-full coverage of data. It should be explicit in the treatment of non-covered data, for example by dividing the coverage in the end and defining coverage as having all data points available. </w:t>
      </w:r>
    </w:p>
    <w:p w14:paraId="6A059EBA" w14:textId="577FEBCF" w:rsidR="009C41BB" w:rsidRPr="00F77725" w:rsidRDefault="00813527" w:rsidP="00813527">
      <w:pPr>
        <w:pStyle w:val="Paragraphedeliste"/>
        <w:numPr>
          <w:ilvl w:val="0"/>
          <w:numId w:val="12"/>
        </w:numPr>
        <w:jc w:val="both"/>
        <w:rPr>
          <w:rFonts w:cstheme="minorHAnsi"/>
        </w:rPr>
      </w:pPr>
      <w:r w:rsidRPr="00F77725">
        <w:rPr>
          <w:rFonts w:cstheme="minorHAnsi"/>
          <w:b/>
          <w:bCs/>
          <w:noProof/>
        </w:rPr>
        <w:t xml:space="preserve">Size vs share of investments: </w:t>
      </w:r>
      <w:r w:rsidRPr="00F77725">
        <w:rPr>
          <w:rFonts w:cstheme="minorHAnsi"/>
          <w:noProof/>
        </w:rPr>
        <w:t xml:space="preserve">a number of indicators are shown as share of investments in certain activities with adverse impacts. However, the PAI should be differentiated with the size of investments. One small asset manager vs a large asset manager have different impacts </w:t>
      </w:r>
      <w:r w:rsidRPr="00F77725">
        <w:rPr>
          <w:rFonts w:cstheme="minorHAnsi"/>
          <w:i/>
          <w:iCs/>
          <w:noProof/>
        </w:rPr>
        <w:t>ceteris paribus</w:t>
      </w:r>
      <w:r w:rsidRPr="00F77725">
        <w:rPr>
          <w:rFonts w:cstheme="minorHAnsi"/>
          <w:noProof/>
        </w:rPr>
        <w:t>.</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E4123">
      <w:pPr>
        <w:pStyle w:val="Questionstyle"/>
      </w:pPr>
      <w:bookmarkStart w:id="10" w:name="_Hlk131609841"/>
      <w:r>
        <w:lastRenderedPageBreak/>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6C7A2C39" w14:textId="2FD8B4B4" w:rsidR="00772A7C" w:rsidRPr="00444CBF" w:rsidRDefault="00772A7C" w:rsidP="00772A7C">
      <w:pPr>
        <w:jc w:val="both"/>
        <w:rPr>
          <w:rFonts w:cstheme="minorHAnsi"/>
        </w:rPr>
      </w:pPr>
      <w:r w:rsidRPr="00444CBF">
        <w:rPr>
          <w:rFonts w:cstheme="minorHAnsi"/>
        </w:rPr>
        <w:t xml:space="preserve">Practice has shown that FMPs barely obtain data directly from the investee companies. For portfolio management purposes, it is barely possible to obtain the data directly from the investee companies. Small and middle-sized FMPs </w:t>
      </w:r>
      <w:proofErr w:type="gramStart"/>
      <w:r w:rsidRPr="00444CBF">
        <w:rPr>
          <w:rFonts w:cstheme="minorHAnsi"/>
        </w:rPr>
        <w:t>in particular rely</w:t>
      </w:r>
      <w:proofErr w:type="gramEnd"/>
      <w:r w:rsidRPr="00444CBF">
        <w:rPr>
          <w:rFonts w:cstheme="minorHAnsi"/>
        </w:rPr>
        <w:t xml:space="preserve"> on ESG data vendors, as they do not have the capacity to approach the investing companies directly. </w:t>
      </w:r>
      <w:r w:rsidRPr="00444CBF">
        <w:rPr>
          <w:rFonts w:cstheme="minorHAnsi"/>
          <w:b/>
          <w:bCs/>
        </w:rPr>
        <w:t>Apart from that this disclosure would not be helpful</w:t>
      </w:r>
      <w:r w:rsidRPr="00444CBF">
        <w:rPr>
          <w:rFonts w:cstheme="minorHAnsi"/>
        </w:rPr>
        <w:t xml:space="preserve">. We doubt the added value of disclosing information on the PAI indicators for which the FMP relies on information directly from investee companies a statement without further explanations for the end investors. Any clarifications in terms of information for the PAI indicators for which the FMP relies on information directly from investee companies will very likely not be </w:t>
      </w:r>
      <w:proofErr w:type="gramStart"/>
      <w:r w:rsidRPr="00444CBF">
        <w:rPr>
          <w:rFonts w:cstheme="minorHAnsi"/>
        </w:rPr>
        <w:t>taken into account</w:t>
      </w:r>
      <w:proofErr w:type="gramEnd"/>
      <w:r w:rsidRPr="00444CBF">
        <w:rPr>
          <w:rFonts w:cstheme="minorHAnsi"/>
        </w:rPr>
        <w:t xml:space="preserve"> unless investors are familiar with the general concept. In our opinion, this does not add much value either; a general reference to estimates is sufficient.</w:t>
      </w:r>
    </w:p>
    <w:p w14:paraId="4CDD6F47" w14:textId="77777777" w:rsidR="00772A7C" w:rsidRPr="00444CBF" w:rsidRDefault="00772A7C" w:rsidP="00772A7C">
      <w:pPr>
        <w:jc w:val="both"/>
        <w:rPr>
          <w:rFonts w:cstheme="minorHAnsi"/>
          <w:noProof/>
        </w:rPr>
      </w:pPr>
      <w:r w:rsidRPr="00444CBF">
        <w:rPr>
          <w:rFonts w:cstheme="minorHAnsi"/>
        </w:rPr>
        <w:t xml:space="preserve">Therefore, ESBG believes that </w:t>
      </w:r>
      <w:r w:rsidRPr="00444CBF">
        <w:rPr>
          <w:rFonts w:cstheme="minorHAnsi"/>
          <w:b/>
          <w:bCs/>
        </w:rPr>
        <w:t>such level of disclosure granularity is not necessary</w:t>
      </w:r>
      <w:r w:rsidRPr="00444CBF">
        <w:rPr>
          <w:rFonts w:cstheme="minorHAnsi"/>
        </w:rPr>
        <w:t xml:space="preserve">, as it would constitute an additional administrative burden with limited added value. </w:t>
      </w:r>
      <w:r w:rsidRPr="00444CBF">
        <w:rPr>
          <w:rFonts w:cstheme="minorHAnsi"/>
          <w:noProof/>
        </w:rPr>
        <w:t xml:space="preserve">That would add huge implementation costs to exisiting disclosure duties, be it to data providers which we rely on or asset managers.  </w:t>
      </w:r>
    </w:p>
    <w:p w14:paraId="4F049EEF" w14:textId="1A65C258" w:rsidR="009C41BB" w:rsidRDefault="009C41BB" w:rsidP="00772A7C">
      <w:r>
        <w:t>&lt;ESMA_QUESTION_SFDR_11&gt;</w:t>
      </w:r>
    </w:p>
    <w:p w14:paraId="7F52045F" w14:textId="77777777" w:rsidR="009C41BB" w:rsidRDefault="009C41BB" w:rsidP="009C41BB"/>
    <w:p w14:paraId="087EB0A5" w14:textId="77777777" w:rsidR="009C41BB" w:rsidRDefault="009C41BB" w:rsidP="009E4123">
      <w:pPr>
        <w:pStyle w:val="Questionstyle"/>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65538B52" w14:textId="446891F6" w:rsidR="006B56FB" w:rsidRPr="00703DEC" w:rsidRDefault="006B56FB" w:rsidP="006B56FB">
      <w:pPr>
        <w:jc w:val="both"/>
        <w:rPr>
          <w:rFonts w:cstheme="minorHAnsi"/>
        </w:rPr>
      </w:pPr>
      <w:permStart w:id="684359195" w:edGrp="everyone"/>
      <w:r>
        <w:t xml:space="preserve"> </w:t>
      </w:r>
      <w:r w:rsidRPr="00703DEC">
        <w:rPr>
          <w:rFonts w:cstheme="minorHAnsi"/>
          <w:lang w:val="en-US"/>
        </w:rPr>
        <w:t xml:space="preserve">We believe the proposed approach to define “all investments” would be positive as indicators would be focused on their relevant impact. </w:t>
      </w:r>
      <w:r w:rsidRPr="00703DEC">
        <w:rPr>
          <w:rFonts w:cstheme="minorHAnsi"/>
          <w:noProof/>
        </w:rPr>
        <w:t xml:space="preserve">According to the new proposal, “all Investments” could be defined as investments in the particular type of investment (i.e., investee companies, sovereigns and supranationals, or real estate assets) be understood as causing the adverse impact. Information on PAI then relates only to the individual investment values of the investment type relevant for the respective PAI. Focusing PAI calculations on relevant risk categories would have the advantage of focusing each indicator on the asset types for which it is relevant. </w:t>
      </w:r>
      <w:r w:rsidRPr="00703DEC">
        <w:rPr>
          <w:rFonts w:cstheme="minorHAnsi"/>
          <w:lang w:val="en-US"/>
        </w:rPr>
        <w:t xml:space="preserve">This approach could lead to more clarity. Nonetheless, </w:t>
      </w:r>
      <w:r w:rsidRPr="00703DEC">
        <w:rPr>
          <w:rFonts w:cstheme="minorHAnsi"/>
        </w:rPr>
        <w:t xml:space="preserve">the proposal could create comparability problems between different exercises, as indicators would be based on different data. </w:t>
      </w:r>
    </w:p>
    <w:p w14:paraId="247E14D0" w14:textId="125B48D8" w:rsidR="006B56FB" w:rsidRPr="00703DEC" w:rsidRDefault="006B56FB" w:rsidP="006B56FB">
      <w:pPr>
        <w:jc w:val="both"/>
        <w:rPr>
          <w:rFonts w:cstheme="minorHAnsi"/>
          <w:noProof/>
        </w:rPr>
      </w:pPr>
      <w:r w:rsidRPr="00703DEC">
        <w:rPr>
          <w:rFonts w:cstheme="minorHAnsi"/>
          <w:noProof/>
        </w:rPr>
        <w:t xml:space="preserve">The second (new) approach would be better if the amount of investments in the respective asset type are provided. First, it provides useful information to asset manager in order to mitigate their PAI. </w:t>
      </w:r>
      <w:r w:rsidRPr="00703DEC">
        <w:rPr>
          <w:rFonts w:cstheme="minorHAnsi"/>
          <w:noProof/>
        </w:rPr>
        <w:lastRenderedPageBreak/>
        <w:t xml:space="preserve">Second, this way, audience will not only know the relative value (the PAI), but also can calculate the absolute impacts by multiplying investments by the PAI.  So that they are misled in thinking high PAI is bad, because one may have a high PAI but a small adverse impact due to small amount of investments in that asset class. For instance, one manager may have high relative water emission/Million investment, but investment in that asset class may be negligible. </w:t>
      </w:r>
    </w:p>
    <w:p w14:paraId="13F1237E" w14:textId="77777777" w:rsidR="006B56FB" w:rsidRPr="00703DEC" w:rsidRDefault="006B56FB" w:rsidP="006B56FB">
      <w:pPr>
        <w:jc w:val="both"/>
        <w:rPr>
          <w:rFonts w:cstheme="minorHAnsi"/>
          <w:noProof/>
        </w:rPr>
      </w:pPr>
      <w:r w:rsidRPr="00703DEC">
        <w:rPr>
          <w:rFonts w:cstheme="minorHAnsi"/>
          <w:noProof/>
        </w:rPr>
        <w:t xml:space="preserve">The first approach would be easy to calculate and reflects the asset allocation decisions of financial participants as a whole, e. g 20% in sovereign, 80% in companies vs. 50% in sovereign and 50% in companies. </w:t>
      </w:r>
    </w:p>
    <w:p w14:paraId="7123ED11" w14:textId="530642A3" w:rsidR="006B56FB" w:rsidRPr="00703DEC" w:rsidRDefault="006B56FB" w:rsidP="006B56FB">
      <w:pPr>
        <w:jc w:val="both"/>
        <w:rPr>
          <w:rFonts w:cstheme="minorHAnsi"/>
          <w:noProof/>
        </w:rPr>
      </w:pPr>
      <w:r w:rsidRPr="00703DEC">
        <w:rPr>
          <w:rFonts w:cstheme="minorHAnsi"/>
          <w:noProof/>
        </w:rPr>
        <w:t>Apart from that, it is questionable which effects those changes would have for the PAI-Statement and the section “historical comparison” (Annex I, Table 1). The results of the comparison would not be meaningful since they would be based on different PAI calculation methods. We would be grateful if the ESAs could clarify this aspect in the Final Report.</w:t>
      </w:r>
    </w:p>
    <w:p w14:paraId="070CBD69" w14:textId="0A4A9C04" w:rsidR="009C41BB" w:rsidRPr="00703DEC" w:rsidRDefault="006B56FB" w:rsidP="006B56FB">
      <w:pPr>
        <w:jc w:val="both"/>
        <w:rPr>
          <w:rFonts w:cstheme="minorHAnsi"/>
        </w:rPr>
      </w:pPr>
      <w:r w:rsidRPr="00703DEC">
        <w:rPr>
          <w:rFonts w:cstheme="minorHAnsi"/>
          <w:noProof/>
        </w:rPr>
        <w:t xml:space="preserve">Finally, ESBG believes that for real estate, it would be relevant to include only real estate investments in the denominator.  In general, the </w:t>
      </w:r>
      <w:r w:rsidRPr="00703DEC">
        <w:rPr>
          <w:rFonts w:cstheme="minorHAnsi"/>
          <w:lang w:val="en-US"/>
        </w:rPr>
        <w:t>notion of “all investments” offers a simplicity advantage whereas the basing approach brings more relevance and therefore should only be applied to specific sectors.</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E4123">
      <w:pPr>
        <w:pStyle w:val="Questionstyle"/>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666C15A7" w14:textId="7B665289" w:rsidR="009A51DA" w:rsidRPr="00703DEC" w:rsidRDefault="009A51DA" w:rsidP="009A51DA">
      <w:pPr>
        <w:jc w:val="both"/>
        <w:rPr>
          <w:rStyle w:val="ui-provider"/>
          <w:rFonts w:cstheme="minorHAnsi"/>
          <w:lang w:val="en-US"/>
        </w:rPr>
      </w:pPr>
      <w:permStart w:id="1426525783" w:edGrp="everyone"/>
      <w:r>
        <w:t xml:space="preserve"> </w:t>
      </w:r>
      <w:r w:rsidRPr="00703DEC">
        <w:rPr>
          <w:rFonts w:cstheme="minorHAnsi"/>
          <w:noProof/>
        </w:rPr>
        <w:t xml:space="preserve">ESBG understands the fact that the ESAs would like to align the value chain consideration in the SFDR with the ESRS and the CSRD. Nonetheless, not all companies are obliged to  voluntary  report their value chain impacts. </w:t>
      </w:r>
      <w:r w:rsidRPr="00703DEC">
        <w:rPr>
          <w:rFonts w:cstheme="minorHAnsi"/>
          <w:b/>
          <w:bCs/>
          <w:noProof/>
        </w:rPr>
        <w:t>This could lead to a non-level playing field or regulatory arbitrage as unintended consequences</w:t>
      </w:r>
      <w:r w:rsidRPr="00703DEC">
        <w:rPr>
          <w:rFonts w:cstheme="minorHAnsi"/>
          <w:noProof/>
        </w:rPr>
        <w:t xml:space="preserve">. For instance, to reduce the PAI, investors may be misled to prefer those companies without reporting, rather than those report and mitigate value chain impacts.  </w:t>
      </w:r>
    </w:p>
    <w:p w14:paraId="7DB5EDE3" w14:textId="63DB9EC2" w:rsidR="009A51DA" w:rsidRPr="00703DEC" w:rsidRDefault="009A51DA" w:rsidP="009A51DA">
      <w:pPr>
        <w:jc w:val="both"/>
        <w:rPr>
          <w:rStyle w:val="ui-provider"/>
          <w:rFonts w:cstheme="minorHAnsi"/>
          <w:lang w:val="en-US"/>
        </w:rPr>
      </w:pPr>
      <w:r w:rsidRPr="00703DEC">
        <w:rPr>
          <w:rStyle w:val="ui-provider"/>
          <w:rFonts w:cstheme="minorHAnsi"/>
          <w:lang w:val="en-US"/>
        </w:rPr>
        <w:t xml:space="preserve">From our point of view only if the investee company reports in accordance with CSRD and the data disclosed is publicly available, FMPs should be required to include information on investee companies’ value chains in the PAI calculations, although significance behind this disclosure is questionable. If the investee companies do not report in accordance with CSRD or another standard of sustainability reporting, </w:t>
      </w:r>
      <w:proofErr w:type="gramStart"/>
      <w:r w:rsidRPr="00703DEC">
        <w:rPr>
          <w:rStyle w:val="ui-provider"/>
          <w:rFonts w:cstheme="minorHAnsi"/>
          <w:lang w:val="en-US"/>
        </w:rPr>
        <w:t>e.g.</w:t>
      </w:r>
      <w:proofErr w:type="gramEnd"/>
      <w:r w:rsidRPr="00703DEC">
        <w:rPr>
          <w:rStyle w:val="ui-provider"/>
          <w:rFonts w:cstheme="minorHAnsi"/>
          <w:lang w:val="en-US"/>
        </w:rPr>
        <w:t xml:space="preserve"> GRI, the financial market participants shall not be obliged to procure the information about their value chain by other means, e.g. via third-party providers.</w:t>
      </w:r>
    </w:p>
    <w:p w14:paraId="07B8A78C" w14:textId="2016BEEB" w:rsidR="009C41BB" w:rsidRPr="002616C4" w:rsidRDefault="009A51DA" w:rsidP="002616C4">
      <w:pPr>
        <w:jc w:val="both"/>
        <w:rPr>
          <w:rFonts w:ascii="Arial" w:hAnsi="Arial" w:cs="Arial"/>
          <w:lang w:val="en-US"/>
        </w:rPr>
      </w:pPr>
      <w:r w:rsidRPr="00703DEC">
        <w:rPr>
          <w:rStyle w:val="ui-provider"/>
          <w:rFonts w:cstheme="minorHAnsi"/>
          <w:lang w:val="en-US"/>
        </w:rPr>
        <w:t xml:space="preserve">ESBG would also like to stress that if banks </w:t>
      </w:r>
      <w:proofErr w:type="gramStart"/>
      <w:r w:rsidRPr="00703DEC">
        <w:rPr>
          <w:rStyle w:val="ui-provider"/>
          <w:rFonts w:cstheme="minorHAnsi"/>
          <w:lang w:val="en-US"/>
        </w:rPr>
        <w:t>have to</w:t>
      </w:r>
      <w:proofErr w:type="gramEnd"/>
      <w:r w:rsidRPr="00703DEC">
        <w:rPr>
          <w:rStyle w:val="ui-provider"/>
          <w:rFonts w:cstheme="minorHAnsi"/>
          <w:lang w:val="en-US"/>
        </w:rPr>
        <w:t xml:space="preserve"> provide this information before the CSRD comes into application, this information will likely be inaccurate. Therefore, ESBG assesses that it would be better to wait until more clarity is given in this regard (basically until we have a clear vision of what the CSRD will require when it comes to value chains) </w:t>
      </w:r>
      <w:proofErr w:type="gramStart"/>
      <w:r w:rsidRPr="00703DEC">
        <w:rPr>
          <w:rStyle w:val="ui-provider"/>
          <w:rFonts w:cstheme="minorHAnsi"/>
          <w:lang w:val="en-US"/>
        </w:rPr>
        <w:t>in order to</w:t>
      </w:r>
      <w:proofErr w:type="gramEnd"/>
      <w:r w:rsidRPr="00703DEC">
        <w:rPr>
          <w:rStyle w:val="ui-provider"/>
          <w:rFonts w:cstheme="minorHAnsi"/>
          <w:lang w:val="en-US"/>
        </w:rPr>
        <w:t xml:space="preserve"> ensure consistency</w:t>
      </w:r>
      <w:r w:rsidRPr="009A51DA">
        <w:rPr>
          <w:rStyle w:val="ui-provider"/>
          <w:rFonts w:ascii="Arial" w:hAnsi="Arial" w:cs="Arial"/>
          <w:lang w:val="en-US"/>
        </w:rPr>
        <w:t>.</w:t>
      </w:r>
    </w:p>
    <w:permEnd w:id="1426525783"/>
    <w:p w14:paraId="52004960" w14:textId="77777777" w:rsidR="009C41BB" w:rsidRDefault="009C41BB" w:rsidP="009C41BB">
      <w:r>
        <w:lastRenderedPageBreak/>
        <w:t>&lt;ESMA_QUESTION_SFDR_13&gt;</w:t>
      </w:r>
    </w:p>
    <w:p w14:paraId="700BC575" w14:textId="77777777" w:rsidR="009C41BB" w:rsidRDefault="009C41BB" w:rsidP="009C41BB"/>
    <w:p w14:paraId="0EA314B0" w14:textId="77777777" w:rsidR="009C41BB" w:rsidRDefault="009C41BB" w:rsidP="009E4123">
      <w:pPr>
        <w:pStyle w:val="Questionstyle"/>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E4123">
      <w:pPr>
        <w:pStyle w:val="Questionstyle"/>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1C498F6E" w:rsidR="009C41BB" w:rsidRDefault="008E0E09" w:rsidP="00CD6137">
      <w:pPr>
        <w:jc w:val="both"/>
      </w:pPr>
      <w:permStart w:id="8979202" w:edGrp="everyone"/>
      <w:r>
        <w:t xml:space="preserve"> </w:t>
      </w:r>
      <w:r>
        <w:rPr>
          <w:noProof/>
        </w:rPr>
        <w:t>For consistency purposes, ESBG believes that t</w:t>
      </w:r>
      <w:r w:rsidRPr="000D6AB7">
        <w:rPr>
          <w:noProof/>
        </w:rPr>
        <w:t xml:space="preserve">he treatment of netting and derivatives should be consistent throughout the calculations. </w:t>
      </w:r>
      <w:r>
        <w:rPr>
          <w:noProof/>
        </w:rPr>
        <w:t>Since derivatives are not converted to underlying assets unless excercised, it is recommended to remove it from all nominators while keep it in the denominators. Netting should be made.</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Pr="009E4123" w:rsidRDefault="009C41BB" w:rsidP="009E4123">
      <w:pPr>
        <w:pStyle w:val="Questionstyle"/>
        <w:rPr>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0E4CB394" w14:textId="77777777" w:rsidR="001250A5" w:rsidRDefault="001250A5" w:rsidP="009C41BB">
      <w:pPr>
        <w:rPr>
          <w:noProof/>
        </w:rPr>
      </w:pPr>
      <w:r w:rsidRPr="009E7C47">
        <w:rPr>
          <w:noProof/>
        </w:rPr>
        <w:t xml:space="preserve">Yes. </w:t>
      </w:r>
      <w:r>
        <w:rPr>
          <w:noProof/>
        </w:rPr>
        <w:t>Netting should be applied to all assets that can be shorted.</w:t>
      </w:r>
    </w:p>
    <w:p w14:paraId="5958D537" w14:textId="148A0774" w:rsidR="009C41BB" w:rsidRDefault="009C41BB" w:rsidP="009C41BB">
      <w:r>
        <w:t>&lt;ESMA_QUESTION_SFDR_16&gt;</w:t>
      </w:r>
    </w:p>
    <w:p w14:paraId="3FF87AEB" w14:textId="77777777" w:rsidR="009C41BB" w:rsidRDefault="009C41BB" w:rsidP="009C41BB"/>
    <w:p w14:paraId="3A905E57" w14:textId="77777777" w:rsidR="009C41BB" w:rsidRDefault="009C41BB" w:rsidP="009E4123">
      <w:pPr>
        <w:pStyle w:val="Questionstyle"/>
      </w:pPr>
      <w:r>
        <w:t>: Do you agree with the ESAs’ assessment of the DNSH framework under SFDR?</w:t>
      </w:r>
    </w:p>
    <w:p w14:paraId="4F8008B2" w14:textId="77777777" w:rsidR="009C41BB" w:rsidRDefault="009C41BB" w:rsidP="009C41BB">
      <w:r>
        <w:t>&lt;ESMA_QUESTION_SFDR_17&gt;</w:t>
      </w:r>
    </w:p>
    <w:p w14:paraId="7DDA6D60" w14:textId="09BB7064" w:rsidR="009C41BB" w:rsidRPr="009E4123" w:rsidRDefault="0047207D" w:rsidP="009C41BB">
      <w:pPr>
        <w:rPr>
          <w:lang w:val="es-ES"/>
        </w:rPr>
      </w:pPr>
      <w:permStart w:id="791154279" w:edGrp="everyone"/>
      <w:r w:rsidRPr="009E4123">
        <w:rPr>
          <w:lang w:val="es-ES"/>
        </w:rPr>
        <w:lastRenderedPageBreak/>
        <w:t xml:space="preserve"> </w:t>
      </w:r>
      <w:r w:rsidR="009E4123" w:rsidRPr="009E4123">
        <w:rPr>
          <w:lang w:val="es-ES"/>
        </w:rPr>
        <w:t>TYPE YO</w:t>
      </w:r>
      <w:r w:rsidR="009E4123">
        <w:rPr>
          <w:lang w:val="es-ES"/>
        </w:rPr>
        <w:t>UR TEXT HERE</w:t>
      </w:r>
    </w:p>
    <w:permEnd w:id="791154279"/>
    <w:p w14:paraId="3FA2FE7A" w14:textId="77777777" w:rsidR="009C41BB" w:rsidRPr="009E4123" w:rsidRDefault="009C41BB" w:rsidP="009C41BB">
      <w:pPr>
        <w:rPr>
          <w:lang w:val="es-ES"/>
        </w:rPr>
      </w:pPr>
      <w:r w:rsidRPr="009E4123">
        <w:rPr>
          <w:lang w:val="es-ES"/>
        </w:rPr>
        <w:t>&lt;ESMA_QUESTION_SFDR_17&gt;</w:t>
      </w:r>
    </w:p>
    <w:p w14:paraId="6B0958DF" w14:textId="77777777" w:rsidR="009C41BB" w:rsidRPr="009E4123" w:rsidRDefault="009C41BB" w:rsidP="009C41BB">
      <w:pPr>
        <w:rPr>
          <w:lang w:val="es-ES"/>
        </w:rPr>
      </w:pPr>
    </w:p>
    <w:p w14:paraId="60A358F2" w14:textId="77777777" w:rsidR="009C41BB" w:rsidRDefault="009C41BB" w:rsidP="009E4123">
      <w:pPr>
        <w:pStyle w:val="Questionstyle"/>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00B6591B" w14:textId="202A1DB7" w:rsidR="0047207D" w:rsidRPr="00A3345D" w:rsidRDefault="0047207D" w:rsidP="0047207D">
      <w:pPr>
        <w:jc w:val="both"/>
        <w:rPr>
          <w:lang w:val="en-US"/>
        </w:rPr>
      </w:pPr>
      <w:permStart w:id="984368250" w:edGrp="everyone"/>
      <w:r>
        <w:t xml:space="preserve"> </w:t>
      </w:r>
      <w:r>
        <w:rPr>
          <w:lang w:val="en-US"/>
        </w:rPr>
        <w:t xml:space="preserve">ESBG would like to insist </w:t>
      </w:r>
      <w:r>
        <w:t>that</w:t>
      </w:r>
      <w:r w:rsidRPr="00C6173A">
        <w:t xml:space="preserve"> </w:t>
      </w:r>
      <w:r w:rsidRPr="00C71A7B">
        <w:rPr>
          <w:b/>
          <w:bCs/>
        </w:rPr>
        <w:t>disclosures about thresholds (with quantitative and qualitative criteria) should not be mandatory</w:t>
      </w:r>
      <w:r>
        <w:rPr>
          <w:b/>
          <w:bCs/>
        </w:rPr>
        <w:t xml:space="preserve"> in general</w:t>
      </w:r>
      <w:r>
        <w:t>. M</w:t>
      </w:r>
      <w:r w:rsidRPr="00BD30CF">
        <w:t>ore granular information is not required</w:t>
      </w:r>
      <w:r>
        <w:t xml:space="preserve">, as mentioned in the reply to question 10, access to reliable data might be challenging. The requirements for financial market participants should be </w:t>
      </w:r>
      <w:r w:rsidRPr="00F24899">
        <w:t>flexible and feasible to ensure that companies supporting the transition</w:t>
      </w:r>
      <w:r>
        <w:t>,</w:t>
      </w:r>
      <w:r w:rsidRPr="00F24899">
        <w:t xml:space="preserve"> and thus promoting</w:t>
      </w:r>
      <w:r w:rsidRPr="00F24899">
        <w:rPr>
          <w:noProof/>
        </w:rPr>
        <w:t xml:space="preserve"> a significant impact towards sustainable goal</w:t>
      </w:r>
      <w:r>
        <w:rPr>
          <w:noProof/>
        </w:rPr>
        <w:t>s</w:t>
      </w:r>
      <w:r w:rsidRPr="00F24899">
        <w:rPr>
          <w:noProof/>
        </w:rPr>
        <w:t xml:space="preserve"> </w:t>
      </w:r>
      <w:r>
        <w:rPr>
          <w:noProof/>
        </w:rPr>
        <w:t xml:space="preserve">and the increase of sustainable targets, </w:t>
      </w:r>
      <w:r w:rsidRPr="00F24899">
        <w:rPr>
          <w:noProof/>
        </w:rPr>
        <w:t xml:space="preserve">are </w:t>
      </w:r>
      <w:r>
        <w:rPr>
          <w:noProof/>
        </w:rPr>
        <w:t xml:space="preserve">properly considered. </w:t>
      </w:r>
    </w:p>
    <w:p w14:paraId="6BBD22C7" w14:textId="6E851BED" w:rsidR="009C41BB" w:rsidRDefault="0047207D" w:rsidP="0047207D">
      <w:pPr>
        <w:jc w:val="both"/>
      </w:pPr>
      <w:r>
        <w:rPr>
          <w:noProof/>
        </w:rPr>
        <w:t xml:space="preserve">Nonetheless, ESBG sees some merit in this approach since when </w:t>
      </w:r>
      <w:r w:rsidRPr="002451DD">
        <w:rPr>
          <w:b/>
          <w:bCs/>
        </w:rPr>
        <w:t>thresholds</w:t>
      </w:r>
      <w:r>
        <w:rPr>
          <w:b/>
          <w:bCs/>
        </w:rPr>
        <w:t xml:space="preserve"> are realistic, they</w:t>
      </w:r>
      <w:r w:rsidRPr="002451DD">
        <w:rPr>
          <w:b/>
          <w:bCs/>
        </w:rPr>
        <w:t xml:space="preserve"> can be useful to prevent greenwashing</w:t>
      </w:r>
      <w:r>
        <w:t xml:space="preserve"> </w:t>
      </w:r>
      <w:proofErr w:type="gramStart"/>
      <w:r>
        <w:t>in order to</w:t>
      </w:r>
      <w:proofErr w:type="gramEnd"/>
      <w:r>
        <w:t xml:space="preserve"> increase comparability. A one-by-one approach could be adopted here.</w:t>
      </w:r>
      <w:r w:rsidRPr="002451DD">
        <w:t xml:space="preserve"> On the other hand,</w:t>
      </w:r>
      <w:r>
        <w:t xml:space="preserve"> ESBG believes also that</w:t>
      </w:r>
      <w:r w:rsidRPr="002451DD">
        <w:t xml:space="preserve"> the current SFDR framework leaves flexibility for potential other ways of “taking into account”. It should also be possible to use qualitative assessments to determine DNSH on PAI indicators, especially when thresholds are not suitable to assess the significance of an adverse impact. For example, the metric for the biodiversity PAI indicator measures whether a company has harmful activities in biodiversity-sensitive areas, but harmful does not have to be significantly harmful. This requires assessing the extent of the harm, for example based on environmental impact assessment reports</w:t>
      </w:r>
      <w:r>
        <w:t>.</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E4123">
      <w:pPr>
        <w:pStyle w:val="Questionstyle"/>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12730C8D" w14:textId="77777777" w:rsidR="00682097" w:rsidRDefault="00682097" w:rsidP="00682097">
      <w:pPr>
        <w:jc w:val="both"/>
      </w:pPr>
      <w:r w:rsidRPr="00E1422C">
        <w:t xml:space="preserve">The proposed optional “safe harbour” for environmental DNSH” for investments in certain categories of economic activities considered as environmentally sustainable under Article 3 of the Taxonomy Regulation could be a positive initiative towards the alignment of both regulatory initiatives, </w:t>
      </w:r>
      <w:proofErr w:type="gramStart"/>
      <w:r w:rsidRPr="00E1422C">
        <w:t>as long as</w:t>
      </w:r>
      <w:proofErr w:type="gramEnd"/>
      <w:r w:rsidRPr="00E1422C">
        <w:t xml:space="preserve"> its configuration does not imply additional implementation complexities. </w:t>
      </w:r>
      <w:r>
        <w:t xml:space="preserve"> ESBG</w:t>
      </w:r>
      <w:r w:rsidRPr="00972D37">
        <w:t xml:space="preserve"> believe</w:t>
      </w:r>
      <w:r>
        <w:t>s that</w:t>
      </w:r>
      <w:r w:rsidRPr="00972D37">
        <w:t xml:space="preserve"> </w:t>
      </w:r>
      <w:r w:rsidRPr="00A42A43">
        <w:rPr>
          <w:b/>
          <w:bCs/>
        </w:rPr>
        <w:t>the status quo of the DNSH framework under SFDR should be preserved</w:t>
      </w:r>
      <w:r>
        <w:t>, as additional changes in a Regulation that became applicable on 1 January 2023 could be counterproductive.</w:t>
      </w:r>
    </w:p>
    <w:p w14:paraId="5B774EBD" w14:textId="79822FDC" w:rsidR="009C41BB" w:rsidRDefault="009C41BB" w:rsidP="009C41BB">
      <w:r>
        <w:lastRenderedPageBreak/>
        <w:t>&lt;ESMA_QUESTION_SFDR_19&gt;</w:t>
      </w:r>
    </w:p>
    <w:p w14:paraId="0B14904A" w14:textId="77777777" w:rsidR="009C41BB" w:rsidRDefault="009C41BB" w:rsidP="009C41BB"/>
    <w:p w14:paraId="2EF02261" w14:textId="77777777" w:rsidR="009C41BB" w:rsidRDefault="009C41BB" w:rsidP="009E4123">
      <w:pPr>
        <w:pStyle w:val="Questionstyle"/>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3525E923" w14:textId="1E62B655" w:rsidR="00A16D0F" w:rsidRDefault="00A16D0F" w:rsidP="00A16D0F">
      <w:pPr>
        <w:jc w:val="both"/>
      </w:pPr>
      <w:permStart w:id="10765956" w:edGrp="everyone"/>
      <w:r>
        <w:t xml:space="preserve"> </w:t>
      </w:r>
      <w:r w:rsidRPr="00B900A1">
        <w:t xml:space="preserve">As mentioned by the ESAs in the consultation paper, to avoid inconsistencies between the two parallel concepts of </w:t>
      </w:r>
      <w:r w:rsidRPr="00472083">
        <w:t xml:space="preserve">sustainability, </w:t>
      </w:r>
      <w:r w:rsidRPr="00B833EE">
        <w:rPr>
          <w:b/>
          <w:bCs/>
        </w:rPr>
        <w:t>ESBG believes there should be a consistent definition of DNSH in SFDR regarding environmental harm and the Taxonomy Regulation</w:t>
      </w:r>
      <w:r w:rsidRPr="00472083">
        <w:t xml:space="preserve">. PAI indicators would be more measurable, the discretion for FMPs would be reduced and there would be a single definition of DNSH within the EU sustainable finance framework. </w:t>
      </w:r>
      <w:r>
        <w:t xml:space="preserve">ESBG </w:t>
      </w:r>
      <w:r w:rsidRPr="00B900A1">
        <w:t>also believe</w:t>
      </w:r>
      <w:r>
        <w:t>s</w:t>
      </w:r>
      <w:r w:rsidRPr="00B900A1">
        <w:t xml:space="preserve"> that </w:t>
      </w:r>
      <w:r>
        <w:t xml:space="preserve">the </w:t>
      </w:r>
      <w:r w:rsidRPr="00B900A1">
        <w:t xml:space="preserve">Level 1 </w:t>
      </w:r>
      <w:r>
        <w:t>review</w:t>
      </w:r>
      <w:r w:rsidRPr="00B900A1">
        <w:t xml:space="preserve"> of SFDR would be a good opportunity to resolve th</w:t>
      </w:r>
      <w:r>
        <w:t>is</w:t>
      </w:r>
      <w:r w:rsidRPr="00B900A1">
        <w:t>.</w:t>
      </w:r>
      <w:r>
        <w:t xml:space="preserve"> </w:t>
      </w:r>
      <w:r>
        <w:rPr>
          <w:noProof/>
        </w:rPr>
        <w:t>DNSH under Taxonomy TSCs is complex enough and it is not practical to perform such tests   on a broader basis. Furthermore, DNSH under Taxonomy TSCs is solely environmentally focused whereas SFDR DNSH consider social aspects as well.</w:t>
      </w:r>
    </w:p>
    <w:p w14:paraId="01E16D6A" w14:textId="0A6DBC35" w:rsidR="009C41BB" w:rsidRDefault="00A16D0F" w:rsidP="00A16D0F">
      <w:pPr>
        <w:jc w:val="both"/>
      </w:pPr>
      <w:r>
        <w:t>However, we would like to insist on the fact that any reform should be carefully considered and designed to simplify the framework.</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E4123">
      <w:pPr>
        <w:pStyle w:val="Questionstyle"/>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48F3F420" w14:textId="4E963D26" w:rsidR="00C83873" w:rsidRDefault="00C83873" w:rsidP="00C83873">
      <w:pPr>
        <w:jc w:val="both"/>
      </w:pPr>
      <w:permStart w:id="1098926409" w:edGrp="everyone"/>
      <w:r>
        <w:t xml:space="preserve"> </w:t>
      </w:r>
      <w:r>
        <w:t xml:space="preserve">We believe </w:t>
      </w:r>
      <w:r w:rsidRPr="008E21B5">
        <w:rPr>
          <w:b/>
          <w:bCs/>
        </w:rPr>
        <w:t>there should be more clarity regarding the concept of “sustainable investment” to reduce the risk of greenwashing and increase comparability</w:t>
      </w:r>
      <w:r w:rsidRPr="00B900A1">
        <w:t>, benefiting not only the financial sector but also customers and supervisors.</w:t>
      </w:r>
      <w:r>
        <w:t xml:space="preserve"> </w:t>
      </w:r>
      <w:r w:rsidRPr="00472083">
        <w:t xml:space="preserve">An example is that the clarification by ESMA last summer led many FMPs to downgrade Article 9 funds to Article 8 funds in the second part of the year, while waiting for further guidance on </w:t>
      </w:r>
      <w:r>
        <w:t xml:space="preserve"> </w:t>
      </w:r>
      <w:r w:rsidRPr="00472083">
        <w:t xml:space="preserve"> classification and how to interpret the definition of a "sustainable investment" provided by the </w:t>
      </w:r>
      <w:r>
        <w:t>SFDR</w:t>
      </w:r>
      <w:r w:rsidRPr="00472083">
        <w:t>.</w:t>
      </w:r>
    </w:p>
    <w:p w14:paraId="000A1102" w14:textId="74B4B0D2" w:rsidR="00C83873" w:rsidRPr="00472083" w:rsidRDefault="00C83873" w:rsidP="00C83873">
      <w:pPr>
        <w:jc w:val="both"/>
        <w:rPr>
          <w:noProof/>
        </w:rPr>
      </w:pPr>
      <w:r w:rsidRPr="008E52D1">
        <w:rPr>
          <w:noProof/>
        </w:rPr>
        <w:t xml:space="preserve">DNSH </w:t>
      </w:r>
      <w:r>
        <w:rPr>
          <w:noProof/>
        </w:rPr>
        <w:t xml:space="preserve">can be already reflected in the disclosed PAIs per product level. Since sustainable investments are arbitrary concepts with a lot of discretion from FMPs, it is difficult to compare. </w:t>
      </w:r>
      <w:r>
        <w:t xml:space="preserve"> </w:t>
      </w:r>
    </w:p>
    <w:p w14:paraId="53C2FE28" w14:textId="1D3B1F91" w:rsidR="009C41BB" w:rsidRDefault="00C83873" w:rsidP="00C83873">
      <w:pPr>
        <w:jc w:val="both"/>
      </w:pPr>
      <w:r w:rsidRPr="00472083">
        <w:t xml:space="preserve">Additional specific definition </w:t>
      </w:r>
      <w:r>
        <w:t>and</w:t>
      </w:r>
      <w:r w:rsidRPr="00472083">
        <w:t xml:space="preserve"> clarifications, as well as consistency between other EU regulation (such the ESRS reporting indicators under the CSRD) will potentially contribute to a common framework for “sustainable investments” and the slow Article 8 and Article 9 product development activity amid greenwashing accusations. </w:t>
      </w:r>
      <w:r>
        <w:t xml:space="preserve"> </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E4123">
      <w:pPr>
        <w:pStyle w:val="Questionstyle"/>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17B971EC" w:rsidR="009C41BB" w:rsidRDefault="00623B75" w:rsidP="00623B75">
      <w:pPr>
        <w:jc w:val="both"/>
      </w:pPr>
      <w:permStart w:id="2084635173" w:edGrp="everyone"/>
      <w:r>
        <w:t xml:space="preserve"> </w:t>
      </w:r>
      <w:r>
        <w:t>ESBG would like to stress that, f</w:t>
      </w:r>
      <w:r w:rsidRPr="00C85A49">
        <w:rPr>
          <w:noProof/>
        </w:rPr>
        <w:t>or investors</w:t>
      </w:r>
      <w:r>
        <w:rPr>
          <w:noProof/>
        </w:rPr>
        <w:t>, it is better not to be overloaded with information. The</w:t>
      </w:r>
      <w:r w:rsidRPr="003D1A74">
        <w:rPr>
          <w:noProof/>
        </w:rPr>
        <w:t xml:space="preserve"> new proposals for disclosures of GHG emission reduction targets in the ESG templates are too extensive and detailed. They could impede the goal of clear and succinct information of investors</w:t>
      </w:r>
      <w:r>
        <w:rPr>
          <w:noProof/>
        </w:rPr>
        <w:t xml:space="preserve"> The number of PAIs should be reduced to a minimum including only those relevant to issues that are urgent to be addressed, i.e. climate change, inequality. For instance, water emissions and wastes are not of much concern in developed countries, whereas in developing countries, the disclosure is rather low. Reporting cost and disclosing costs from non-financial undertakings and FMPs should be considered against the user benefits. It should be asked whether retail investors need those information or not in their investment decisions.</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E4123">
      <w:pPr>
        <w:pStyle w:val="Questionstyle"/>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26BD757" w:rsidR="009C41BB" w:rsidRDefault="00263765" w:rsidP="00C90CFA">
      <w:pPr>
        <w:jc w:val="both"/>
      </w:pPr>
      <w:permStart w:id="762907966" w:edGrp="everyone"/>
      <w:r>
        <w:t xml:space="preserve"> </w:t>
      </w:r>
      <w:r w:rsidRPr="005B3FF8">
        <w:t>We agree with the proposed approach to provide a hyperlink to the benchmark disclosures for products having GHG emissions reduction as their investment objective under Article 9(3) SFDR.</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E4123">
      <w:pPr>
        <w:pStyle w:val="Questionstyle"/>
      </w:pPr>
      <w:r>
        <w:t xml:space="preserve">: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w:t>
      </w:r>
      <w:r>
        <w:lastRenderedPageBreak/>
        <w:t>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07D266" w:rsidR="009C41BB" w:rsidRDefault="001D796D" w:rsidP="001D796D">
      <w:pPr>
        <w:jc w:val="both"/>
      </w:pPr>
      <w:permStart w:id="1536640680" w:edGrp="everyone"/>
      <w:r>
        <w:t xml:space="preserve"> </w:t>
      </w:r>
      <w:r w:rsidRPr="005B3FF8">
        <w:t>Th</w:t>
      </w:r>
      <w:r>
        <w:t>e proposed</w:t>
      </w:r>
      <w:r w:rsidRPr="005B3FF8">
        <w:t xml:space="preserve"> distinction </w:t>
      </w:r>
      <w:r>
        <w:t xml:space="preserve">between a product-level commitment to achieve a reduction in financed emissions and a commitment to achieve a reduction in investees’ emissions </w:t>
      </w:r>
      <w:r w:rsidRPr="005B3FF8">
        <w:t xml:space="preserve">would be useful for investors </w:t>
      </w:r>
      <w:r>
        <w:t xml:space="preserve">to </w:t>
      </w:r>
      <w:proofErr w:type="gramStart"/>
      <w:r>
        <w:t>show also</w:t>
      </w:r>
      <w:proofErr w:type="gramEnd"/>
      <w:r>
        <w:t xml:space="preserve"> transformation possibilities</w:t>
      </w:r>
      <w:r w:rsidRPr="005B3FF8">
        <w:t xml:space="preserve">. </w:t>
      </w:r>
      <w:r>
        <w:rPr>
          <w:noProof/>
        </w:rPr>
        <w:t xml:space="preserve">However, the three strategies usually work in </w:t>
      </w:r>
      <w:r>
        <w:t>tandem</w:t>
      </w:r>
      <w:r>
        <w:rPr>
          <w:noProof/>
        </w:rPr>
        <w:t>.</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E4123">
      <w:pPr>
        <w:pStyle w:val="Questionstyle"/>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24BEBCC8" w:rsidR="009C41BB" w:rsidRDefault="00FA085D" w:rsidP="00FA085D">
      <w:pPr>
        <w:jc w:val="both"/>
      </w:pPr>
      <w:permStart w:id="1824523423" w:edGrp="everyone"/>
      <w:r>
        <w:t xml:space="preserve"> </w:t>
      </w:r>
      <w:r w:rsidRPr="00BC1F01">
        <w:t>Having a disclosure on the degree of Paris Alignment of the Article 9 products</w:t>
      </w:r>
      <w:r>
        <w:t>’</w:t>
      </w:r>
      <w:r w:rsidRPr="00BC1F01">
        <w:t xml:space="preserve"> target(s) is - in principle - not bad and may prevent greenwashing. But the added value of information for the average investor is questionable and the implementation is again associated with a great deal of technical effort</w:t>
      </w:r>
      <w:r>
        <w:t>.</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E4123">
      <w:pPr>
        <w:pStyle w:val="Questionstyle"/>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5A244C59" w:rsidR="009C41BB" w:rsidRDefault="001D46A4" w:rsidP="009C41BB">
      <w:permStart w:id="1572164812" w:edGrp="everyone"/>
      <w:r>
        <w:t xml:space="preserve"> </w:t>
      </w:r>
      <w:r>
        <w:rPr>
          <w:noProof/>
        </w:rPr>
        <w:t>Yes, ESBG believes it could be useful in order to prevent greenwashing.</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E4123">
      <w:pPr>
        <w:pStyle w:val="Questionstyle"/>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w:t>
      </w:r>
      <w:r>
        <w:lastRenderedPageBreak/>
        <w:t xml:space="preserve">your answer and provide the name of alternative standards you would suggest, if any. </w:t>
      </w:r>
    </w:p>
    <w:p w14:paraId="30DBA1F9" w14:textId="77777777" w:rsidR="009C41BB" w:rsidRDefault="009C41BB" w:rsidP="009C41BB">
      <w:r>
        <w:t>&lt;ESMA_QUESTION_SFDR_27&gt;</w:t>
      </w:r>
    </w:p>
    <w:p w14:paraId="74E19DA1" w14:textId="67389BB5" w:rsidR="009C41BB" w:rsidRDefault="007A71A9" w:rsidP="007A71A9">
      <w:pPr>
        <w:jc w:val="both"/>
      </w:pPr>
      <w:permStart w:id="324808106" w:edGrp="everyone"/>
      <w:r>
        <w:t xml:space="preserve"> </w:t>
      </w:r>
      <w:r w:rsidR="00FC69DD">
        <w:t>ESBG agrees.</w:t>
      </w:r>
      <w:r w:rsidRPr="00472083">
        <w:t xml:space="preserve"> EFRAG has built on these pre-existing standardisation efforts for the development of its draft ESRS. Under the draft ESRS E1, which covers climate-related disclosure requirements, financial institutions are required to consider the use of the PCAF’s Standard for their financed emissions. Requiring the use of the PCAF’s Standard for the measure of financial product-level baseline financed GHG emissions, when setting and disclosing targets, would support consistency in the way targets are set and progress is measured. PCAF’s Standard covers all seven GHG included in national inventories under the United Nations Framework Convention for Climate Change (UNFCCC). In line with the GHG Protocol, PCAF’s Standard requires the inclusion of investee companies’ scope 1 and scope 2 emissions and is set to require the inclusion of scope 3 emissions for all sectors over time (following a phased-in approach).</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E4123">
      <w:pPr>
        <w:pStyle w:val="Questionstyle"/>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27FB85AC" w:rsidR="009C41BB" w:rsidRDefault="00175176" w:rsidP="00175176">
      <w:pPr>
        <w:jc w:val="both"/>
      </w:pPr>
      <w:permStart w:id="1690654287" w:edGrp="everyone"/>
      <w:r>
        <w:t xml:space="preserve"> </w:t>
      </w:r>
      <w:r>
        <w:t>ESBG believes that c</w:t>
      </w:r>
      <w:r w:rsidRPr="00472083">
        <w:t xml:space="preserve">onsistency with the forthcoming Delegated Regulation of the CSRD would be beneficial </w:t>
      </w:r>
      <w:proofErr w:type="gramStart"/>
      <w:r w:rsidRPr="00472083">
        <w:t>with regard to</w:t>
      </w:r>
      <w:proofErr w:type="gramEnd"/>
      <w:r w:rsidRPr="00472083">
        <w:t xml:space="preserve"> GHG removals and storage, and the use of carbon credits. Based on the latest EFRAG drafts, under the CSRD, companies would be required to report separately on their gross GHG emissions, on GHG removals and on their use of carbon credits.</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E4123">
      <w:pPr>
        <w:pStyle w:val="Questionstyle"/>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04AE6286" w14:textId="77777777" w:rsidR="00E83A28" w:rsidRDefault="00E83A28" w:rsidP="00E83A28">
      <w:pPr>
        <w:jc w:val="both"/>
        <w:rPr>
          <w:noProof/>
        </w:rPr>
      </w:pPr>
      <w:r>
        <w:rPr>
          <w:lang w:val="en-US"/>
        </w:rPr>
        <w:t>ESBG welcomes the objective of harmonizing target-setting standards</w:t>
      </w:r>
      <w:r>
        <w:rPr>
          <w:noProof/>
        </w:rPr>
        <w:t xml:space="preserve">.  We would like to point out that, for the investor, product-related disclosure adds the most value; at the entity level, the information value is regularly rather low for the investor.  In addition we are concerned that too strict </w:t>
      </w:r>
      <w:r>
        <w:rPr>
          <w:noProof/>
        </w:rPr>
        <w:lastRenderedPageBreak/>
        <w:t xml:space="preserve">requirements for </w:t>
      </w:r>
      <w:r w:rsidRPr="00B7040E">
        <w:rPr>
          <w:i/>
          <w:iCs/>
          <w:noProof/>
        </w:rPr>
        <w:t xml:space="preserve">ex ante </w:t>
      </w:r>
      <w:r>
        <w:rPr>
          <w:noProof/>
        </w:rPr>
        <w:t>quantitative targets might deter FMPs from offering products aiming at reducing GHG emissions for reasons of potential legal liability or greenwashing claims.</w:t>
      </w:r>
    </w:p>
    <w:p w14:paraId="7C1B77E1" w14:textId="1822A8B2" w:rsidR="009C41BB" w:rsidRDefault="009C41BB" w:rsidP="009C41BB">
      <w:r>
        <w:t>&lt;ESMA_QUESTION_SFDR_29&gt;</w:t>
      </w:r>
    </w:p>
    <w:p w14:paraId="44D2F33E" w14:textId="77777777" w:rsidR="009C41BB" w:rsidRDefault="009C41BB" w:rsidP="009C41BB"/>
    <w:p w14:paraId="6BCA58C7" w14:textId="77777777" w:rsidR="009C41BB" w:rsidRDefault="009C41BB" w:rsidP="009E4123">
      <w:pPr>
        <w:pStyle w:val="Questionstyle"/>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3EED65DE" w14:textId="7ACD0FE4" w:rsidR="004123FE" w:rsidRDefault="004123FE" w:rsidP="00E866FE">
      <w:pPr>
        <w:jc w:val="both"/>
      </w:pPr>
      <w:permStart w:id="1542225393" w:edGrp="everyone"/>
      <w:r>
        <w:t xml:space="preserve"> </w:t>
      </w:r>
      <w:r w:rsidRPr="00F42EF2">
        <w:t>We believe it is of utmost importance to help consumers and retail investors better understand informatio</w:t>
      </w:r>
      <w:r>
        <w:t xml:space="preserve">n. </w:t>
      </w:r>
      <w:r w:rsidRPr="00F42EF2">
        <w:t>In this regard, we agree with the proposed changes, as they provide greater clarity</w:t>
      </w:r>
      <w:r>
        <w:t>, which could</w:t>
      </w:r>
      <w:r w:rsidRPr="00F42EF2">
        <w:t xml:space="preserve"> increase the legibility of the information. </w:t>
      </w:r>
    </w:p>
    <w:p w14:paraId="573EC321" w14:textId="27E78B26" w:rsidR="004123FE" w:rsidRDefault="004123FE" w:rsidP="004123FE">
      <w:pPr>
        <w:jc w:val="both"/>
      </w:pPr>
      <w:r>
        <w:t xml:space="preserve">Hence, ESBG welcomes the inclusion of a dashboard at the beginning of the ESG annexes. It is supposed to show </w:t>
      </w:r>
      <w:proofErr w:type="gramStart"/>
      <w:r>
        <w:t>at a glance</w:t>
      </w:r>
      <w:proofErr w:type="gramEnd"/>
      <w:r>
        <w:t xml:space="preserve"> all key ESG characteristics of Article 8 and Article 9 products.  </w:t>
      </w:r>
    </w:p>
    <w:p w14:paraId="68960A17" w14:textId="797E3BE7" w:rsidR="004123FE" w:rsidRDefault="004123FE" w:rsidP="004123FE">
      <w:pPr>
        <w:jc w:val="both"/>
      </w:pPr>
      <w:r>
        <w:t xml:space="preserve">The information in the dashboard should clearly encompass all ESG product features that are relevant in terms of sustainability preferences of investors at the point of sale according to the Article 2 No. 7 MiFID II Delegated Regulation. Therefore, we welcome adding an indication in terms of PAI consideration at the product level. From an investor point of view, we would prefer a “tick the box” indication in the dashboard – rather than using icons in grey or green indicating the “sustainability” of a financial product.  Apart from that, the proposed (dual) colouring would add another layer of complexity for implementation. </w:t>
      </w:r>
    </w:p>
    <w:p w14:paraId="37660415" w14:textId="0A8C5CE4" w:rsidR="004123FE" w:rsidRDefault="004123FE" w:rsidP="004123FE">
      <w:pPr>
        <w:jc w:val="both"/>
      </w:pPr>
      <w:r>
        <w:t>However, we see no added value in the field with 250-character limit, for instance for Art. 8 SFDR products, to [include the environmental and/or social characteristic(s) promoted by the product and the [X]% of the product's investments that promote those characteristics – 250 character limit with spaces] , whereas the 1st section of the template below (without any limit) is answering such question (more clearly): “What are the environmental and/or social characteristics of this product”. To avoid redundancy and duplications it should be sufficient to indicate in the dashboard, that the product promotes environmental and/or social characteristics and to indicate the minimum proportion of sustainable investments.  For products indicating that they consider PAI, further information should be provided in the annex. The relevant section should be renamed in “Does this product consider principal adverse impacts on sustainability factors.</w:t>
      </w:r>
    </w:p>
    <w:p w14:paraId="1B8DB780" w14:textId="45D43CE4" w:rsidR="004123FE" w:rsidRPr="009C3D3D" w:rsidRDefault="004123FE" w:rsidP="004123FE">
      <w:pPr>
        <w:jc w:val="both"/>
        <w:rPr>
          <w:color w:val="FF0000"/>
        </w:rPr>
      </w:pPr>
      <w:r w:rsidRPr="00F42EF2">
        <w:t xml:space="preserve">Nonetheless, </w:t>
      </w:r>
      <w:r>
        <w:t xml:space="preserve">we would like to highlight that implementing changes in the templates comes at a high economic expense, which requires a considerable investment of resources as well as costly IT adaptations. </w:t>
      </w:r>
    </w:p>
    <w:p w14:paraId="26C576D4" w14:textId="77777777" w:rsidR="004123FE" w:rsidRDefault="004123FE" w:rsidP="004123FE">
      <w:pPr>
        <w:jc w:val="both"/>
      </w:pPr>
      <w:r>
        <w:lastRenderedPageBreak/>
        <w:t xml:space="preserve">We kindly ask to consider very carefully any future changes in the templates to: </w:t>
      </w:r>
    </w:p>
    <w:p w14:paraId="006C67E1" w14:textId="77777777" w:rsidR="004123FE" w:rsidRDefault="004123FE" w:rsidP="004123FE">
      <w:pPr>
        <w:pStyle w:val="Paragraphedeliste"/>
        <w:numPr>
          <w:ilvl w:val="0"/>
          <w:numId w:val="13"/>
        </w:numPr>
        <w:spacing w:after="0" w:line="240" w:lineRule="auto"/>
        <w:jc w:val="both"/>
      </w:pPr>
      <w:r>
        <w:t xml:space="preserve">avoid adding an extra layer of complexity to the current </w:t>
      </w:r>
      <w:proofErr w:type="gramStart"/>
      <w:r>
        <w:t>framework;</w:t>
      </w:r>
      <w:proofErr w:type="gramEnd"/>
      <w:r>
        <w:t xml:space="preserve"> </w:t>
      </w:r>
    </w:p>
    <w:p w14:paraId="59D9D371" w14:textId="77777777" w:rsidR="004123FE" w:rsidRDefault="004123FE" w:rsidP="004123FE">
      <w:pPr>
        <w:pStyle w:val="Paragraphedeliste"/>
        <w:numPr>
          <w:ilvl w:val="0"/>
          <w:numId w:val="13"/>
        </w:numPr>
        <w:spacing w:after="0" w:line="240" w:lineRule="auto"/>
        <w:jc w:val="both"/>
      </w:pPr>
      <w:r>
        <w:t xml:space="preserve">avoid making it even more difficult to implement for financial market participants </w:t>
      </w:r>
      <w:proofErr w:type="gramStart"/>
      <w:r>
        <w:t>and;</w:t>
      </w:r>
      <w:proofErr w:type="gramEnd"/>
    </w:p>
    <w:p w14:paraId="0032ED2A" w14:textId="14917271" w:rsidR="009C41BB" w:rsidRDefault="004123FE" w:rsidP="004123FE">
      <w:pPr>
        <w:jc w:val="both"/>
      </w:pPr>
      <w:r>
        <w:t>avoid causing fatigue to customers with new information/requirements in a short period of time.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E4123">
      <w:pPr>
        <w:pStyle w:val="Questionstyle"/>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5D2CB208" w14:textId="575CED97" w:rsidR="004D2AD9" w:rsidRDefault="004D2AD9" w:rsidP="004D2AD9">
      <w:pPr>
        <w:jc w:val="both"/>
      </w:pPr>
      <w:permStart w:id="782583199" w:edGrp="everyone"/>
      <w:r>
        <w:t xml:space="preserve"> </w:t>
      </w:r>
      <w:r>
        <w:t xml:space="preserve">ESBG </w:t>
      </w:r>
      <w:r w:rsidRPr="00BA27DC">
        <w:t>understand</w:t>
      </w:r>
      <w:r>
        <w:t>s</w:t>
      </w:r>
      <w:r w:rsidRPr="00BA27DC">
        <w:t xml:space="preserve"> that the ESAs intend to simplify the language in the templates. In some </w:t>
      </w:r>
      <w:proofErr w:type="gramStart"/>
      <w:r w:rsidRPr="00BA27DC">
        <w:t>cases</w:t>
      </w:r>
      <w:proofErr w:type="gramEnd"/>
      <w:r w:rsidRPr="00BA27DC">
        <w:t xml:space="preserve"> questions were rephrased (e.g. currently “What are the binding elements of this investment strategy used to select the investments to attain each of the environmental or social characteristics promoted by the financial product?” – new wording “What commitments are made in the investment strategy regarding the environmental or social characteristics of the product?”). However, it is not quite clear whether this should just enhance comprehensibility for retail investors, or whether the content of these questions – and therefore the answers as well – should be changed. This needs to be clarified. In terms of the dashboard, we refer to our answer to Q30</w:t>
      </w:r>
      <w:r>
        <w:t>.</w:t>
      </w:r>
    </w:p>
    <w:p w14:paraId="7C92F7C7" w14:textId="2313A694" w:rsidR="004D2AD9" w:rsidRDefault="004D2AD9" w:rsidP="004D2AD9">
      <w:pPr>
        <w:jc w:val="both"/>
      </w:pPr>
      <w:r>
        <w:t>In any event, r</w:t>
      </w:r>
      <w:r w:rsidRPr="00F42EF2">
        <w:t xml:space="preserve">etail investors need to understand information easily. Therefore, </w:t>
      </w:r>
      <w:r>
        <w:t>ESBG</w:t>
      </w:r>
      <w:r w:rsidRPr="00F42EF2">
        <w:t xml:space="preserve"> believe</w:t>
      </w:r>
      <w:r>
        <w:t>s that</w:t>
      </w:r>
      <w:r w:rsidRPr="00F42EF2">
        <w:t xml:space="preserve"> the proposed language simplification is reasonable</w:t>
      </w:r>
      <w:r>
        <w:t xml:space="preserve"> overall, with the caveats mentioned in the previous question and provided the colour-approach for</w:t>
      </w:r>
      <w:r w:rsidRPr="00F42EF2">
        <w:t xml:space="preserve"> information provided electronically. </w:t>
      </w:r>
    </w:p>
    <w:p w14:paraId="4A991AED" w14:textId="2D388029" w:rsidR="009C41BB" w:rsidRDefault="004D2AD9" w:rsidP="004D2AD9">
      <w:pPr>
        <w:jc w:val="both"/>
      </w:pPr>
      <w:r w:rsidRPr="00472083">
        <w:t xml:space="preserve">In this regard, it </w:t>
      </w:r>
      <w:r>
        <w:t>c</w:t>
      </w:r>
      <w:r w:rsidRPr="00472083">
        <w:t>ould be useful</w:t>
      </w:r>
      <w:r>
        <w:t xml:space="preserve"> that the ESAs</w:t>
      </w:r>
      <w:r w:rsidRPr="00472083">
        <w:t xml:space="preserve"> continue </w:t>
      </w:r>
      <w:r>
        <w:t xml:space="preserve">to </w:t>
      </w:r>
      <w:r w:rsidRPr="00472083">
        <w:t>updat</w:t>
      </w:r>
      <w:r>
        <w:t>e</w:t>
      </w:r>
      <w:r w:rsidRPr="00472083">
        <w:t xml:space="preserve"> the consolidated questions and answers (Q&amp;A) on the SFDR (Regulation (EU) 2019/2088) and the SFDR Delegated Regulation (Commission Delegated Regulation (EU) 2022/1288)</w:t>
      </w:r>
      <w:r>
        <w:t xml:space="preserve"> only if there is an appetite to do so from the financial sector.</w:t>
      </w:r>
      <w:r w:rsidRPr="00472083">
        <w:t xml:space="preserve"> </w:t>
      </w:r>
      <w:r>
        <w:t xml:space="preserve"> </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E4123">
      <w:pPr>
        <w:pStyle w:val="Questionstyle"/>
      </w:pPr>
      <w:r>
        <w:t>: Do you have any suggestion on how to further simplify or enhance the legibility of the current templates?</w:t>
      </w:r>
    </w:p>
    <w:p w14:paraId="484B5EB7" w14:textId="77777777" w:rsidR="009C41BB" w:rsidRDefault="009C41BB" w:rsidP="009C41BB">
      <w:r>
        <w:t>&lt;ESMA_QUESTION_SFDR_32&gt;</w:t>
      </w:r>
    </w:p>
    <w:p w14:paraId="00C05A29" w14:textId="77777777" w:rsidR="00E15B17" w:rsidRDefault="00E15B17" w:rsidP="00E15B17">
      <w:pPr>
        <w:jc w:val="both"/>
      </w:pPr>
      <w:permStart w:id="1403335001" w:edGrp="everyone"/>
      <w:r>
        <w:t xml:space="preserve">  </w:t>
      </w:r>
      <w:r>
        <w:t>ESBG</w:t>
      </w:r>
      <w:r w:rsidRPr="00F42EF2">
        <w:t xml:space="preserve"> believe</w:t>
      </w:r>
      <w:r>
        <w:t>s</w:t>
      </w:r>
      <w:r w:rsidRPr="00F42EF2">
        <w:t xml:space="preserve"> the proposed simplification is adequate to enhance the legibility of the templates. </w:t>
      </w:r>
      <w:r>
        <w:t>Nevertheless, the following recommendations can be formulated:</w:t>
      </w:r>
    </w:p>
    <w:p w14:paraId="6E4F796F" w14:textId="77777777" w:rsidR="00E15B17" w:rsidRDefault="00E15B17" w:rsidP="00E15B17">
      <w:pPr>
        <w:pStyle w:val="Paragraphedeliste"/>
        <w:numPr>
          <w:ilvl w:val="0"/>
          <w:numId w:val="14"/>
        </w:numPr>
        <w:spacing w:after="0" w:line="240" w:lineRule="auto"/>
        <w:jc w:val="both"/>
      </w:pPr>
      <w:r>
        <w:lastRenderedPageBreak/>
        <w:t xml:space="preserve">In Annex II, </w:t>
      </w:r>
      <w:r w:rsidRPr="00176B0F">
        <w:t xml:space="preserve">we </w:t>
      </w:r>
      <w:r>
        <w:t>suggest</w:t>
      </w:r>
      <w:r w:rsidRPr="00176B0F">
        <w:t xml:space="preserve"> </w:t>
      </w:r>
      <w:r>
        <w:t>deleting</w:t>
      </w:r>
      <w:r w:rsidRPr="00176B0F">
        <w:t xml:space="preserve"> the </w:t>
      </w:r>
      <w:r>
        <w:t>obligation to indicate the reasons in case the product does not consider the most significant negative impacts of its investments on the environment and society (principal adverse impacts)</w:t>
      </w:r>
      <w:r w:rsidRPr="00176B0F">
        <w:t xml:space="preserve">.  </w:t>
      </w:r>
    </w:p>
    <w:p w14:paraId="79F28D69" w14:textId="77777777" w:rsidR="00E15B17" w:rsidRDefault="00E15B17" w:rsidP="00E15B17">
      <w:pPr>
        <w:pStyle w:val="Paragraphedeliste"/>
        <w:numPr>
          <w:ilvl w:val="0"/>
          <w:numId w:val="14"/>
        </w:numPr>
        <w:spacing w:after="0" w:line="240" w:lineRule="auto"/>
        <w:jc w:val="both"/>
        <w:rPr>
          <w:noProof/>
        </w:rPr>
      </w:pPr>
      <w:r>
        <w:rPr>
          <w:noProof/>
        </w:rPr>
        <w:t xml:space="preserve">A number index to the questions would be very useful, so that they can be referenced easily.  </w:t>
      </w:r>
    </w:p>
    <w:p w14:paraId="6927E4B6" w14:textId="77777777" w:rsidR="00E15B17" w:rsidRDefault="00E15B17" w:rsidP="00E15B17">
      <w:pPr>
        <w:pStyle w:val="Paragraphedeliste"/>
        <w:numPr>
          <w:ilvl w:val="0"/>
          <w:numId w:val="14"/>
        </w:numPr>
        <w:spacing w:after="0" w:line="240" w:lineRule="auto"/>
        <w:jc w:val="both"/>
      </w:pPr>
      <w:r>
        <w:rPr>
          <w:noProof/>
        </w:rPr>
        <w:t xml:space="preserve">Group </w:t>
      </w:r>
      <w:r w:rsidRPr="00EA14FC">
        <w:rPr>
          <w:noProof/>
        </w:rPr>
        <w:t>quantitative</w:t>
      </w:r>
      <w:r>
        <w:rPr>
          <w:noProof/>
        </w:rPr>
        <w:t xml:space="preserve"> and qualitative questions. For a question with a mixtrue of quantatitive figure and narratives, visualize the number, while limiting the length of narrative.</w:t>
      </w:r>
    </w:p>
    <w:p w14:paraId="0E7D78E9" w14:textId="3A7E05CA" w:rsidR="009C41BB" w:rsidRDefault="00E15B17" w:rsidP="00A56B40">
      <w:pPr>
        <w:pStyle w:val="Paragraphedeliste"/>
        <w:numPr>
          <w:ilvl w:val="0"/>
          <w:numId w:val="14"/>
        </w:numPr>
        <w:jc w:val="both"/>
      </w:pPr>
      <w:r>
        <w:t>T</w:t>
      </w:r>
      <w:r w:rsidRPr="00AA2BC1">
        <w:t>he questions “What sustainability indicators are used…” and “What are the binding elements of the investment strategy…” included in both templates (in Annex II and III) tend to be answered in a very similar manner, since any relevant sustainability indicators must be directly linked to the binding elements of the investment strategy. Also, for products considering PAIs as a binding element, there is currently an artificial distinction between PAI consideration and other investment criteria that also hampers comprehensibility for investors.</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E4123">
      <w:pPr>
        <w:pStyle w:val="Questionstyle"/>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6F77A7D9" w:rsidR="009C41BB" w:rsidRDefault="00EF7274" w:rsidP="00EF7274">
      <w:pPr>
        <w:jc w:val="both"/>
      </w:pPr>
      <w:permStart w:id="1422073065" w:edGrp="everyone"/>
      <w:r>
        <w:t xml:space="preserve"> </w:t>
      </w:r>
      <w:r w:rsidRPr="00F42EF2">
        <w:t>The investment tree in the asset allocation section would not be necessary if the dashboard shows the proportion of sustainable and taxonomy-aligned investments.</w:t>
      </w:r>
      <w:r>
        <w:t xml:space="preserve"> Also, t</w:t>
      </w:r>
      <w:r>
        <w:rPr>
          <w:noProof/>
        </w:rPr>
        <w:t>he investment tree seems to isolate the categories while in reality the boxes can be overlapping, e.g one sustainable investment can be both environemntally and socially.</w:t>
      </w:r>
      <w:r w:rsidRPr="00E77888">
        <w:rPr>
          <w:noProof/>
        </w:rPr>
        <w:t xml:space="preserve"> The ‘asset allocation’ is generally understood as the balance between different asset types (shares, bonds, real estate, liquidity etc.). Using the term ‘asset allocation’ has caused confusions among investors. A  reversion would therefore be deemed beneficial for customers</w:t>
      </w:r>
      <w:r>
        <w:rPr>
          <w:noProof/>
        </w:rPr>
        <w:t>.</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E4123">
      <w:pPr>
        <w:pStyle w:val="Questionstyle"/>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A165766" w14:textId="5144C07B" w:rsidR="00E50C2F" w:rsidRDefault="00E50C2F" w:rsidP="00E50C2F">
      <w:pPr>
        <w:jc w:val="both"/>
      </w:pPr>
      <w:permStart w:id="335090742" w:edGrp="everyone"/>
      <w:r>
        <w:t xml:space="preserve"> </w:t>
      </w:r>
      <w:r w:rsidRPr="00F42EF2">
        <w:t xml:space="preserve">We support the proposed colour-approach for information provided electronically. Nonetheless, </w:t>
      </w:r>
      <w:r w:rsidRPr="00A4438A">
        <w:rPr>
          <w:b/>
          <w:bCs/>
        </w:rPr>
        <w:t>we are in favour of a neutral colour-approach</w:t>
      </w:r>
      <w:r w:rsidRPr="00F42EF2">
        <w:t xml:space="preserve"> for the information given in paper. The exception of the green colour for the investments made by the products implies considerable economic costs but also an impact to the environment in case the information is given on paper.</w:t>
      </w:r>
    </w:p>
    <w:p w14:paraId="4F58A46C" w14:textId="5623B9EC" w:rsidR="009C41BB" w:rsidRDefault="00E50C2F" w:rsidP="00E50C2F">
      <w:pPr>
        <w:jc w:val="both"/>
      </w:pPr>
      <w:r>
        <w:t xml:space="preserve">If the approach of ensuring consistency in the use of Colours in Annex II to V is to be implemented or maintained, from a practical point of view there should be more guidance, </w:t>
      </w:r>
      <w:proofErr w:type="gramStart"/>
      <w:r>
        <w:t>e.g.</w:t>
      </w:r>
      <w:proofErr w:type="gramEnd"/>
      <w:r>
        <w:t xml:space="preserve"> a certain colour code should be provided for the prescribed icons.  We also strongly advocate for the publication of </w:t>
      </w:r>
      <w:r w:rsidRPr="00D64614">
        <w:rPr>
          <w:b/>
          <w:bCs/>
        </w:rPr>
        <w:t xml:space="preserve">editable </w:t>
      </w:r>
      <w:r w:rsidRPr="00D64614">
        <w:rPr>
          <w:b/>
          <w:bCs/>
        </w:rPr>
        <w:lastRenderedPageBreak/>
        <w:t>templates</w:t>
      </w:r>
      <w:r>
        <w:t xml:space="preserve"> in Word format for all EU languages. Such editable templates should include the standardised icons as prescribed in the annexes for copyright-free use by FMPs. In addition, the standardised icons should be provided separately in high resolution for the use in other layout/typesetting programmes.</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E4123">
      <w:pPr>
        <w:pStyle w:val="Questionstyle"/>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28AEF7AB" w14:textId="3DE44CE7" w:rsidR="006363D3" w:rsidRDefault="006363D3" w:rsidP="006363D3">
      <w:pPr>
        <w:jc w:val="both"/>
      </w:pPr>
      <w:permStart w:id="1624927821" w:edGrp="everyone"/>
      <w:r>
        <w:t xml:space="preserve"> </w:t>
      </w:r>
      <w:r>
        <w:t xml:space="preserve">It depends. </w:t>
      </w:r>
      <w:r w:rsidRPr="00F42EF2">
        <w:t>We agree with the proposed approach to allow to display the pre-contractual and periodic disclosures in an extendable manner electronically.</w:t>
      </w:r>
      <w:r>
        <w:t xml:space="preserve"> </w:t>
      </w:r>
    </w:p>
    <w:p w14:paraId="71D3FC98" w14:textId="5B601830" w:rsidR="009C41BB" w:rsidRDefault="006363D3" w:rsidP="006363D3">
      <w:pPr>
        <w:jc w:val="both"/>
      </w:pPr>
      <w:r>
        <w:rPr>
          <w:noProof/>
        </w:rPr>
        <w:t xml:space="preserve">All in all, the template should be shorter, the number of questions should be reduced, while presenting visually e.g by using charts and figures and less texts. Moreover, this </w:t>
      </w:r>
      <w:r w:rsidRPr="00FF04CA">
        <w:rPr>
          <w:noProof/>
        </w:rPr>
        <w:t>proposal (“to allow to display the pre-contractual and periodic disclosures in an extendable manner electronically“) should only be an option, but not an obligation</w:t>
      </w:r>
      <w:r>
        <w:rPr>
          <w:noProof/>
        </w:rPr>
        <w:t>.</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E4123">
      <w:pPr>
        <w:pStyle w:val="Questionstyle"/>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7D7E7EF0" w14:textId="500E19F3" w:rsidR="00074A44" w:rsidRDefault="00074A44" w:rsidP="00074A44">
      <w:pPr>
        <w:jc w:val="both"/>
      </w:pPr>
      <w:permStart w:id="1338527016" w:edGrp="everyone"/>
      <w:r>
        <w:t xml:space="preserve">  </w:t>
      </w:r>
      <w:r>
        <w:t>On the one hand, d</w:t>
      </w:r>
      <w:r w:rsidRPr="00747181">
        <w:t xml:space="preserve">efining what could be accepted as “estimates” </w:t>
      </w:r>
      <w:r>
        <w:t xml:space="preserve">is </w:t>
      </w:r>
      <w:r w:rsidRPr="00747181">
        <w:t>important to operate with minimum criteria to prevent greenwashing and to avoid inconsistencies.</w:t>
      </w:r>
      <w:r>
        <w:t xml:space="preserve"> On the other hand, there should not be extensive obligations for FMPs or “examinations” with regards to the sources of the estimates. The ESAs should </w:t>
      </w:r>
      <w:proofErr w:type="gramStart"/>
      <w:r>
        <w:t>be aware of the fact that</w:t>
      </w:r>
      <w:proofErr w:type="gramEnd"/>
      <w:r>
        <w:t xml:space="preserve"> most FMPs </w:t>
      </w:r>
      <w:r w:rsidRPr="003145FD">
        <w:t>us</w:t>
      </w:r>
      <w:r>
        <w:t xml:space="preserve">e </w:t>
      </w:r>
      <w:r w:rsidRPr="003145FD">
        <w:t>information provided by a third party</w:t>
      </w:r>
      <w:r>
        <w:t xml:space="preserve">/ESG data vendor and they rely on that information. FMPs should not be obliged in such cases to ensure </w:t>
      </w:r>
      <w:r w:rsidRPr="00CB5282">
        <w:t>that information is the investee company’s reporting.</w:t>
      </w:r>
      <w:r>
        <w:t xml:space="preserve"> Alternatively, the ESG data vendor should be obligated to make this transparent.      </w:t>
      </w:r>
    </w:p>
    <w:p w14:paraId="2E84900A" w14:textId="48065452" w:rsidR="00074A44" w:rsidRDefault="00074A44" w:rsidP="00074A44">
      <w:pPr>
        <w:jc w:val="both"/>
        <w:rPr>
          <w:noProof/>
        </w:rPr>
      </w:pPr>
      <w:r>
        <w:rPr>
          <w:noProof/>
        </w:rPr>
        <w:t xml:space="preserve">Not using estimates would largely reduce the usability of Taxonomy to channel capital to green investments around the world, because manadatory Taxonomy-related disclouse only applies to companies in EU, as a result, for non-EU companies, estimation is the only way to understand their eligibility and alignment. If no estimition is allowed, then essentially only EU companies are in scope of FMPs’ disclosure.    </w:t>
      </w:r>
    </w:p>
    <w:p w14:paraId="7F375438" w14:textId="2E969432" w:rsidR="009C41BB" w:rsidRDefault="00074A44" w:rsidP="00074A44">
      <w:pPr>
        <w:jc w:val="both"/>
      </w:pPr>
      <w:r>
        <w:t xml:space="preserve">In assessing DNSH and minimum safeguards, the proposal focuses on forward-looking policies of investee companies. It also states that “FMPs should not consider negative or controversial media </w:t>
      </w:r>
      <w:r>
        <w:lastRenderedPageBreak/>
        <w:t xml:space="preserve">reaction with regard to compliance with Minimum Safeguards.” However, companies do not necessarily act in the way they commit, therefore using controversies in media is a helpful to assess and monitor companies’ actions and consequences.  Therefore, both company policies and media reports can be used in the process.  </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E4123">
      <w:pPr>
        <w:pStyle w:val="Questionstyle"/>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CCF11BF" w:rsidR="009C41BB" w:rsidRDefault="00814C3F" w:rsidP="009C41BB">
      <w:permStart w:id="1477927507" w:edGrp="everyone"/>
      <w:r>
        <w:t xml:space="preserve">  </w:t>
      </w:r>
      <w:r w:rsidRPr="00BA74CB">
        <w:rPr>
          <w:noProof/>
        </w:rPr>
        <w:t xml:space="preserve">No. ESBG believes that </w:t>
      </w:r>
      <w:r>
        <w:rPr>
          <w:noProof/>
        </w:rPr>
        <w:t xml:space="preserve">the </w:t>
      </w:r>
      <w:r w:rsidRPr="00BA74CB">
        <w:rPr>
          <w:noProof/>
        </w:rPr>
        <w:t xml:space="preserve">current definition covers quite well.  </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E4123">
      <w:pPr>
        <w:pStyle w:val="Questionstyle"/>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1FB492E9" w14:textId="2AC8112A" w:rsidR="009C663F" w:rsidRPr="009C663F" w:rsidRDefault="009C663F" w:rsidP="009C663F">
      <w:pPr>
        <w:jc w:val="both"/>
      </w:pPr>
      <w:permStart w:id="1880105875" w:edGrp="everyone"/>
      <w:r>
        <w:t xml:space="preserve">  </w:t>
      </w:r>
      <w:r>
        <w:rPr>
          <w:b/>
          <w:bCs/>
        </w:rPr>
        <w:t>T</w:t>
      </w:r>
      <w:r w:rsidRPr="009559B4">
        <w:rPr>
          <w:b/>
          <w:bCs/>
        </w:rPr>
        <w:t>here should be more clarity regarding the concept of “sustainable investment” to reduce the risk of greenwashing and increase comparability</w:t>
      </w:r>
      <w:r w:rsidRPr="00B900A1">
        <w:t>, benefiting not only the financial sector but also customers and supervisors.</w:t>
      </w:r>
      <w:r>
        <w:t xml:space="preserve"> If more clarity were to be provided, we believe it would be convenient</w:t>
      </w:r>
      <w:r w:rsidRPr="00535464">
        <w:t xml:space="preserve"> to set out specific rules on the calculation of the proportion of sustainable investments of financial products</w:t>
      </w:r>
      <w:r>
        <w:t xml:space="preserve"> </w:t>
      </w:r>
      <w:r w:rsidRPr="00F42EF2">
        <w:t>to prevent greenwashing and to ensure financial market participants use comparable</w:t>
      </w:r>
      <w:r>
        <w:t xml:space="preserve"> information. </w:t>
      </w:r>
    </w:p>
    <w:p w14:paraId="32C0D823" w14:textId="584737F2" w:rsidR="009C663F" w:rsidRPr="00ED3F8E" w:rsidRDefault="009C663F" w:rsidP="009C663F">
      <w:pPr>
        <w:jc w:val="both"/>
        <w:rPr>
          <w:noProof/>
          <w:lang w:val="en-US"/>
        </w:rPr>
      </w:pPr>
      <w:r w:rsidRPr="00ED3F8E">
        <w:rPr>
          <w:noProof/>
          <w:lang w:val="en-US"/>
        </w:rPr>
        <w:t xml:space="preserve">How the proportions in "(environmentally) sustainable investments" should be calculated in a financial product is currently not regulated. However, already today proportions of such investments, also in the sense of minimum commitments, have to be published and are part of the query of sustainability preferences according to MiFID II/IDD. Only a common understanding in the calculation of such proportions will ensure comparability of financial products. </w:t>
      </w:r>
    </w:p>
    <w:p w14:paraId="2B308790" w14:textId="77777777" w:rsidR="009C663F" w:rsidRPr="00ED3F8E" w:rsidRDefault="009C663F" w:rsidP="009C663F">
      <w:pPr>
        <w:jc w:val="both"/>
        <w:rPr>
          <w:noProof/>
          <w:lang w:val="en-US"/>
        </w:rPr>
      </w:pPr>
      <w:r w:rsidRPr="00ED3F8E">
        <w:rPr>
          <w:noProof/>
          <w:lang w:val="en-US"/>
        </w:rPr>
        <w:t>There are different types of calculation approaches</w:t>
      </w:r>
      <w:r>
        <w:rPr>
          <w:noProof/>
          <w:lang w:val="en-US"/>
        </w:rPr>
        <w:t xml:space="preserve"> that ESBG could suggest, such as</w:t>
      </w:r>
      <w:r w:rsidRPr="00ED3F8E">
        <w:rPr>
          <w:noProof/>
          <w:lang w:val="en-US"/>
        </w:rPr>
        <w:t xml:space="preserve">: </w:t>
      </w:r>
    </w:p>
    <w:p w14:paraId="7FCD78C6" w14:textId="77777777" w:rsidR="009C663F" w:rsidRPr="00ED3F8E" w:rsidRDefault="009C663F" w:rsidP="009C663F">
      <w:pPr>
        <w:jc w:val="both"/>
        <w:rPr>
          <w:noProof/>
          <w:lang w:val="en-US"/>
        </w:rPr>
      </w:pPr>
      <w:r w:rsidRPr="00ED3F8E">
        <w:rPr>
          <w:noProof/>
          <w:lang w:val="en-US"/>
        </w:rPr>
        <w:t xml:space="preserve">•"activity based": only the revenues (or opex or capex) of a company from sustainable activities are calculated as sustainable investments (analogous to EU taxonomy); </w:t>
      </w:r>
    </w:p>
    <w:p w14:paraId="089F3F7D" w14:textId="77777777" w:rsidR="009C663F" w:rsidRPr="00ED3F8E" w:rsidRDefault="009C663F" w:rsidP="009C663F">
      <w:pPr>
        <w:jc w:val="both"/>
        <w:rPr>
          <w:noProof/>
          <w:lang w:val="en-US"/>
        </w:rPr>
      </w:pPr>
      <w:r w:rsidRPr="00ED3F8E">
        <w:rPr>
          <w:noProof/>
          <w:lang w:val="en-US"/>
        </w:rPr>
        <w:t xml:space="preserve">•"pass-fail activity based": 100% of an investment </w:t>
      </w:r>
      <w:r>
        <w:rPr>
          <w:noProof/>
          <w:lang w:val="en-US"/>
        </w:rPr>
        <w:t>is</w:t>
      </w:r>
      <w:r w:rsidRPr="00ED3F8E">
        <w:rPr>
          <w:noProof/>
          <w:lang w:val="en-US"/>
        </w:rPr>
        <w:t xml:space="preserve"> calculated as "sustainable investment", if only a certain threshold of the turnover is derived from sustainable activities or is linked to sustainability </w:t>
      </w:r>
      <w:r w:rsidRPr="00ED3F8E">
        <w:rPr>
          <w:noProof/>
          <w:lang w:val="en-US"/>
        </w:rPr>
        <w:lastRenderedPageBreak/>
        <w:t xml:space="preserve">targets (in the second variant, there are considerable differences depending on where the relevant threshold is set, usually between 20% and 50%). </w:t>
      </w:r>
    </w:p>
    <w:p w14:paraId="7A816037" w14:textId="74136772" w:rsidR="009C663F" w:rsidRDefault="009C663F" w:rsidP="009C663F">
      <w:pPr>
        <w:jc w:val="both"/>
        <w:rPr>
          <w:noProof/>
          <w:lang w:val="en-US"/>
        </w:rPr>
      </w:pPr>
      <w:r w:rsidRPr="00ED3F8E">
        <w:rPr>
          <w:noProof/>
          <w:lang w:val="en-US"/>
        </w:rPr>
        <w:t xml:space="preserve">•"entity based":  100% of an investment </w:t>
      </w:r>
      <w:r>
        <w:rPr>
          <w:noProof/>
          <w:lang w:val="en-US"/>
        </w:rPr>
        <w:t>is</w:t>
      </w:r>
      <w:r w:rsidRPr="00ED3F8E">
        <w:rPr>
          <w:noProof/>
          <w:lang w:val="en-US"/>
        </w:rPr>
        <w:t xml:space="preserve"> calculated as sustainable investment, if the investment object as a whole has concrete, measurable sustainability goals that are underpinned by an implementation strategy (e.g. SDGs/SDG sub-targets), in particular if an entity pursues a certified climate target.</w:t>
      </w:r>
    </w:p>
    <w:p w14:paraId="068B78BA" w14:textId="6C5CC3DA" w:rsidR="009C41BB" w:rsidRDefault="009C663F" w:rsidP="009C663F">
      <w:pPr>
        <w:jc w:val="both"/>
      </w:pPr>
      <w:r w:rsidRPr="00E77888">
        <w:rPr>
          <w:noProof/>
          <w:lang w:val="en-US"/>
        </w:rPr>
        <w:t>The calculation of sustainable investments should be aligned with that of Taxonomy aligned investments in order to strengthen comparability of financial products</w:t>
      </w:r>
      <w:r>
        <w:rPr>
          <w:noProof/>
          <w:lang w:val="en-US"/>
        </w:rPr>
        <w:t>.</w:t>
      </w:r>
      <w:r w:rsidRPr="00ED3F8E">
        <w:rPr>
          <w:noProof/>
          <w:lang w:val="en-US"/>
        </w:rPr>
        <w:t xml:space="preserve">   </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E4123">
      <w:pPr>
        <w:pStyle w:val="Questionstyle"/>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284E7D66" w:rsidR="009C41BB" w:rsidRDefault="004602F0" w:rsidP="009C41BB">
      <w:permStart w:id="2135520093" w:edGrp="everyone"/>
      <w:r>
        <w:t xml:space="preserve">  </w:t>
      </w:r>
      <w:r w:rsidRPr="00F42EF2">
        <w:t xml:space="preserve">Yes, we </w:t>
      </w:r>
      <w:r>
        <w:t>believe</w:t>
      </w:r>
      <w:r w:rsidRPr="00F42EF2">
        <w:t xml:space="preserve"> that cross-referencing in periodic disclosures of financial products with investment options would be beneficial to address information overload.</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E4123">
      <w:pPr>
        <w:pStyle w:val="Questionstyle"/>
      </w:pPr>
      <w:r>
        <w:t>: Do you agree with the proposed website disclosures for financial products with investment options?</w:t>
      </w:r>
    </w:p>
    <w:p w14:paraId="66B2AEB5" w14:textId="77777777" w:rsidR="009C41BB" w:rsidRDefault="009C41BB" w:rsidP="009C41BB">
      <w:r>
        <w:t>&lt;ESMA_QUESTION_SFDR_40&gt;</w:t>
      </w:r>
    </w:p>
    <w:p w14:paraId="6FE55295" w14:textId="4D77C2A4" w:rsidR="009C41BB" w:rsidRDefault="0030536E" w:rsidP="009C41BB">
      <w:permStart w:id="388397641" w:edGrp="everyone"/>
      <w:r>
        <w:t xml:space="preserve">  </w:t>
      </w:r>
      <w:r w:rsidRPr="00064F7D">
        <w:t xml:space="preserve">We agree with </w:t>
      </w:r>
      <w:r>
        <w:t xml:space="preserve">the </w:t>
      </w:r>
      <w:r w:rsidRPr="00064F7D">
        <w:t>proposed clarifications for the website disclosures for financial products with investment options.</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E4123">
      <w:pPr>
        <w:pStyle w:val="Questionstyle"/>
      </w:pPr>
      <w:r>
        <w:t xml:space="preserve">: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w:t>
      </w:r>
      <w:r>
        <w:lastRenderedPageBreak/>
        <w:t>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4A80D469" w:rsidR="009C41BB" w:rsidRDefault="00AD2332" w:rsidP="00AD2332">
      <w:pPr>
        <w:jc w:val="both"/>
      </w:pPr>
      <w:permStart w:id="1516521151" w:edGrp="everyone"/>
      <w:r>
        <w:t xml:space="preserve">  </w:t>
      </w:r>
      <w:r>
        <w:rPr>
          <w:noProof/>
        </w:rPr>
        <w:t>ESBG disagrees with this proposal because of the</w:t>
      </w:r>
      <w:r w:rsidRPr="0051589A">
        <w:rPr>
          <w:noProof/>
        </w:rPr>
        <w:t xml:space="preserve"> </w:t>
      </w:r>
      <w:r>
        <w:rPr>
          <w:noProof/>
        </w:rPr>
        <w:t xml:space="preserve">information overload it will generate. Costs overweight benefits to retail investors. Website disclosure and cross referencing are sufficient in our view.  </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E4123">
      <w:pPr>
        <w:pStyle w:val="Questionstyle"/>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3F61EDEC" w:rsidR="009C41BB" w:rsidRDefault="002555CC" w:rsidP="002555CC">
      <w:pPr>
        <w:jc w:val="both"/>
      </w:pPr>
      <w:permStart w:id="2063756698" w:edGrp="everyone"/>
      <w:r>
        <w:t xml:space="preserve">  </w:t>
      </w:r>
      <w:r w:rsidRPr="00D10809">
        <w:t xml:space="preserve">There is no requirement to submit the information pursuant to Article 3(1), Article 3(2), Article 4(1), Article 4(3), Article 4(5), Article </w:t>
      </w:r>
      <w:proofErr w:type="gramStart"/>
      <w:r w:rsidRPr="00D10809">
        <w:t>5(1)</w:t>
      </w:r>
      <w:proofErr w:type="gramEnd"/>
      <w:r w:rsidRPr="00D10809">
        <w:t xml:space="preserve"> and Article 10(1) SFDR to a collection body/NCA or register. It is sufficient to publish it on the website of the respective FMP or financial advisor. According to the draft ESAP Regulation this data shall also be reported to ESAP via the collection points in a specific format, so that new and additional reporting lines are created here. According to the proposed Article 18a (1) (b) SFDR, the abovementioned information shall be accompanied by metadata as well (</w:t>
      </w:r>
      <w:proofErr w:type="gramStart"/>
      <w:r w:rsidRPr="00D10809">
        <w:t>e.g.</w:t>
      </w:r>
      <w:proofErr w:type="gramEnd"/>
      <w:r w:rsidRPr="00D10809">
        <w:t xml:space="preserve"> all the names of the entity submitting the information, the legal entity identifier of the financial market participants or financial advisers, where relevant, the size of the financial market participants or financial advisers, the type of information, as classified pursuant to Article 7(4) of the draft ESAP Regulation. It is already becoming apparent that FMP will have to incur additional efforts and costs for the provision of this information. We therefore advocate, that in the development of the technical implementation standards, care must be taken to ensure that the additional efforts are as low as possible. Therefore, it should be refrained from having to keep the information in a machine-readable format. Especially for retail customers who are to be informed about this, this does not bring any added value.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E4123">
      <w:pPr>
        <w:pStyle w:val="Questionstyle"/>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188DE826" w14:textId="682AB566" w:rsidR="00610EDA" w:rsidRDefault="00610EDA" w:rsidP="00610EDA">
      <w:pPr>
        <w:jc w:val="both"/>
        <w:rPr>
          <w:noProof/>
        </w:rPr>
      </w:pPr>
      <w:permStart w:id="1679513234" w:edGrp="everyone"/>
      <w:r>
        <w:lastRenderedPageBreak/>
        <w:t xml:space="preserve">  </w:t>
      </w:r>
      <w:r>
        <w:rPr>
          <w:noProof/>
        </w:rPr>
        <w:t>ESBG would like to stress that t</w:t>
      </w:r>
      <w:r w:rsidRPr="00E8583B">
        <w:rPr>
          <w:noProof/>
        </w:rPr>
        <w:t xml:space="preserve">he pros and cons do not consider the significant costs in implementing additional disclosure requirements including updating existing templates, addition of new PAIs, </w:t>
      </w:r>
      <w:r>
        <w:rPr>
          <w:noProof/>
        </w:rPr>
        <w:t xml:space="preserve">adding section for </w:t>
      </w:r>
      <w:r w:rsidRPr="00E8583B">
        <w:rPr>
          <w:noProof/>
        </w:rPr>
        <w:t>carbon reduction targets,  efforts in gathering, validating and calculat</w:t>
      </w:r>
      <w:r>
        <w:rPr>
          <w:noProof/>
        </w:rPr>
        <w:t>ing data</w:t>
      </w:r>
      <w:r w:rsidRPr="00E8583B">
        <w:rPr>
          <w:noProof/>
        </w:rPr>
        <w:t>, as well as technical feasibility</w:t>
      </w:r>
      <w:r>
        <w:rPr>
          <w:noProof/>
        </w:rPr>
        <w:t xml:space="preserve"> in machine reading formats and extendable paragraphs</w:t>
      </w:r>
      <w:r w:rsidRPr="00E8583B">
        <w:rPr>
          <w:noProof/>
        </w:rPr>
        <w:t xml:space="preserve">. </w:t>
      </w:r>
    </w:p>
    <w:p w14:paraId="52883185" w14:textId="497DF833" w:rsidR="00610EDA" w:rsidRDefault="00610EDA" w:rsidP="00610EDA">
      <w:pPr>
        <w:jc w:val="both"/>
        <w:rPr>
          <w:noProof/>
        </w:rPr>
      </w:pPr>
      <w:r w:rsidRPr="00E8583B">
        <w:rPr>
          <w:noProof/>
        </w:rPr>
        <w:t xml:space="preserve">The first PAI statement under the RTS is </w:t>
      </w:r>
      <w:r>
        <w:rPr>
          <w:noProof/>
        </w:rPr>
        <w:t xml:space="preserve"> to be published by June 2023. T</w:t>
      </w:r>
      <w:r w:rsidRPr="00E8583B">
        <w:rPr>
          <w:noProof/>
        </w:rPr>
        <w:t xml:space="preserve">he </w:t>
      </w:r>
      <w:r>
        <w:rPr>
          <w:noProof/>
        </w:rPr>
        <w:t>considerable</w:t>
      </w:r>
      <w:r w:rsidRPr="00E8583B">
        <w:rPr>
          <w:noProof/>
        </w:rPr>
        <w:t xml:space="preserve"> change</w:t>
      </w:r>
      <w:r>
        <w:rPr>
          <w:noProof/>
        </w:rPr>
        <w:t>s</w:t>
      </w:r>
      <w:r w:rsidRPr="00E8583B">
        <w:rPr>
          <w:noProof/>
        </w:rPr>
        <w:t xml:space="preserve"> to the RTS would result in very high cost</w:t>
      </w:r>
      <w:r>
        <w:rPr>
          <w:noProof/>
        </w:rPr>
        <w:t xml:space="preserve"> in disclosure</w:t>
      </w:r>
      <w:r w:rsidRPr="00E8583B">
        <w:rPr>
          <w:noProof/>
        </w:rPr>
        <w:t xml:space="preserve"> on FMPs</w:t>
      </w:r>
      <w:r>
        <w:rPr>
          <w:noProof/>
        </w:rPr>
        <w:t xml:space="preserve">, </w:t>
      </w:r>
      <w:r w:rsidRPr="00E8583B">
        <w:rPr>
          <w:noProof/>
        </w:rPr>
        <w:t>while the benefit of making retail investors is largely contested. Data burden do</w:t>
      </w:r>
      <w:r>
        <w:rPr>
          <w:noProof/>
        </w:rPr>
        <w:t>es</w:t>
      </w:r>
      <w:r w:rsidRPr="00E8583B">
        <w:rPr>
          <w:noProof/>
        </w:rPr>
        <w:t xml:space="preserve"> not alleviate much with only EU requi</w:t>
      </w:r>
      <w:r>
        <w:rPr>
          <w:noProof/>
        </w:rPr>
        <w:t xml:space="preserve">ring </w:t>
      </w:r>
      <w:r w:rsidRPr="00E8583B">
        <w:rPr>
          <w:noProof/>
        </w:rPr>
        <w:t>companies to report. Furthermore, we need to understand</w:t>
      </w:r>
      <w:r>
        <w:rPr>
          <w:noProof/>
        </w:rPr>
        <w:t xml:space="preserve"> if retail </w:t>
      </w:r>
      <w:r w:rsidRPr="00E8583B">
        <w:rPr>
          <w:noProof/>
        </w:rPr>
        <w:t>investors really need over 20</w:t>
      </w:r>
      <w:r>
        <w:rPr>
          <w:noProof/>
        </w:rPr>
        <w:t xml:space="preserve"> mandatory</w:t>
      </w:r>
      <w:r w:rsidRPr="00E8583B">
        <w:rPr>
          <w:noProof/>
        </w:rPr>
        <w:t xml:space="preserve"> PAIs to </w:t>
      </w:r>
      <w:r>
        <w:rPr>
          <w:noProof/>
        </w:rPr>
        <w:t>make</w:t>
      </w:r>
      <w:r w:rsidRPr="00E8583B">
        <w:rPr>
          <w:noProof/>
        </w:rPr>
        <w:t xml:space="preserve"> their investment decisions</w:t>
      </w:r>
      <w:r>
        <w:rPr>
          <w:noProof/>
        </w:rPr>
        <w:t xml:space="preserve"> and inform about sustainability. </w:t>
      </w:r>
    </w:p>
    <w:p w14:paraId="3E490504" w14:textId="1FF18AA4" w:rsidR="004D484A" w:rsidRDefault="00610EDA" w:rsidP="00610EDA">
      <w:pPr>
        <w:jc w:val="both"/>
        <w:rPr>
          <w:noProof/>
        </w:rPr>
      </w:pPr>
      <w:r>
        <w:rPr>
          <w:noProof/>
        </w:rPr>
        <w:t>To avoid legal uncertainties the planned SFDR evaluation at Level 1 should necessarily be aligned and coordinated with the current review of the SFDR RTS. A situation where FMPs have to implement changes according to the RTS based on this Consultation, although more fundamental changes at Level 1 – and subsequently Level 2 – are forthcoming shortly afterwards, should definitely be avoided. When amending the RTS, it would be desirable to think about easing the burden on FMPs. Portfolio management is classified as an investment service under MiFID II and as a financial product under the SFDR. Pre-contractual information and regular reportings have to be provided to individual clients for each individual portfolio management service. Hundreds and more contractual documents and regular reportings have to be prepared. Again, this results in huge IT costs and burdens that FMPs have already incurred. Changing the templates in the way proposed would not only negate this effort, but even generate such an effort.</w:t>
      </w:r>
    </w:p>
    <w:p w14:paraId="2E7C709A" w14:textId="14954A1D" w:rsidR="009C41BB" w:rsidRDefault="00610EDA" w:rsidP="00610EDA">
      <w:pPr>
        <w:jc w:val="both"/>
        <w:rPr>
          <w:noProof/>
        </w:rPr>
      </w:pPr>
      <w:r>
        <w:rPr>
          <w:noProof/>
        </w:rPr>
        <w:t>M</w:t>
      </w:r>
      <w:r w:rsidRPr="00E8583B">
        <w:rPr>
          <w:noProof/>
        </w:rPr>
        <w:t>arket survey</w:t>
      </w:r>
      <w:r>
        <w:rPr>
          <w:noProof/>
        </w:rPr>
        <w:t>s</w:t>
      </w:r>
      <w:r w:rsidRPr="00E8583B">
        <w:rPr>
          <w:noProof/>
        </w:rPr>
        <w:t xml:space="preserve"> </w:t>
      </w:r>
      <w:r>
        <w:rPr>
          <w:noProof/>
        </w:rPr>
        <w:t xml:space="preserve">could </w:t>
      </w:r>
      <w:r w:rsidRPr="00E8583B">
        <w:rPr>
          <w:noProof/>
        </w:rPr>
        <w:t xml:space="preserve">be done among investors to find out what their feedbacks are during the first year of implementation.  </w:t>
      </w:r>
      <w:r>
        <w:rPr>
          <w:noProof/>
        </w:rPr>
        <w:t xml:space="preserve"> </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484C" w14:textId="77777777" w:rsidR="00A41B8D" w:rsidRDefault="00A41B8D" w:rsidP="00707738">
      <w:pPr>
        <w:spacing w:after="0" w:line="240" w:lineRule="auto"/>
      </w:pPr>
      <w:r>
        <w:separator/>
      </w:r>
    </w:p>
  </w:endnote>
  <w:endnote w:type="continuationSeparator" w:id="0">
    <w:p w14:paraId="290C2818" w14:textId="77777777" w:rsidR="00A41B8D" w:rsidRDefault="00A41B8D"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Pieddepage"/>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DAE6" w14:textId="77777777" w:rsidR="00A41B8D" w:rsidRDefault="00A41B8D" w:rsidP="00707738">
      <w:pPr>
        <w:spacing w:after="0" w:line="240" w:lineRule="auto"/>
      </w:pPr>
      <w:r>
        <w:separator/>
      </w:r>
    </w:p>
  </w:footnote>
  <w:footnote w:type="continuationSeparator" w:id="0">
    <w:p w14:paraId="60E961DD" w14:textId="77777777" w:rsidR="00A41B8D" w:rsidRDefault="00A41B8D" w:rsidP="00707738">
      <w:pPr>
        <w:spacing w:after="0" w:line="240" w:lineRule="auto"/>
      </w:pPr>
      <w:r>
        <w:continuationSeparator/>
      </w:r>
    </w:p>
  </w:footnote>
  <w:footnote w:id="1">
    <w:p w14:paraId="5BF82E71" w14:textId="77777777" w:rsidR="009C41BB" w:rsidRDefault="009C41BB" w:rsidP="009C41BB">
      <w:pPr>
        <w:pStyle w:val="Notedebasdepage"/>
      </w:pPr>
      <w:r>
        <w:rPr>
          <w:rStyle w:val="Appelnotedebasdep"/>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En-tte"/>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1FCD"/>
    <w:multiLevelType w:val="hybridMultilevel"/>
    <w:tmpl w:val="9AB0C79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6660E09"/>
    <w:multiLevelType w:val="hybridMultilevel"/>
    <w:tmpl w:val="29F2A47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96551FA"/>
    <w:multiLevelType w:val="hybridMultilevel"/>
    <w:tmpl w:val="D4F8D0E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2F092804"/>
    <w:multiLevelType w:val="hybridMultilevel"/>
    <w:tmpl w:val="2FA4EF7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F065DE"/>
    <w:multiLevelType w:val="hybridMultilevel"/>
    <w:tmpl w:val="40E297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96B79BE"/>
    <w:multiLevelType w:val="hybridMultilevel"/>
    <w:tmpl w:val="74C8B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B2A4E194"/>
    <w:lvl w:ilvl="0" w:tplc="ABAEAE6E">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64B66E4"/>
    <w:multiLevelType w:val="hybridMultilevel"/>
    <w:tmpl w:val="1D442D9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AE169F8"/>
    <w:multiLevelType w:val="hybridMultilevel"/>
    <w:tmpl w:val="4FF2601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D4C156A"/>
    <w:multiLevelType w:val="hybridMultilevel"/>
    <w:tmpl w:val="D5FCD83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4FB777A8"/>
    <w:multiLevelType w:val="hybridMultilevel"/>
    <w:tmpl w:val="8968CD2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57EB12C1"/>
    <w:multiLevelType w:val="hybridMultilevel"/>
    <w:tmpl w:val="4D2055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21A3E30"/>
    <w:multiLevelType w:val="hybridMultilevel"/>
    <w:tmpl w:val="9BFC858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860432523">
    <w:abstractNumId w:val="7"/>
  </w:num>
  <w:num w:numId="2" w16cid:durableId="184565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8065849">
    <w:abstractNumId w:val="8"/>
  </w:num>
  <w:num w:numId="4" w16cid:durableId="1527910012">
    <w:abstractNumId w:val="10"/>
  </w:num>
  <w:num w:numId="5" w16cid:durableId="1738817053">
    <w:abstractNumId w:val="1"/>
  </w:num>
  <w:num w:numId="6" w16cid:durableId="1402944212">
    <w:abstractNumId w:val="9"/>
  </w:num>
  <w:num w:numId="7" w16cid:durableId="578945847">
    <w:abstractNumId w:val="4"/>
  </w:num>
  <w:num w:numId="8" w16cid:durableId="1006597001">
    <w:abstractNumId w:val="0"/>
  </w:num>
  <w:num w:numId="9" w16cid:durableId="977950524">
    <w:abstractNumId w:val="11"/>
  </w:num>
  <w:num w:numId="10" w16cid:durableId="176307555">
    <w:abstractNumId w:val="5"/>
  </w:num>
  <w:num w:numId="11" w16cid:durableId="996498606">
    <w:abstractNumId w:val="12"/>
  </w:num>
  <w:num w:numId="12" w16cid:durableId="1228606958">
    <w:abstractNumId w:val="13"/>
  </w:num>
  <w:num w:numId="13" w16cid:durableId="329411516">
    <w:abstractNumId w:val="3"/>
  </w:num>
  <w:num w:numId="14" w16cid:durableId="10153010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4A44"/>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69E2"/>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50A5"/>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7AA"/>
    <w:rsid w:val="00163CAA"/>
    <w:rsid w:val="00171CC5"/>
    <w:rsid w:val="00171F53"/>
    <w:rsid w:val="001732F3"/>
    <w:rsid w:val="0017367A"/>
    <w:rsid w:val="00175176"/>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46A4"/>
    <w:rsid w:val="001D5DBD"/>
    <w:rsid w:val="001D6744"/>
    <w:rsid w:val="001D6960"/>
    <w:rsid w:val="001D741B"/>
    <w:rsid w:val="001D796D"/>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55CC"/>
    <w:rsid w:val="00256770"/>
    <w:rsid w:val="002616C4"/>
    <w:rsid w:val="00262BC4"/>
    <w:rsid w:val="00263177"/>
    <w:rsid w:val="00263765"/>
    <w:rsid w:val="00270481"/>
    <w:rsid w:val="002724C2"/>
    <w:rsid w:val="002742CC"/>
    <w:rsid w:val="00276971"/>
    <w:rsid w:val="00276D48"/>
    <w:rsid w:val="0028166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536E"/>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3FE"/>
    <w:rsid w:val="00412F27"/>
    <w:rsid w:val="004151B3"/>
    <w:rsid w:val="00417E6B"/>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4CBF"/>
    <w:rsid w:val="00446733"/>
    <w:rsid w:val="004517BF"/>
    <w:rsid w:val="00452FA3"/>
    <w:rsid w:val="00454488"/>
    <w:rsid w:val="0045475E"/>
    <w:rsid w:val="00454BF0"/>
    <w:rsid w:val="004567D1"/>
    <w:rsid w:val="004602F0"/>
    <w:rsid w:val="00463478"/>
    <w:rsid w:val="004678B2"/>
    <w:rsid w:val="0047207D"/>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2AD9"/>
    <w:rsid w:val="004D3804"/>
    <w:rsid w:val="004D41F6"/>
    <w:rsid w:val="004D484A"/>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6E92"/>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20D7"/>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0EDA"/>
    <w:rsid w:val="0061617E"/>
    <w:rsid w:val="00620231"/>
    <w:rsid w:val="006203E8"/>
    <w:rsid w:val="006225D4"/>
    <w:rsid w:val="00622EFB"/>
    <w:rsid w:val="00623B75"/>
    <w:rsid w:val="0062470F"/>
    <w:rsid w:val="006248E6"/>
    <w:rsid w:val="0062587F"/>
    <w:rsid w:val="00625B61"/>
    <w:rsid w:val="00626633"/>
    <w:rsid w:val="00633F49"/>
    <w:rsid w:val="006363D3"/>
    <w:rsid w:val="0063709B"/>
    <w:rsid w:val="00637DDA"/>
    <w:rsid w:val="00647BF8"/>
    <w:rsid w:val="0065561D"/>
    <w:rsid w:val="00656701"/>
    <w:rsid w:val="00656753"/>
    <w:rsid w:val="00657D98"/>
    <w:rsid w:val="00657F93"/>
    <w:rsid w:val="00661297"/>
    <w:rsid w:val="00663F03"/>
    <w:rsid w:val="00671DC9"/>
    <w:rsid w:val="006727C3"/>
    <w:rsid w:val="00672A40"/>
    <w:rsid w:val="00673304"/>
    <w:rsid w:val="006769D9"/>
    <w:rsid w:val="00677CA7"/>
    <w:rsid w:val="00677FC6"/>
    <w:rsid w:val="00682097"/>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56FB"/>
    <w:rsid w:val="006B656A"/>
    <w:rsid w:val="006C4483"/>
    <w:rsid w:val="006C4A54"/>
    <w:rsid w:val="006C4FB1"/>
    <w:rsid w:val="006C523F"/>
    <w:rsid w:val="006C642C"/>
    <w:rsid w:val="006D3572"/>
    <w:rsid w:val="006D4637"/>
    <w:rsid w:val="006D5390"/>
    <w:rsid w:val="006D609F"/>
    <w:rsid w:val="006D7A3A"/>
    <w:rsid w:val="006E05CD"/>
    <w:rsid w:val="006E2139"/>
    <w:rsid w:val="006E31A4"/>
    <w:rsid w:val="006E4CC8"/>
    <w:rsid w:val="006E6CA3"/>
    <w:rsid w:val="006F1C44"/>
    <w:rsid w:val="006F1EEE"/>
    <w:rsid w:val="006F1F9C"/>
    <w:rsid w:val="006F3F02"/>
    <w:rsid w:val="006F5051"/>
    <w:rsid w:val="006F6FE7"/>
    <w:rsid w:val="00700DF8"/>
    <w:rsid w:val="00700FF9"/>
    <w:rsid w:val="00702433"/>
    <w:rsid w:val="00703DEC"/>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2A7C"/>
    <w:rsid w:val="0077619B"/>
    <w:rsid w:val="00776B13"/>
    <w:rsid w:val="00777F6A"/>
    <w:rsid w:val="0078616F"/>
    <w:rsid w:val="00786E1F"/>
    <w:rsid w:val="0079065E"/>
    <w:rsid w:val="007942A8"/>
    <w:rsid w:val="007976F0"/>
    <w:rsid w:val="007A09F7"/>
    <w:rsid w:val="007A1D4E"/>
    <w:rsid w:val="007A5215"/>
    <w:rsid w:val="007A5DB4"/>
    <w:rsid w:val="007A71A9"/>
    <w:rsid w:val="007B1EE9"/>
    <w:rsid w:val="007B2568"/>
    <w:rsid w:val="007B4C9B"/>
    <w:rsid w:val="007B53D4"/>
    <w:rsid w:val="007B58FA"/>
    <w:rsid w:val="007B6D83"/>
    <w:rsid w:val="007B6FE8"/>
    <w:rsid w:val="007B70CC"/>
    <w:rsid w:val="007C0FBC"/>
    <w:rsid w:val="007C3375"/>
    <w:rsid w:val="007C4BA8"/>
    <w:rsid w:val="007D1F5E"/>
    <w:rsid w:val="007D4841"/>
    <w:rsid w:val="007D54F2"/>
    <w:rsid w:val="007D655B"/>
    <w:rsid w:val="007D656F"/>
    <w:rsid w:val="007D765D"/>
    <w:rsid w:val="007D7D6A"/>
    <w:rsid w:val="007E09ED"/>
    <w:rsid w:val="007E28F2"/>
    <w:rsid w:val="007E666B"/>
    <w:rsid w:val="007F0870"/>
    <w:rsid w:val="007F5298"/>
    <w:rsid w:val="007F54BF"/>
    <w:rsid w:val="007F7EEB"/>
    <w:rsid w:val="008002E0"/>
    <w:rsid w:val="00803112"/>
    <w:rsid w:val="0080408D"/>
    <w:rsid w:val="008057FF"/>
    <w:rsid w:val="00807C0E"/>
    <w:rsid w:val="00811675"/>
    <w:rsid w:val="00812D47"/>
    <w:rsid w:val="00813527"/>
    <w:rsid w:val="00814C3F"/>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653A1"/>
    <w:rsid w:val="008719FE"/>
    <w:rsid w:val="00875FB6"/>
    <w:rsid w:val="008836D6"/>
    <w:rsid w:val="00883EB8"/>
    <w:rsid w:val="00884E63"/>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0E09"/>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67F4"/>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1DA"/>
    <w:rsid w:val="009A56EC"/>
    <w:rsid w:val="009A6579"/>
    <w:rsid w:val="009A65FD"/>
    <w:rsid w:val="009A7D59"/>
    <w:rsid w:val="009B0613"/>
    <w:rsid w:val="009B0E34"/>
    <w:rsid w:val="009B271D"/>
    <w:rsid w:val="009B31FD"/>
    <w:rsid w:val="009B37E5"/>
    <w:rsid w:val="009B4F2A"/>
    <w:rsid w:val="009B6E02"/>
    <w:rsid w:val="009C08AC"/>
    <w:rsid w:val="009C0C3E"/>
    <w:rsid w:val="009C3D3D"/>
    <w:rsid w:val="009C41BB"/>
    <w:rsid w:val="009C50B0"/>
    <w:rsid w:val="009C663F"/>
    <w:rsid w:val="009D47B6"/>
    <w:rsid w:val="009D48A7"/>
    <w:rsid w:val="009D5692"/>
    <w:rsid w:val="009E4123"/>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6D0F"/>
    <w:rsid w:val="00A1788B"/>
    <w:rsid w:val="00A17913"/>
    <w:rsid w:val="00A20B8C"/>
    <w:rsid w:val="00A2572D"/>
    <w:rsid w:val="00A26050"/>
    <w:rsid w:val="00A27407"/>
    <w:rsid w:val="00A30BDC"/>
    <w:rsid w:val="00A30C51"/>
    <w:rsid w:val="00A3345D"/>
    <w:rsid w:val="00A35174"/>
    <w:rsid w:val="00A37BEC"/>
    <w:rsid w:val="00A403D9"/>
    <w:rsid w:val="00A409B8"/>
    <w:rsid w:val="00A41B8D"/>
    <w:rsid w:val="00A423ED"/>
    <w:rsid w:val="00A43398"/>
    <w:rsid w:val="00A443ED"/>
    <w:rsid w:val="00A466B1"/>
    <w:rsid w:val="00A509B8"/>
    <w:rsid w:val="00A520DD"/>
    <w:rsid w:val="00A54E20"/>
    <w:rsid w:val="00A56B40"/>
    <w:rsid w:val="00A62138"/>
    <w:rsid w:val="00A67F2B"/>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332"/>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2BE8"/>
    <w:rsid w:val="00B14E19"/>
    <w:rsid w:val="00B150DB"/>
    <w:rsid w:val="00B15CE6"/>
    <w:rsid w:val="00B2293E"/>
    <w:rsid w:val="00B2323A"/>
    <w:rsid w:val="00B2344E"/>
    <w:rsid w:val="00B26885"/>
    <w:rsid w:val="00B31E1B"/>
    <w:rsid w:val="00B329F8"/>
    <w:rsid w:val="00B32FA4"/>
    <w:rsid w:val="00B37241"/>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836"/>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0239"/>
    <w:rsid w:val="00C6132C"/>
    <w:rsid w:val="00C62050"/>
    <w:rsid w:val="00C67260"/>
    <w:rsid w:val="00C702A7"/>
    <w:rsid w:val="00C70884"/>
    <w:rsid w:val="00C728F3"/>
    <w:rsid w:val="00C733E6"/>
    <w:rsid w:val="00C767F9"/>
    <w:rsid w:val="00C80A49"/>
    <w:rsid w:val="00C8199E"/>
    <w:rsid w:val="00C830DE"/>
    <w:rsid w:val="00C83873"/>
    <w:rsid w:val="00C84A02"/>
    <w:rsid w:val="00C905FA"/>
    <w:rsid w:val="00C90C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4501"/>
    <w:rsid w:val="00CC5015"/>
    <w:rsid w:val="00CC740F"/>
    <w:rsid w:val="00CD6137"/>
    <w:rsid w:val="00CD7391"/>
    <w:rsid w:val="00CE39E2"/>
    <w:rsid w:val="00CE618F"/>
    <w:rsid w:val="00CF0CE5"/>
    <w:rsid w:val="00CF1D8A"/>
    <w:rsid w:val="00CF372A"/>
    <w:rsid w:val="00CF45ED"/>
    <w:rsid w:val="00CF6129"/>
    <w:rsid w:val="00D00BA4"/>
    <w:rsid w:val="00D00F60"/>
    <w:rsid w:val="00D010BF"/>
    <w:rsid w:val="00D01230"/>
    <w:rsid w:val="00D050F1"/>
    <w:rsid w:val="00D06942"/>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5506D"/>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235C"/>
    <w:rsid w:val="00E14891"/>
    <w:rsid w:val="00E15B17"/>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2F"/>
    <w:rsid w:val="00E50CA5"/>
    <w:rsid w:val="00E54F56"/>
    <w:rsid w:val="00E55896"/>
    <w:rsid w:val="00E57C4C"/>
    <w:rsid w:val="00E57E3F"/>
    <w:rsid w:val="00E602AE"/>
    <w:rsid w:val="00E62551"/>
    <w:rsid w:val="00E65663"/>
    <w:rsid w:val="00E65C88"/>
    <w:rsid w:val="00E679A9"/>
    <w:rsid w:val="00E70C64"/>
    <w:rsid w:val="00E72AA1"/>
    <w:rsid w:val="00E7310B"/>
    <w:rsid w:val="00E827EB"/>
    <w:rsid w:val="00E82F67"/>
    <w:rsid w:val="00E83A28"/>
    <w:rsid w:val="00E84BB2"/>
    <w:rsid w:val="00E866FE"/>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EF7274"/>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4489"/>
    <w:rsid w:val="00F75823"/>
    <w:rsid w:val="00F77725"/>
    <w:rsid w:val="00F7785F"/>
    <w:rsid w:val="00F80196"/>
    <w:rsid w:val="00F8055A"/>
    <w:rsid w:val="00F871C8"/>
    <w:rsid w:val="00F87743"/>
    <w:rsid w:val="00F90DA1"/>
    <w:rsid w:val="00F91BA1"/>
    <w:rsid w:val="00F9382E"/>
    <w:rsid w:val="00F94191"/>
    <w:rsid w:val="00F94B5B"/>
    <w:rsid w:val="00F966F6"/>
    <w:rsid w:val="00FA085D"/>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69DD"/>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7738"/>
    <w:pPr>
      <w:tabs>
        <w:tab w:val="center" w:pos="4513"/>
        <w:tab w:val="right" w:pos="9026"/>
      </w:tabs>
      <w:spacing w:after="0" w:line="240" w:lineRule="auto"/>
    </w:pPr>
  </w:style>
  <w:style w:type="character" w:customStyle="1" w:styleId="En-tteCar">
    <w:name w:val="En-tête Car"/>
    <w:basedOn w:val="Policepardfaut"/>
    <w:link w:val="En-tte"/>
    <w:uiPriority w:val="99"/>
    <w:rsid w:val="00707738"/>
  </w:style>
  <w:style w:type="paragraph" w:styleId="Pieddepage">
    <w:name w:val="footer"/>
    <w:basedOn w:val="Normal"/>
    <w:link w:val="PieddepageCar"/>
    <w:uiPriority w:val="99"/>
    <w:unhideWhenUsed/>
    <w:rsid w:val="0070773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07738"/>
  </w:style>
  <w:style w:type="paragraph" w:styleId="Textedebulles">
    <w:name w:val="Balloon Text"/>
    <w:basedOn w:val="Normal"/>
    <w:link w:val="TextedebullesCar"/>
    <w:uiPriority w:val="99"/>
    <w:semiHidden/>
    <w:unhideWhenUsed/>
    <w:rsid w:val="007077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7738"/>
    <w:rPr>
      <w:rFonts w:ascii="Tahoma" w:hAnsi="Tahoma" w:cs="Tahoma"/>
      <w:sz w:val="16"/>
      <w:szCs w:val="16"/>
    </w:rPr>
  </w:style>
  <w:style w:type="table" w:styleId="Grilledutableau">
    <w:name w:val="Table Grid"/>
    <w:basedOn w:val="Tableau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61F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1F7C"/>
    <w:rPr>
      <w:sz w:val="20"/>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basedOn w:val="Policepardfau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Paragraphedeliste">
    <w:name w:val="List Paragraph"/>
    <w:aliases w:val="Paragraphe EI,Paragraphe de liste1,EC,List Paragraph_Sections,Dot pt,List Paragraph1,Colorful List - Accent 11,No Spacing1,List Paragraph Char Char Char,Indicator Text,Numbered Para 1,Bullet 1,F5 List Paragraph,Bullet Points,3"/>
    <w:basedOn w:val="Normal"/>
    <w:link w:val="ParagraphedelisteCar"/>
    <w:uiPriority w:val="34"/>
    <w:qFormat/>
    <w:rsid w:val="008057FF"/>
    <w:pPr>
      <w:ind w:left="720"/>
      <w:contextualSpacing/>
    </w:pPr>
  </w:style>
  <w:style w:type="character" w:styleId="Marquedecommentaire">
    <w:name w:val="annotation reference"/>
    <w:basedOn w:val="Policepardfaut"/>
    <w:uiPriority w:val="99"/>
    <w:semiHidden/>
    <w:unhideWhenUsed/>
    <w:rsid w:val="009A3551"/>
    <w:rPr>
      <w:sz w:val="16"/>
      <w:szCs w:val="16"/>
    </w:rPr>
  </w:style>
  <w:style w:type="paragraph" w:styleId="Commentaire">
    <w:name w:val="annotation text"/>
    <w:basedOn w:val="Normal"/>
    <w:link w:val="CommentaireCar"/>
    <w:uiPriority w:val="99"/>
    <w:unhideWhenUsed/>
    <w:rsid w:val="009A3551"/>
    <w:pPr>
      <w:spacing w:line="240" w:lineRule="auto"/>
    </w:pPr>
    <w:rPr>
      <w:sz w:val="20"/>
      <w:szCs w:val="20"/>
    </w:rPr>
  </w:style>
  <w:style w:type="character" w:customStyle="1" w:styleId="CommentaireCar">
    <w:name w:val="Commentaire Car"/>
    <w:basedOn w:val="Policepardfaut"/>
    <w:link w:val="Commentaire"/>
    <w:uiPriority w:val="99"/>
    <w:rsid w:val="009A3551"/>
    <w:rPr>
      <w:sz w:val="20"/>
      <w:szCs w:val="20"/>
    </w:rPr>
  </w:style>
  <w:style w:type="paragraph" w:styleId="Objetducommentaire">
    <w:name w:val="annotation subject"/>
    <w:basedOn w:val="Commentaire"/>
    <w:next w:val="Commentaire"/>
    <w:link w:val="ObjetducommentaireCar"/>
    <w:uiPriority w:val="99"/>
    <w:semiHidden/>
    <w:unhideWhenUsed/>
    <w:rsid w:val="009A3551"/>
    <w:rPr>
      <w:b/>
      <w:bCs/>
    </w:rPr>
  </w:style>
  <w:style w:type="character" w:customStyle="1" w:styleId="ObjetducommentaireCar">
    <w:name w:val="Objet du commentaire Car"/>
    <w:basedOn w:val="CommentaireCar"/>
    <w:link w:val="Objetducommentaire"/>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ParagraphedelisteCar">
    <w:name w:val="Paragraphe de liste Car"/>
    <w:aliases w:val="Paragraphe EI Car,Paragraphe de liste1 Car,EC Car,List Paragraph_Sections Car,Dot pt Car,List Paragraph1 Car,Colorful List - Accent 11 Car,No Spacing1 Car,List Paragraph Char Char Char Car,Indicator Text Car,Numbered Para 1 Car"/>
    <w:basedOn w:val="Policepardfaut"/>
    <w:link w:val="Paragraphedeliste"/>
    <w:uiPriority w:val="34"/>
    <w:qFormat/>
    <w:locked/>
    <w:rsid w:val="00D36E67"/>
  </w:style>
  <w:style w:type="paragraph" w:styleId="Titre">
    <w:name w:val="Title"/>
    <w:basedOn w:val="Normal"/>
    <w:next w:val="Normal"/>
    <w:link w:val="TitreC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reCar">
    <w:name w:val="Titre Car"/>
    <w:basedOn w:val="Policepardfaut"/>
    <w:link w:val="Titr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vision">
    <w:name w:val="Revision"/>
    <w:hidden/>
    <w:uiPriority w:val="99"/>
    <w:semiHidden/>
    <w:rsid w:val="00D1763F"/>
    <w:pPr>
      <w:spacing w:after="0" w:line="240" w:lineRule="auto"/>
    </w:pPr>
  </w:style>
  <w:style w:type="character" w:styleId="Lienhypertextesuivivisit">
    <w:name w:val="FollowedHyperlink"/>
    <w:basedOn w:val="Policepardfau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Policepardfau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Policepardfau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Policepardfaut"/>
    <w:link w:val="HeaderFoot"/>
    <w:rsid w:val="005418F4"/>
    <w:rPr>
      <w:rFonts w:ascii="Arial" w:eastAsiaTheme="minorEastAsia" w:hAnsi="Arial" w:cs="Arial"/>
      <w:color w:val="001B4F"/>
      <w:sz w:val="16"/>
      <w:szCs w:val="16"/>
    </w:rPr>
  </w:style>
  <w:style w:type="character" w:styleId="Mentionnonrsolue">
    <w:name w:val="Unresolved Mention"/>
    <w:basedOn w:val="Policepardfau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9E4123"/>
    <w:pPr>
      <w:numPr>
        <w:numId w:val="2"/>
      </w:numPr>
      <w:spacing w:after="250"/>
      <w:contextualSpacing/>
      <w:jc w:val="both"/>
    </w:pPr>
    <w:rPr>
      <w:rFonts w:eastAsiaTheme="minorEastAsia" w:cstheme="minorHAnsi"/>
      <w:b/>
      <w:sz w:val="24"/>
      <w:szCs w:val="24"/>
      <w:lang w:val="en-US"/>
    </w:rPr>
  </w:style>
  <w:style w:type="character" w:customStyle="1" w:styleId="QuestionstyleChar">
    <w:name w:val="Question style Char"/>
    <w:basedOn w:val="Policepardfaut"/>
    <w:link w:val="Questionstyle"/>
    <w:rsid w:val="009E4123"/>
    <w:rPr>
      <w:rFonts w:eastAsiaTheme="minorEastAsia" w:cstheme="minorHAnsi"/>
      <w:b/>
      <w:sz w:val="24"/>
      <w:szCs w:val="24"/>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paragraph" w:styleId="Sansinterligne">
    <w:name w:val="No Spacing"/>
    <w:uiPriority w:val="1"/>
    <w:qFormat/>
    <w:rsid w:val="001637AA"/>
    <w:pPr>
      <w:spacing w:after="0" w:line="240" w:lineRule="auto"/>
    </w:pPr>
  </w:style>
  <w:style w:type="character" w:customStyle="1" w:styleId="ui-provider">
    <w:name w:val="ui-provider"/>
    <w:basedOn w:val="Policepardfaut"/>
    <w:rsid w:val="0081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2.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3.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 ds:uri="40a17f77-1929-4e25-9c96-0feefab79ed5"/>
  </ds:schemaRefs>
</ds:datastoreItem>
</file>

<file path=customXml/itemProps4.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5.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JC ESAs letter 2023</Template>
  <TotalTime>251</TotalTime>
  <Pages>29</Pages>
  <Words>9999</Words>
  <Characters>56997</Characters>
  <Application>Microsoft Office Word</Application>
  <DocSecurity>0</DocSecurity>
  <Lines>474</Lines>
  <Paragraphs>133</Paragraphs>
  <ScaleCrop>false</ScaleCrop>
  <Company>HP</Company>
  <LinksUpToDate>false</LinksUpToDate>
  <CharactersWithSpaces>66863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Adrien Boudet</cp:lastModifiedBy>
  <cp:revision>77</cp:revision>
  <cp:lastPrinted>2022-02-14T13:26:00Z</cp:lastPrinted>
  <dcterms:created xsi:type="dcterms:W3CDTF">2023-07-03T08:04:00Z</dcterms:created>
  <dcterms:modified xsi:type="dcterms:W3CDTF">2023-07-03T13:00:00Z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