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A0B" w14:textId="77777777"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 xml:space="preserve">Reply </w:t>
      </w:r>
      <w:proofErr w:type="gramStart"/>
      <w:r w:rsidRPr="005418F4">
        <w:rPr>
          <w:rFonts w:ascii="Arial" w:eastAsiaTheme="majorEastAsia" w:hAnsi="Arial" w:cs="Arial"/>
          <w:b/>
          <w:bCs/>
          <w:color w:val="00379F"/>
          <w:sz w:val="56"/>
          <w:szCs w:val="56"/>
        </w:rPr>
        <w:t>form</w:t>
      </w:r>
      <w:proofErr w:type="gramEnd"/>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proofErr w:type="spellStart"/>
      <w:r w:rsidRPr="005418F4">
        <w:rPr>
          <w:rFonts w:ascii="Arial" w:hAnsi="Arial" w:cs="Arial"/>
          <w:b/>
          <w:bCs/>
          <w:sz w:val="28"/>
          <w:szCs w:val="28"/>
          <w:lang w:val="en-US"/>
        </w:rPr>
        <w:t>eview</w:t>
      </w:r>
      <w:proofErr w:type="spellEnd"/>
      <w:r w:rsidRPr="005418F4">
        <w:rPr>
          <w:rFonts w:ascii="Arial" w:hAnsi="Arial" w:cs="Arial"/>
          <w:b/>
          <w:bCs/>
          <w:sz w:val="28"/>
          <w:szCs w:val="28"/>
          <w:lang w:val="en-US"/>
        </w:rPr>
        <w:t xml:space="preserve">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and </w:t>
      </w:r>
      <w:proofErr w:type="gramStart"/>
      <w:r w:rsidRPr="005418F4">
        <w:rPr>
          <w:rFonts w:ascii="Arial" w:eastAsiaTheme="minorEastAsia" w:hAnsi="Arial" w:cs="Arial"/>
          <w:color w:val="1A1A1A" w:themeColor="background1" w:themeShade="1A"/>
          <w:szCs w:val="20"/>
        </w:rPr>
        <w:t>in particular on</w:t>
      </w:r>
      <w:proofErr w:type="gramEnd"/>
      <w:r w:rsidRPr="005418F4">
        <w:rPr>
          <w:rFonts w:ascii="Arial" w:eastAsiaTheme="minorEastAsia" w:hAnsi="Arial" w:cs="Arial"/>
          <w:color w:val="1A1A1A" w:themeColor="background1" w:themeShade="1A"/>
          <w:szCs w:val="20"/>
        </w:rPr>
        <w:t xml:space="preserve"> the specific questions in this reply form. Comments are most helpful if they:</w:t>
      </w:r>
    </w:p>
    <w:p w14:paraId="57F6A3F2" w14:textId="0D7DE7EF" w:rsidR="009C41BB" w:rsidRPr="005418F4" w:rsidRDefault="009C41BB" w:rsidP="279FB398">
      <w:pPr>
        <w:numPr>
          <w:ilvl w:val="0"/>
          <w:numId w:val="37"/>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 xml:space="preserve">respond to the question </w:t>
      </w:r>
      <w:proofErr w:type="gramStart"/>
      <w:r w:rsidRPr="279FB398">
        <w:rPr>
          <w:rFonts w:ascii="Arial" w:eastAsiaTheme="minorEastAsia" w:hAnsi="Arial" w:cs="Arial"/>
          <w:color w:val="1A1A1A"/>
        </w:rPr>
        <w:t>stat</w:t>
      </w:r>
      <w:r w:rsidR="590A19A6" w:rsidRPr="279FB398">
        <w:rPr>
          <w:rFonts w:ascii="Arial" w:eastAsiaTheme="minorEastAsia" w:hAnsi="Arial" w:cs="Arial"/>
          <w:color w:val="1A1A1A"/>
        </w:rPr>
        <w:t>e</w:t>
      </w:r>
      <w:r w:rsidRPr="279FB398">
        <w:rPr>
          <w:rFonts w:ascii="Arial" w:eastAsiaTheme="minorEastAsia" w:hAnsi="Arial" w:cs="Arial"/>
          <w:color w:val="1A1A1A"/>
        </w:rPr>
        <w:t>d;</w:t>
      </w:r>
      <w:proofErr w:type="gramEnd"/>
    </w:p>
    <w:p w14:paraId="2BFC694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indicate the specific question to which the comment </w:t>
      </w:r>
      <w:proofErr w:type="gramStart"/>
      <w:r w:rsidRPr="005418F4">
        <w:rPr>
          <w:rFonts w:ascii="Arial" w:eastAsiaTheme="minorEastAsia" w:hAnsi="Arial" w:cs="Arial"/>
          <w:color w:val="1A1A1A" w:themeColor="background1" w:themeShade="1A"/>
          <w:szCs w:val="20"/>
        </w:rPr>
        <w:t>relates;</w:t>
      </w:r>
      <w:proofErr w:type="gramEnd"/>
    </w:p>
    <w:p w14:paraId="0D5FDE5A"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proofErr w:type="gramStart"/>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w:t>
      </w:r>
      <w:proofErr w:type="gramEnd"/>
      <w:r w:rsidRPr="005418F4">
        <w:rPr>
          <w:rFonts w:ascii="Arial" w:eastAsiaTheme="minorEastAsia" w:hAnsi="Arial" w:cs="Arial"/>
          <w:b/>
          <w:color w:val="1A1A1A" w:themeColor="background1" w:themeShade="1A"/>
          <w:szCs w:val="20"/>
        </w:rPr>
        <w:t xml:space="preserve">.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proofErr w:type="gramStart"/>
      <w:r w:rsidRPr="005418F4">
        <w:rPr>
          <w:rFonts w:ascii="Arial" w:eastAsiaTheme="minorEastAsia" w:hAnsi="Arial" w:cs="Arial"/>
          <w:color w:val="1A1A1A" w:themeColor="background1" w:themeShade="1A"/>
          <w:szCs w:val="20"/>
        </w:rPr>
        <w:t>In order to</w:t>
      </w:r>
      <w:proofErr w:type="gramEnd"/>
      <w:r w:rsidRPr="005418F4">
        <w:rPr>
          <w:rFonts w:ascii="Arial" w:eastAsiaTheme="minorEastAsia" w:hAnsi="Arial" w:cs="Arial"/>
          <w:color w:val="1A1A1A" w:themeColor="background1" w:themeShade="1A"/>
          <w:szCs w:val="20"/>
        </w:rPr>
        <w:t xml:space="preserve">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 xml:space="preserve">_1&gt;. Your response to each question </w:t>
      </w:r>
      <w:proofErr w:type="gramStart"/>
      <w:r w:rsidRPr="005418F4">
        <w:rPr>
          <w:rFonts w:ascii="Arial" w:eastAsiaTheme="minorEastAsia" w:hAnsi="Arial" w:cs="Arial"/>
          <w:color w:val="1A1A1A" w:themeColor="background1" w:themeShade="1A"/>
          <w:szCs w:val="20"/>
        </w:rPr>
        <w:t>has to</w:t>
      </w:r>
      <w:proofErr w:type="gramEnd"/>
      <w:r w:rsidRPr="005418F4">
        <w:rPr>
          <w:rFonts w:ascii="Arial" w:eastAsiaTheme="minorEastAsia" w:hAnsi="Arial" w:cs="Arial"/>
          <w:color w:val="1A1A1A" w:themeColor="background1" w:themeShade="1A"/>
          <w:szCs w:val="20"/>
        </w:rPr>
        <w:t xml:space="preserve"> be framed by the two tags corresponding to the question.</w:t>
      </w:r>
    </w:p>
    <w:p w14:paraId="68C8BE4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_nameofrespondent</w:t>
      </w:r>
      <w:proofErr w:type="spellEnd"/>
      <w:r w:rsidRPr="005418F4">
        <w:rPr>
          <w:rFonts w:ascii="Arial" w:eastAsiaTheme="minorEastAsia" w:hAnsi="Arial" w:cs="Arial"/>
          <w:color w:val="1A1A1A" w:themeColor="background1" w:themeShade="1A"/>
          <w:szCs w:val="20"/>
        </w:rPr>
        <w:t xml:space="preserve">.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_ABCD</w:t>
      </w:r>
      <w:proofErr w:type="spellEnd"/>
      <w:r w:rsidRPr="005418F4">
        <w:rPr>
          <w:rFonts w:ascii="Arial" w:eastAsiaTheme="minorEastAsia" w:hAnsi="Arial" w:cs="Arial"/>
          <w:color w:val="1A1A1A" w:themeColor="background1" w:themeShade="1A"/>
          <w:szCs w:val="20"/>
        </w:rPr>
        <w:t>.</w:t>
      </w:r>
    </w:p>
    <w:p w14:paraId="6C768A7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1"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All contributions received will be published following the close of the </w:t>
      </w:r>
      <w:proofErr w:type="gramStart"/>
      <w:r w:rsidRPr="005418F4">
        <w:rPr>
          <w:rFonts w:ascii="Arial" w:eastAsiaTheme="minorEastAsia" w:hAnsi="Arial" w:cs="Arial"/>
          <w:color w:val="1A1A1A" w:themeColor="background1" w:themeShade="1A"/>
          <w:szCs w:val="20"/>
        </w:rPr>
        <w:t>consultation, unless</w:t>
      </w:r>
      <w:proofErr w:type="gramEnd"/>
      <w:r w:rsidRPr="005418F4">
        <w:rPr>
          <w:rFonts w:ascii="Arial" w:eastAsiaTheme="minorEastAsia" w:hAnsi="Arial" w:cs="Arial"/>
          <w:color w:val="1A1A1A" w:themeColor="background1" w:themeShade="1A"/>
          <w:szCs w:val="20"/>
        </w:rPr>
        <w:t xml:space="preserve">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 xml:space="preserve">The protection of individuals </w:t>
      </w:r>
      <w:proofErr w:type="gramStart"/>
      <w:r w:rsidRPr="00905E44">
        <w:rPr>
          <w:rFonts w:ascii="Arial" w:eastAsiaTheme="minorEastAsia" w:hAnsi="Arial" w:cs="Arial"/>
          <w:color w:val="1A1A1A" w:themeColor="background1" w:themeShade="1A"/>
          <w:lang w:eastAsia="en-GB"/>
        </w:rPr>
        <w:t>with regard to</w:t>
      </w:r>
      <w:proofErr w:type="gramEnd"/>
      <w:r w:rsidRPr="00905E44">
        <w:rPr>
          <w:rFonts w:ascii="Arial" w:eastAsiaTheme="minorEastAsia" w:hAnsi="Arial" w:cs="Arial"/>
          <w:color w:val="1A1A1A" w:themeColor="background1" w:themeShade="1A"/>
          <w:lang w:eastAsia="en-GB"/>
        </w:rPr>
        <w:t xml:space="preserve">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2"/>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2"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3"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4"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312A95" w14:paraId="41EDECFD" w14:textId="77777777" w:rsidTr="02E1C5C6">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rPr>
            <w:id w:val="651570699"/>
            <w:showingPlcHdr/>
            <w:text/>
          </w:sdtPr>
          <w:sdtEndPr/>
          <w:sdtContent>
            <w:tc>
              <w:tcPr>
                <w:tcW w:w="5595" w:type="dxa"/>
                <w:shd w:val="clear" w:color="auto" w:fill="auto"/>
                <w:vAlign w:val="center"/>
              </w:tcPr>
              <w:p w14:paraId="2D662032" w14:textId="485E7D32" w:rsidR="005418F4" w:rsidRPr="00873AA5" w:rsidRDefault="005418F4" w:rsidP="02E1C5C6">
                <w:pPr>
                  <w:spacing w:after="250"/>
                  <w:rPr>
                    <w:rFonts w:ascii="Arial" w:eastAsiaTheme="minorEastAsia" w:hAnsi="Arial" w:cs="Arial"/>
                    <w:color w:val="808080"/>
                    <w:lang w:val="de-DE"/>
                  </w:rPr>
                </w:pPr>
                <w:r w:rsidRPr="02E1C5C6">
                  <w:rPr>
                    <w:rFonts w:ascii="Arial" w:eastAsiaTheme="minorEastAsia" w:hAnsi="Arial" w:cs="Arial"/>
                    <w:color w:val="808080" w:themeColor="background1" w:themeShade="80"/>
                  </w:rPr>
                  <w:t>C</w:t>
                </w:r>
                <w:r w:rsidR="29E80CF9" w:rsidRPr="02E1C5C6">
                  <w:rPr>
                    <w:rFonts w:ascii="Arial" w:eastAsiaTheme="minorEastAsia" w:hAnsi="Arial" w:cs="Arial"/>
                    <w:color w:val="808080" w:themeColor="background1" w:themeShade="80"/>
                  </w:rPr>
                  <w:t>DP (Worldwide) Europe gemeinnützige GmbH</w:t>
                </w:r>
              </w:p>
            </w:tc>
          </w:sdtContent>
        </w:sdt>
      </w:tr>
      <w:tr w:rsidR="005418F4" w:rsidRPr="005418F4" w14:paraId="1994CDD1" w14:textId="77777777" w:rsidTr="02E1C5C6">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77777777" w:rsidR="005418F4" w:rsidRPr="005418F4" w:rsidRDefault="008F1B4C"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418F4" w:rsidRPr="005418F4">
                  <w:rPr>
                    <w:rFonts w:ascii="Arial" w:eastAsiaTheme="minorEastAsia" w:hAnsi="Arial" w:cs="Arial"/>
                    <w:color w:val="1A1A1A" w:themeColor="background1" w:themeShade="1A"/>
                    <w:szCs w:val="20"/>
                  </w:rPr>
                  <w:t>Choose an item.</w:t>
                </w:r>
              </w:sdtContent>
            </w:sdt>
          </w:p>
        </w:tc>
      </w:tr>
      <w:tr w:rsidR="005418F4" w:rsidRPr="005418F4" w14:paraId="6D2BB9B6" w14:textId="77777777" w:rsidTr="02E1C5C6">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0"/>
              <w14:checkedState w14:val="2612" w14:font="MS Gothic"/>
              <w14:uncheckedState w14:val="2610" w14:font="MS Gothic"/>
            </w14:checkbox>
          </w:sdtPr>
          <w:sdtEndPr/>
          <w:sdtContent>
            <w:tc>
              <w:tcPr>
                <w:tcW w:w="5595" w:type="dxa"/>
                <w:shd w:val="clear" w:color="auto" w:fill="auto"/>
                <w:vAlign w:val="center"/>
              </w:tcPr>
              <w:p w14:paraId="67C0DEAE" w14:textId="3AC85AAC" w:rsidR="005418F4" w:rsidRPr="005418F4" w:rsidRDefault="00A34A5D" w:rsidP="005418F4">
                <w:pPr>
                  <w:spacing w:after="250"/>
                  <w:rPr>
                    <w:rFonts w:ascii="Arial" w:eastAsiaTheme="minorEastAsia" w:hAnsi="Arial" w:cs="Arial"/>
                    <w:color w:val="1A1A1A" w:themeColor="background1" w:themeShade="1A"/>
                    <w:szCs w:val="20"/>
                  </w:rPr>
                </w:pPr>
                <w:r>
                  <w:rPr>
                    <w:rFonts w:ascii="MS Gothic" w:eastAsia="MS Gothic" w:hAnsi="MS Gothic" w:cs="Arial" w:hint="eastAsia"/>
                    <w:color w:val="1A1A1A" w:themeColor="background1" w:themeShade="1A"/>
                    <w:szCs w:val="20"/>
                  </w:rPr>
                  <w:t>☐</w:t>
                </w:r>
              </w:p>
            </w:tc>
          </w:sdtContent>
        </w:sdt>
      </w:tr>
      <w:tr w:rsidR="005418F4" w:rsidRPr="005418F4" w14:paraId="7877AB38" w14:textId="77777777" w:rsidTr="02E1C5C6">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763C0ACF" w14:textId="34674C7E" w:rsidR="005418F4" w:rsidRPr="005418F4" w:rsidRDefault="00873AA5"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Germany</w:t>
                </w:r>
              </w:p>
            </w:tc>
          </w:sdtContent>
        </w:sdt>
      </w:tr>
      <w:permEnd w:id="1969555385"/>
    </w:tbl>
    <w:p w14:paraId="21F085A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Default="009C41BB" w:rsidP="009C41BB">
      <w:pPr>
        <w:pStyle w:val="Questionstyle"/>
        <w:numPr>
          <w:ilvl w:val="0"/>
          <w:numId w:val="42"/>
        </w:numPr>
      </w:pPr>
      <w:bookmarkStart w:id="0" w:name="_Hlk131609827"/>
      <w: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3F4F5525" w14:textId="044C43FD" w:rsidR="009C41BB" w:rsidRDefault="009C41BB" w:rsidP="009C41BB">
      <w:r>
        <w:t>&lt;ESMA_QUESTION_SFDR_1&gt;</w:t>
      </w:r>
      <w:permStart w:id="1348034591" w:edGrp="everyone"/>
    </w:p>
    <w:p w14:paraId="4A55641A" w14:textId="1DFE558D" w:rsidR="009C41BB" w:rsidRDefault="009C41BB" w:rsidP="009C41BB">
      <w:r>
        <w:t>TYPE YOUR TEXT HERE</w:t>
      </w:r>
    </w:p>
    <w:permEnd w:id="1348034591"/>
    <w:p w14:paraId="48EE2711" w14:textId="77777777" w:rsidR="009C41BB" w:rsidRDefault="009C41BB" w:rsidP="009C41BB">
      <w:r>
        <w:t>&lt;ESMA_QUESTION_SFDR_1&gt;</w:t>
      </w:r>
    </w:p>
    <w:p w14:paraId="735D870C" w14:textId="77777777" w:rsidR="009C41BB" w:rsidRDefault="009C41BB" w:rsidP="009C41BB"/>
    <w:p w14:paraId="6612C953" w14:textId="77777777" w:rsidR="009C41BB" w:rsidRDefault="009C41BB" w:rsidP="009C41BB">
      <w:pPr>
        <w:pStyle w:val="Questionstyle"/>
        <w:numPr>
          <w:ilvl w:val="0"/>
          <w:numId w:val="42"/>
        </w:numPr>
      </w:pPr>
      <w:bookmarkStart w:id="1" w:name="_Hlk131609829"/>
      <w:r>
        <w:t>: Would you recommend any other mandatory social indicator or adjust any of the ones proposed?</w:t>
      </w:r>
    </w:p>
    <w:bookmarkEnd w:id="1"/>
    <w:p w14:paraId="79C259A1" w14:textId="77777777" w:rsidR="009C41BB" w:rsidRDefault="009C41BB" w:rsidP="009C41BB">
      <w:r>
        <w:t>&lt;ESMA_QUESTION_SFDR_2&gt;</w:t>
      </w:r>
    </w:p>
    <w:p w14:paraId="2FF56595" w14:textId="77777777" w:rsidR="009C41BB" w:rsidRDefault="009C41BB" w:rsidP="009C41BB">
      <w:permStart w:id="1140268191" w:edGrp="everyone"/>
      <w:r>
        <w:t>TYPE YOUR TEXT HERE</w:t>
      </w:r>
    </w:p>
    <w:permEnd w:id="1140268191"/>
    <w:p w14:paraId="7446D4C6" w14:textId="77777777" w:rsidR="009C41BB" w:rsidRDefault="009C41BB" w:rsidP="009C41BB">
      <w:r>
        <w:t>&lt;ESMA_QUESTION_SFDR_2&gt;</w:t>
      </w:r>
    </w:p>
    <w:p w14:paraId="5C5DB35A" w14:textId="77777777" w:rsidR="009C41BB" w:rsidRDefault="009C41BB" w:rsidP="009C41BB"/>
    <w:p w14:paraId="11B6749E" w14:textId="77777777" w:rsidR="009C41BB" w:rsidRDefault="009C41BB" w:rsidP="009C41BB">
      <w:pPr>
        <w:pStyle w:val="Questionstyle"/>
        <w:numPr>
          <w:ilvl w:val="0"/>
          <w:numId w:val="42"/>
        </w:numPr>
      </w:pPr>
      <w:bookmarkStart w:id="2" w:name="_Hlk131609830"/>
      <w:r>
        <w:t xml:space="preserve">: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w:t>
      </w:r>
      <w:r>
        <w:lastRenderedPageBreak/>
        <w:t>by the operations of investee companies, lack of grievance/complaints handling mechanism for consumers/ end-users of the investee companies)?</w:t>
      </w:r>
    </w:p>
    <w:bookmarkEnd w:id="2"/>
    <w:p w14:paraId="1FA47A9C" w14:textId="77777777" w:rsidR="009C41BB" w:rsidRDefault="009C41BB" w:rsidP="009C41BB">
      <w:r>
        <w:t>&lt;ESMA_QUESTION_SFDR_3&gt;</w:t>
      </w:r>
    </w:p>
    <w:p w14:paraId="040088C5" w14:textId="77777777" w:rsidR="009C41BB" w:rsidRDefault="009C41BB" w:rsidP="009C41BB">
      <w:permStart w:id="1930569352" w:edGrp="everyone"/>
      <w:r>
        <w:t>TYPE YOUR TEXT HERE</w:t>
      </w:r>
    </w:p>
    <w:permEnd w:id="1930569352"/>
    <w:p w14:paraId="238B95BB" w14:textId="77777777" w:rsidR="009C41BB" w:rsidRDefault="009C41BB" w:rsidP="009C41BB">
      <w:r>
        <w:t>&lt;ESMA_QUESTION_SFDR_3&gt;</w:t>
      </w:r>
    </w:p>
    <w:p w14:paraId="3CFBE832" w14:textId="77777777" w:rsidR="009C41BB" w:rsidRDefault="009C41BB" w:rsidP="009C41BB"/>
    <w:p w14:paraId="2707A806" w14:textId="77777777" w:rsidR="009C41BB" w:rsidRDefault="009C41BB" w:rsidP="009C41BB">
      <w:pPr>
        <w:pStyle w:val="Questionstyle"/>
        <w:numPr>
          <w:ilvl w:val="0"/>
          <w:numId w:val="42"/>
        </w:numPr>
      </w:pPr>
      <w:bookmarkStart w:id="3" w:name="_Hlk131609831"/>
      <w:r>
        <w:t>: Would you recommend any other social indicator or adjust any of the ones proposed?</w:t>
      </w:r>
    </w:p>
    <w:bookmarkEnd w:id="3"/>
    <w:p w14:paraId="6BC5AA32" w14:textId="77777777" w:rsidR="009C41BB" w:rsidRDefault="009C41BB" w:rsidP="009C41BB">
      <w:r>
        <w:t>&lt;ESMA_QUESTION_SFDR_4&gt;</w:t>
      </w:r>
    </w:p>
    <w:p w14:paraId="191F2CF6" w14:textId="77777777" w:rsidR="009C41BB" w:rsidRDefault="009C41BB" w:rsidP="009C41BB">
      <w:permStart w:id="2056993415" w:edGrp="everyone"/>
      <w:r>
        <w:t>TYPE YOUR TEXT HERE</w:t>
      </w:r>
    </w:p>
    <w:permEnd w:id="2056993415"/>
    <w:p w14:paraId="5C0CA950" w14:textId="77777777" w:rsidR="009C41BB" w:rsidRDefault="009C41BB" w:rsidP="009C41BB">
      <w:r>
        <w:t>&lt;ESMA_QUESTION_SFDR_4&gt;</w:t>
      </w:r>
    </w:p>
    <w:p w14:paraId="6CC85AFF" w14:textId="77777777" w:rsidR="009C41BB" w:rsidRDefault="009C41BB" w:rsidP="009C41BB"/>
    <w:p w14:paraId="5D57C8EB" w14:textId="77777777" w:rsidR="009C41BB" w:rsidRDefault="009C41BB" w:rsidP="009C41BB">
      <w:pPr>
        <w:pStyle w:val="Questionstyle"/>
        <w:numPr>
          <w:ilvl w:val="0"/>
          <w:numId w:val="42"/>
        </w:numPr>
      </w:pPr>
      <w:bookmarkStart w:id="4" w:name="_Hlk131609833"/>
      <w:r>
        <w:t>: Do you agree with the changes proposed to the existing mandatory and opt-in social indicators in Annex I, Table I and III (</w:t>
      </w:r>
      <w:proofErr w:type="gramStart"/>
      <w:r>
        <w:t>i.e.</w:t>
      </w:r>
      <w:proofErr w:type="gramEnd"/>
      <w:r>
        <w:t xml:space="preserve"> replacing the UN Global Compact Principles with the UN Guiding Principles and ILO Declaration on Fundamental Principles and Rights at Work)? Do you have any additional suggestions for changes to other indicators not considered by the ESAs?</w:t>
      </w:r>
    </w:p>
    <w:bookmarkEnd w:id="4"/>
    <w:p w14:paraId="0BC3C8F3" w14:textId="77777777" w:rsidR="009C41BB" w:rsidRDefault="009C41BB" w:rsidP="009C41BB">
      <w:r>
        <w:t>&lt;ESMA_QUESTION_SFDR_5&gt;</w:t>
      </w:r>
    </w:p>
    <w:p w14:paraId="7100C321" w14:textId="77777777" w:rsidR="009C41BB" w:rsidRDefault="009C41BB" w:rsidP="009C41BB">
      <w:permStart w:id="452221127" w:edGrp="everyone"/>
      <w:r>
        <w:t>TYPE YOUR TEXT HERE</w:t>
      </w:r>
    </w:p>
    <w:permEnd w:id="452221127"/>
    <w:p w14:paraId="454AB350" w14:textId="77777777" w:rsidR="009C41BB" w:rsidRDefault="009C41BB" w:rsidP="009C41BB">
      <w:r>
        <w:t>&lt;ESMA_QUESTION_SFDR_5&gt;</w:t>
      </w:r>
    </w:p>
    <w:p w14:paraId="5DCDD44F" w14:textId="77777777" w:rsidR="009C41BB" w:rsidRDefault="009C41BB" w:rsidP="009C41BB"/>
    <w:p w14:paraId="3C56C925" w14:textId="77777777" w:rsidR="009C41BB" w:rsidRDefault="009C41BB" w:rsidP="009C41BB">
      <w:pPr>
        <w:pStyle w:val="Questionstyle"/>
        <w:numPr>
          <w:ilvl w:val="0"/>
          <w:numId w:val="42"/>
        </w:numPr>
      </w:pPr>
      <w:bookmarkStart w:id="5" w:name="_Hlk131609834"/>
      <w:r>
        <w:t xml:space="preserve">: For real estate assets, do you </w:t>
      </w:r>
      <w:proofErr w:type="gramStart"/>
      <w:r>
        <w:t>consider</w:t>
      </w:r>
      <w:proofErr w:type="gramEnd"/>
      <w:r>
        <w:t xml:space="preserve"> relevant to apply any PAI indicator related to social matters to the entity in charge of the management of the real estate assets the FMP invested in?</w:t>
      </w:r>
    </w:p>
    <w:bookmarkEnd w:id="5"/>
    <w:p w14:paraId="686F603D" w14:textId="77777777" w:rsidR="009C41BB" w:rsidRDefault="009C41BB" w:rsidP="009C41BB">
      <w:r>
        <w:t>&lt;ESMA_QUESTION_SFDR_6&gt;</w:t>
      </w:r>
    </w:p>
    <w:p w14:paraId="13CBEF29" w14:textId="77777777" w:rsidR="009C41BB" w:rsidRDefault="009C41BB" w:rsidP="009C41BB">
      <w:permStart w:id="887372501" w:edGrp="everyone"/>
      <w:r>
        <w:t>TYPE YOUR TEXT HERE</w:t>
      </w:r>
    </w:p>
    <w:permEnd w:id="887372501"/>
    <w:p w14:paraId="11A2BA0F" w14:textId="77777777" w:rsidR="009C41BB" w:rsidRDefault="009C41BB" w:rsidP="009C41BB">
      <w:r>
        <w:t>&lt;ESMA_QUESTION_SFDR_6&gt;</w:t>
      </w:r>
    </w:p>
    <w:p w14:paraId="2AC893D6" w14:textId="77777777" w:rsidR="009C41BB" w:rsidRDefault="009C41BB" w:rsidP="009C41BB"/>
    <w:p w14:paraId="6BDC5008" w14:textId="77777777" w:rsidR="009C41BB" w:rsidRDefault="009C41BB" w:rsidP="009C41BB">
      <w:pPr>
        <w:pStyle w:val="Questionstyle"/>
        <w:numPr>
          <w:ilvl w:val="0"/>
          <w:numId w:val="42"/>
        </w:numPr>
      </w:pPr>
      <w:bookmarkStart w:id="6" w:name="_Hlk131609836"/>
      <w:r>
        <w:t xml:space="preserve">: For real estate assets, do you see any merit in adjusting the definition of PAI indicator 22 of Table 1 </w:t>
      </w:r>
      <w:proofErr w:type="gramStart"/>
      <w:r>
        <w:t>in order to</w:t>
      </w:r>
      <w:proofErr w:type="gramEnd"/>
      <w:r>
        <w:t xml:space="preserve"> align it with the EU Taxonomy criteria </w:t>
      </w:r>
      <w:r>
        <w:lastRenderedPageBreak/>
        <w:t>applicable to the DNSH of the climate change mitigation objective under the climate change adaptation objective?</w:t>
      </w:r>
    </w:p>
    <w:bookmarkEnd w:id="6"/>
    <w:p w14:paraId="7DF73432" w14:textId="77777777" w:rsidR="009C41BB" w:rsidRDefault="009C41BB" w:rsidP="009C41BB">
      <w:r>
        <w:t>&lt;ESMA_QUESTION_SFDR_7&gt;</w:t>
      </w:r>
    </w:p>
    <w:p w14:paraId="0F9A5495" w14:textId="77777777" w:rsidR="009C41BB" w:rsidRDefault="009C41BB" w:rsidP="009C41BB">
      <w:permStart w:id="1335120249" w:edGrp="everyone"/>
      <w:r>
        <w:t>TYPE YOUR TEXT HERE</w:t>
      </w:r>
    </w:p>
    <w:permEnd w:id="1335120249"/>
    <w:p w14:paraId="2EAB99B1" w14:textId="77777777" w:rsidR="009C41BB" w:rsidRDefault="009C41BB" w:rsidP="009C41BB">
      <w:r>
        <w:t>&lt;ESMA_QUESTION_SFDR_7&gt;</w:t>
      </w:r>
    </w:p>
    <w:p w14:paraId="0833F2AC" w14:textId="77777777" w:rsidR="009C41BB" w:rsidRDefault="009C41BB" w:rsidP="009C41BB"/>
    <w:p w14:paraId="4BF15C04" w14:textId="77777777" w:rsidR="009C41BB" w:rsidRDefault="009C41BB" w:rsidP="009C41BB">
      <w:pPr>
        <w:pStyle w:val="Questionstyle"/>
        <w:numPr>
          <w:ilvl w:val="0"/>
          <w:numId w:val="42"/>
        </w:numPr>
      </w:pPr>
      <w:bookmarkStart w:id="7" w:name="_Hlk131609837"/>
      <w:r>
        <w:t>: Do you see any challenges in the interaction between the definition ‘enterprise value’ and ‘current value of investment’ for the calculation of the PAI indicators?</w:t>
      </w:r>
    </w:p>
    <w:bookmarkEnd w:id="7"/>
    <w:p w14:paraId="0563F3C0" w14:textId="77777777" w:rsidR="009C41BB" w:rsidRDefault="009C41BB" w:rsidP="009C41BB">
      <w:r>
        <w:t>&lt;ESMA_QUESTION_SFDR_8&gt;</w:t>
      </w:r>
    </w:p>
    <w:p w14:paraId="668ACE9C" w14:textId="77777777" w:rsidR="009C41BB" w:rsidRDefault="009C41BB" w:rsidP="009C41BB">
      <w:permStart w:id="1288714632" w:edGrp="everyone"/>
      <w:r>
        <w:t>TYPE YOUR TEXT HERE</w:t>
      </w:r>
    </w:p>
    <w:permEnd w:id="1288714632"/>
    <w:p w14:paraId="762529E9" w14:textId="77777777" w:rsidR="009C41BB" w:rsidRDefault="009C41BB" w:rsidP="009C41BB">
      <w:r>
        <w:t>&lt;ESMA_QUESTION_SFDR_8&gt;</w:t>
      </w:r>
    </w:p>
    <w:p w14:paraId="0AC5B76C" w14:textId="77777777" w:rsidR="009C41BB" w:rsidRDefault="009C41BB" w:rsidP="009C41BB"/>
    <w:p w14:paraId="5E1A73BD" w14:textId="77777777" w:rsidR="009C41BB" w:rsidRDefault="009C41BB" w:rsidP="009C41BB">
      <w:pPr>
        <w:pStyle w:val="Questionstyle"/>
        <w:numPr>
          <w:ilvl w:val="0"/>
          <w:numId w:val="42"/>
        </w:numPr>
      </w:pPr>
      <w:bookmarkStart w:id="8" w:name="_Hlk131609838"/>
      <w:r>
        <w:t xml:space="preserve">: Do you have any comments or proposed adjustments to the new formulae suggested in Annex I?  </w:t>
      </w:r>
    </w:p>
    <w:bookmarkEnd w:id="8"/>
    <w:p w14:paraId="7AF9E9A1" w14:textId="32987AB8" w:rsidR="009C41BB" w:rsidRDefault="009C41BB" w:rsidP="009C41BB">
      <w:r>
        <w:t>&lt;ESMA_QUESTION_SFDR_9&gt;</w:t>
      </w:r>
    </w:p>
    <w:p w14:paraId="2755246D" w14:textId="77777777" w:rsidR="00F8214B" w:rsidRDefault="00523756" w:rsidP="00F8214B">
      <w:pPr>
        <w:spacing w:after="0" w:line="240" w:lineRule="auto"/>
        <w:rPr>
          <w:rFonts w:ascii="Calibri" w:eastAsia="Times New Roman" w:hAnsi="Calibri" w:cs="Calibri"/>
          <w:color w:val="000000"/>
        </w:rPr>
      </w:pPr>
      <w:permStart w:id="1490685077" w:edGrp="everyone"/>
      <w:r>
        <w:t xml:space="preserve"> </w:t>
      </w:r>
      <w:r w:rsidR="00F8214B">
        <w:rPr>
          <w:rFonts w:ascii="Calibri" w:eastAsia="Times New Roman" w:hAnsi="Calibri" w:cs="Calibri"/>
          <w:color w:val="000000"/>
        </w:rPr>
        <w:t xml:space="preserve">CDP </w:t>
      </w:r>
      <w:proofErr w:type="spellStart"/>
      <w:r w:rsidR="00F8214B">
        <w:rPr>
          <w:rFonts w:ascii="Calibri" w:eastAsia="Times New Roman" w:hAnsi="Calibri" w:cs="Calibri"/>
          <w:color w:val="000000"/>
        </w:rPr>
        <w:t>weclomes</w:t>
      </w:r>
      <w:proofErr w:type="spellEnd"/>
      <w:r w:rsidR="00F8214B">
        <w:rPr>
          <w:rFonts w:ascii="Calibri" w:eastAsia="Times New Roman" w:hAnsi="Calibri" w:cs="Calibri"/>
          <w:color w:val="000000"/>
        </w:rPr>
        <w:t xml:space="preserve"> t</w:t>
      </w:r>
      <w:r w:rsidR="00F8214B" w:rsidRPr="00F8214B">
        <w:rPr>
          <w:rFonts w:ascii="Calibri" w:eastAsia="Times New Roman" w:hAnsi="Calibri" w:cs="Calibri"/>
          <w:color w:val="000000"/>
        </w:rPr>
        <w:t>hese clarifications to the calculation</w:t>
      </w:r>
      <w:r w:rsidR="00F8214B">
        <w:rPr>
          <w:rFonts w:ascii="Calibri" w:eastAsia="Times New Roman" w:hAnsi="Calibri" w:cs="Calibri"/>
          <w:color w:val="000000"/>
        </w:rPr>
        <w:t xml:space="preserve"> of the adverse impact indicators</w:t>
      </w:r>
      <w:r w:rsidR="00F8214B" w:rsidRPr="00F8214B">
        <w:rPr>
          <w:rFonts w:ascii="Calibri" w:eastAsia="Times New Roman" w:hAnsi="Calibri" w:cs="Calibri"/>
          <w:color w:val="000000"/>
        </w:rPr>
        <w:t xml:space="preserve"> formulae as they bring more transparency across financial market participants, and more comparability across calculations provided by third-party data providers.</w:t>
      </w:r>
    </w:p>
    <w:p w14:paraId="08633428" w14:textId="77777777" w:rsidR="00F8214B" w:rsidRPr="00F8214B" w:rsidRDefault="00F8214B" w:rsidP="00F8214B">
      <w:pPr>
        <w:spacing w:after="0" w:line="240" w:lineRule="auto"/>
        <w:rPr>
          <w:rFonts w:ascii="Calibri" w:eastAsia="Times New Roman" w:hAnsi="Calibri" w:cs="Calibri"/>
          <w:color w:val="000000"/>
        </w:rPr>
      </w:pPr>
    </w:p>
    <w:p w14:paraId="60D48BBD" w14:textId="77777777" w:rsidR="004221B2" w:rsidRDefault="004221B2" w:rsidP="0016304C">
      <w:r>
        <w:t xml:space="preserve">In general, </w:t>
      </w:r>
      <w:r w:rsidR="003363F4">
        <w:t xml:space="preserve">CDP recommends that investee’s companies adverse impacts are calculated first in absolute terms (i.e., </w:t>
      </w:r>
      <w:r w:rsidR="00CC5BD6">
        <w:t xml:space="preserve">tonnes of emissions to water) and </w:t>
      </w:r>
      <w:r w:rsidR="00E601C2">
        <w:t xml:space="preserve">second </w:t>
      </w:r>
      <w:r w:rsidR="00CC5BD6">
        <w:t xml:space="preserve">intensities or footprint </w:t>
      </w:r>
      <w:r w:rsidR="004C7662">
        <w:t xml:space="preserve">(i.e., </w:t>
      </w:r>
      <w:r w:rsidR="00CF3A31">
        <w:t xml:space="preserve">tonnes of emissions to water/revenues or </w:t>
      </w:r>
      <w:r w:rsidR="00B6376E">
        <w:t>tonnes of emissions to water/</w:t>
      </w:r>
      <w:r w:rsidR="00CF3A31">
        <w:t xml:space="preserve">EVIC) </w:t>
      </w:r>
      <w:r w:rsidR="00CC5BD6">
        <w:t xml:space="preserve">if </w:t>
      </w:r>
      <w:proofErr w:type="spellStart"/>
      <w:r w:rsidR="00CC5BD6">
        <w:t>deemded</w:t>
      </w:r>
      <w:proofErr w:type="spellEnd"/>
      <w:r w:rsidR="00CC5BD6">
        <w:t xml:space="preserve"> useful or necessary</w:t>
      </w:r>
      <w:r w:rsidR="003718B2">
        <w:t xml:space="preserve"> to capture FMPs/funds </w:t>
      </w:r>
      <w:r w:rsidR="00C70364">
        <w:t xml:space="preserve">adverse impacts. </w:t>
      </w:r>
    </w:p>
    <w:p w14:paraId="5501CE1D" w14:textId="77777777" w:rsidR="00523756" w:rsidRDefault="00523756" w:rsidP="00523756">
      <w:r>
        <w:t xml:space="preserve">In the proposed formulae, CDP notes that indicators for: Emissions to water (9), Hazardous and radioactive waste (10), Emissions of air pollutants (25), emissions of ozone depleting substances (26), </w:t>
      </w:r>
      <w:proofErr w:type="spellStart"/>
      <w:r>
        <w:t>non recycled</w:t>
      </w:r>
      <w:proofErr w:type="spellEnd"/>
      <w:r>
        <w:t xml:space="preserve"> waste (36), are calculated as footprints on the model of PAI2. </w:t>
      </w:r>
    </w:p>
    <w:p w14:paraId="414D236C" w14:textId="77777777" w:rsidR="00E076A7" w:rsidRDefault="00AD24D2" w:rsidP="0016304C">
      <w:r>
        <w:t xml:space="preserve">In addition to the </w:t>
      </w:r>
      <w:r w:rsidR="00EC1573">
        <w:t xml:space="preserve">general recommendation noted above, there are two main implications of calculating adverse impact </w:t>
      </w:r>
      <w:r w:rsidR="002C7D06">
        <w:t>only using intensities or footprints: i) w</w:t>
      </w:r>
      <w:r w:rsidR="007C54C1">
        <w:t xml:space="preserve">hile </w:t>
      </w:r>
      <w:r w:rsidR="00DD45A9">
        <w:t xml:space="preserve">adjusting for company size can </w:t>
      </w:r>
      <w:r w:rsidR="00953864">
        <w:t xml:space="preserve">prove useful for investment considerations, as suggested by the ESAs </w:t>
      </w:r>
      <w:r w:rsidR="00BC705F">
        <w:t>proposal on the disclosure of GHG emissions targets (</w:t>
      </w:r>
      <w:r w:rsidR="00523756">
        <w:t>Consultation paper paragraph 68</w:t>
      </w:r>
      <w:r w:rsidR="00BC705F">
        <w:t xml:space="preserve">) and the ESRS drafts </w:t>
      </w:r>
      <w:r w:rsidR="00A13872">
        <w:t xml:space="preserve">in </w:t>
      </w:r>
      <w:r w:rsidR="00B64791">
        <w:t xml:space="preserve">ESRS </w:t>
      </w:r>
      <w:r w:rsidR="003152DF">
        <w:t xml:space="preserve">E1 </w:t>
      </w:r>
      <w:r w:rsidR="00A13872" w:rsidRPr="007B0DA6">
        <w:t xml:space="preserve">section </w:t>
      </w:r>
      <w:r w:rsidR="003152DF" w:rsidRPr="007B0DA6">
        <w:t xml:space="preserve">4 (paragraph </w:t>
      </w:r>
      <w:r w:rsidR="00F72562" w:rsidRPr="007B0DA6">
        <w:t xml:space="preserve">35. </w:t>
      </w:r>
      <w:r w:rsidR="00523756" w:rsidRPr="007B0DA6">
        <w:t>a))</w:t>
      </w:r>
      <w:r w:rsidR="00A13872">
        <w:t xml:space="preserve"> rela</w:t>
      </w:r>
      <w:r w:rsidR="008C0CD1">
        <w:t xml:space="preserve">ted to </w:t>
      </w:r>
      <w:r w:rsidR="00523756">
        <w:t>targets</w:t>
      </w:r>
      <w:r w:rsidR="00A13872">
        <w:t>,</w:t>
      </w:r>
      <w:r w:rsidR="003F7CE4">
        <w:t xml:space="preserve"> </w:t>
      </w:r>
      <w:r w:rsidR="00060374">
        <w:t xml:space="preserve">monitoring progress in addressing adverse impacts </w:t>
      </w:r>
      <w:r w:rsidR="005C58CB">
        <w:t xml:space="preserve">from one period to the other </w:t>
      </w:r>
      <w:r w:rsidR="00060374">
        <w:t>should reflect th</w:t>
      </w:r>
      <w:r w:rsidR="00ED4420">
        <w:t>e reduction of impacts in absolute terms</w:t>
      </w:r>
      <w:r w:rsidR="00580B01">
        <w:t>.</w:t>
      </w:r>
      <w:r w:rsidR="00EA0662">
        <w:t xml:space="preserve"> </w:t>
      </w:r>
      <w:r w:rsidR="00A0337B">
        <w:t xml:space="preserve">This </w:t>
      </w:r>
      <w:r w:rsidR="00027F7B">
        <w:t xml:space="preserve">suggestion is in line with </w:t>
      </w:r>
      <w:r w:rsidR="00545F9E">
        <w:t>SFDR</w:t>
      </w:r>
      <w:r w:rsidR="00027F7B">
        <w:t>’s</w:t>
      </w:r>
      <w:r w:rsidR="00545F9E">
        <w:t xml:space="preserve"> </w:t>
      </w:r>
      <w:r w:rsidR="004E25E8">
        <w:t>objective</w:t>
      </w:r>
      <w:r w:rsidR="00545F9E">
        <w:t xml:space="preserve"> to bring transparency in FMPs and funds</w:t>
      </w:r>
      <w:r w:rsidR="00A279CF">
        <w:t>’</w:t>
      </w:r>
      <w:r w:rsidR="00545F9E">
        <w:t xml:space="preserve"> exposure </w:t>
      </w:r>
      <w:r w:rsidR="00A279CF">
        <w:t xml:space="preserve">to </w:t>
      </w:r>
      <w:r w:rsidR="00545F9E">
        <w:t xml:space="preserve">and consideration </w:t>
      </w:r>
      <w:r w:rsidR="00A279CF">
        <w:t>of principal adverse impacts</w:t>
      </w:r>
      <w:r w:rsidR="004E25E8">
        <w:t xml:space="preserve">, ii) </w:t>
      </w:r>
      <w:r w:rsidR="0003264C">
        <w:t xml:space="preserve">when considering principal adverse impacts to assess Do No Significant </w:t>
      </w:r>
      <w:r w:rsidR="0003264C">
        <w:lastRenderedPageBreak/>
        <w:t xml:space="preserve">Harm purposes under the Sustainable Investments framework of SFDR, </w:t>
      </w:r>
      <w:r w:rsidR="00C21777">
        <w:t xml:space="preserve">referring to </w:t>
      </w:r>
      <w:r w:rsidR="00721ECF">
        <w:t xml:space="preserve">a company’s </w:t>
      </w:r>
      <w:r w:rsidR="00A54C12">
        <w:t xml:space="preserve">adverse impact </w:t>
      </w:r>
      <w:r w:rsidR="001C0B6C">
        <w:t xml:space="preserve">in intensity/footprint </w:t>
      </w:r>
      <w:r w:rsidR="00CB789F">
        <w:t>suggests that the outcome of a DNSH assessment is relative to a company’s</w:t>
      </w:r>
      <w:r w:rsidR="00A54C12">
        <w:t xml:space="preserve"> revenues or </w:t>
      </w:r>
      <w:proofErr w:type="spellStart"/>
      <w:r w:rsidR="00A54C12">
        <w:t>entreprise</w:t>
      </w:r>
      <w:proofErr w:type="spellEnd"/>
      <w:r w:rsidR="00A54C12">
        <w:t xml:space="preserve"> value</w:t>
      </w:r>
      <w:r w:rsidR="00CB789F">
        <w:t xml:space="preserve">. </w:t>
      </w:r>
      <w:r w:rsidR="00A13872">
        <w:t xml:space="preserve"> </w:t>
      </w:r>
    </w:p>
    <w:p w14:paraId="4754CDDC" w14:textId="77777777" w:rsidR="002F37D9" w:rsidRDefault="00F61CC8" w:rsidP="0016304C">
      <w:r w:rsidRPr="007C54C1">
        <w:rPr>
          <w:b/>
          <w:bCs/>
        </w:rPr>
        <w:t xml:space="preserve">CDP </w:t>
      </w:r>
      <w:r w:rsidR="00DD6C64" w:rsidRPr="007C54C1">
        <w:rPr>
          <w:b/>
          <w:bCs/>
        </w:rPr>
        <w:t>recommends</w:t>
      </w:r>
      <w:r w:rsidRPr="007C54C1">
        <w:rPr>
          <w:b/>
          <w:bCs/>
        </w:rPr>
        <w:t xml:space="preserve"> that </w:t>
      </w:r>
      <w:r w:rsidR="007D51DE" w:rsidRPr="007C54C1">
        <w:rPr>
          <w:b/>
          <w:bCs/>
        </w:rPr>
        <w:t>the formulae for those indicators are adj</w:t>
      </w:r>
      <w:r w:rsidR="00E601C2" w:rsidRPr="007C54C1">
        <w:rPr>
          <w:b/>
          <w:bCs/>
        </w:rPr>
        <w:t>usted to</w:t>
      </w:r>
      <w:r w:rsidR="00F97BE6" w:rsidRPr="007C54C1">
        <w:rPr>
          <w:b/>
          <w:bCs/>
        </w:rPr>
        <w:t xml:space="preserve"> capture absolute adverse impacts</w:t>
      </w:r>
      <w:r w:rsidR="002F37D9" w:rsidRPr="007C54C1">
        <w:rPr>
          <w:b/>
          <w:bCs/>
        </w:rPr>
        <w:t>, with the possibility for FMPs/funds to disclose intensities or footprints as a complement when appropriate</w:t>
      </w:r>
      <w:r w:rsidR="002F37D9">
        <w:t xml:space="preserve">. </w:t>
      </w:r>
    </w:p>
    <w:p w14:paraId="1B6A52C8" w14:textId="77777777" w:rsidR="00523756" w:rsidRPr="007B0DA6" w:rsidRDefault="00523756" w:rsidP="00523756">
      <w:pPr>
        <w:rPr>
          <w:u w:val="single"/>
        </w:rPr>
      </w:pPr>
      <w:r w:rsidRPr="007B0DA6">
        <w:rPr>
          <w:u w:val="single"/>
        </w:rPr>
        <w:t>Proposed formula Option 1</w:t>
      </w:r>
      <w:r>
        <w:rPr>
          <w:u w:val="single"/>
        </w:rPr>
        <w:t xml:space="preserve"> (PAI 1 Financed GHG emissions model)</w:t>
      </w:r>
    </w:p>
    <w:p w14:paraId="58F67EAC" w14:textId="77777777" w:rsidR="00523756" w:rsidRDefault="00523756" w:rsidP="00523756">
      <w:r>
        <w:rPr>
          <w:noProof/>
        </w:rPr>
        <mc:AlternateContent>
          <mc:Choice Requires="wps">
            <w:drawing>
              <wp:anchor distT="0" distB="0" distL="114300" distR="114300" simplePos="0" relativeHeight="251658240" behindDoc="0" locked="0" layoutInCell="1" allowOverlap="1" wp14:anchorId="62C7C32C" wp14:editId="24975D6E">
                <wp:simplePos x="0" y="0"/>
                <wp:positionH relativeFrom="column">
                  <wp:posOffset>-161290</wp:posOffset>
                </wp:positionH>
                <wp:positionV relativeFrom="paragraph">
                  <wp:posOffset>61595</wp:posOffset>
                </wp:positionV>
                <wp:extent cx="6191250" cy="466725"/>
                <wp:effectExtent l="0" t="0" r="0" b="0"/>
                <wp:wrapNone/>
                <wp:docPr id="841283773" name="Text Box 841283773"/>
                <wp:cNvGraphicFramePr/>
                <a:graphic xmlns:a="http://schemas.openxmlformats.org/drawingml/2006/main">
                  <a:graphicData uri="http://schemas.microsoft.com/office/word/2010/wordprocessingShape">
                    <wps:wsp>
                      <wps:cNvSpPr txBox="1"/>
                      <wps:spPr>
                        <a:xfrm>
                          <a:off x="0" y="0"/>
                          <a:ext cx="6191250" cy="466725"/>
                        </a:xfrm>
                        <a:prstGeom prst="rect">
                          <a:avLst/>
                        </a:prstGeom>
                        <a:noFill/>
                      </wps:spPr>
                      <wps:style>
                        <a:lnRef idx="0">
                          <a:scrgbClr r="0" g="0" b="0"/>
                        </a:lnRef>
                        <a:fillRef idx="0">
                          <a:scrgbClr r="0" g="0" b="0"/>
                        </a:fillRef>
                        <a:effectRef idx="0">
                          <a:scrgbClr r="0" g="0" b="0"/>
                        </a:effectRef>
                        <a:fontRef idx="minor">
                          <a:schemeClr val="tx1"/>
                        </a:fontRef>
                      </wps:style>
                      <wps:txbx>
                        <w:txbxContent>
                          <w:permStart w:id="854141808" w:edGrp="everyone"/>
                          <w:p w14:paraId="4CD876DF" w14:textId="77777777" w:rsidR="00523756" w:rsidRPr="007B0DA6" w:rsidRDefault="008F1B4C" w:rsidP="00523756">
                            <w:pPr>
                              <w:rPr>
                                <w:rFonts w:ascii="Cambria Math" w:hAnsi="+mn-cs"/>
                                <w:i/>
                                <w:iCs/>
                                <w:color w:val="000000" w:themeColor="text1"/>
                                <w:sz w:val="20"/>
                                <w:szCs w:val="20"/>
                              </w:rPr>
                            </w:pPr>
                            <m:oMathPara>
                              <m:oMathParaPr>
                                <m:jc m:val="centerGroup"/>
                              </m:oMathParaPr>
                              <m:oMath>
                                <m:nary>
                                  <m:naryPr>
                                    <m:chr m:val="∑"/>
                                    <m:ctrlPr>
                                      <w:rPr>
                                        <w:rFonts w:ascii="Cambria Math" w:eastAsiaTheme="minorEastAsia" w:hAnsi="Cambria Math"/>
                                        <w:i/>
                                        <w:iCs/>
                                        <w:color w:val="000000" w:themeColor="text1"/>
                                        <w:sz w:val="20"/>
                                        <w:szCs w:val="20"/>
                                      </w:rPr>
                                    </m:ctrlPr>
                                  </m:naryPr>
                                  <m:sub>
                                    <m:r>
                                      <w:rPr>
                                        <w:rFonts w:ascii="Cambria Math" w:hAnsi="Cambria Math"/>
                                        <w:color w:val="000000" w:themeColor="text1"/>
                                        <w:sz w:val="20"/>
                                        <w:szCs w:val="20"/>
                                      </w:rPr>
                                      <m:t>i=1</m:t>
                                    </m:r>
                                  </m:sub>
                                  <m:sup>
                                    <m:r>
                                      <w:rPr>
                                        <w:rFonts w:ascii="Cambria Math" w:hAnsi="Cambria Math"/>
                                        <w:color w:val="000000" w:themeColor="text1"/>
                                        <w:sz w:val="20"/>
                                        <w:szCs w:val="20"/>
                                      </w:rPr>
                                      <m:t>n</m:t>
                                    </m:r>
                                  </m:sup>
                                  <m:e>
                                    <m:d>
                                      <m:dPr>
                                        <m:ctrlPr>
                                          <w:rPr>
                                            <w:rFonts w:ascii="Cambria Math" w:eastAsiaTheme="minorEastAsia" w:hAnsi="Cambria Math"/>
                                            <w:i/>
                                            <w:iCs/>
                                            <w:color w:val="000000" w:themeColor="text1"/>
                                            <w:sz w:val="20"/>
                                            <w:szCs w:val="20"/>
                                          </w:rPr>
                                        </m:ctrlPr>
                                      </m:dPr>
                                      <m:e>
                                        <m:f>
                                          <m:fPr>
                                            <m:ctrlPr>
                                              <w:rPr>
                                                <w:rFonts w:ascii="Cambria Math" w:eastAsiaTheme="minorEastAsia" w:hAnsi="Cambria Math"/>
                                                <w:i/>
                                                <w:iCs/>
                                                <w:color w:val="000000" w:themeColor="text1"/>
                                                <w:sz w:val="20"/>
                                                <w:szCs w:val="20"/>
                                              </w:rPr>
                                            </m:ctrlPr>
                                          </m:fPr>
                                          <m:num>
                                            <m:r>
                                              <w:rPr>
                                                <w:rFonts w:ascii="Cambria Math" w:hAnsi="Cambria Math"/>
                                                <w:color w:val="000000" w:themeColor="text1"/>
                                                <w:sz w:val="20"/>
                                                <w:szCs w:val="20"/>
                                              </w:rPr>
                                              <m:t>current value of investment i </m:t>
                                            </m:r>
                                          </m:num>
                                          <m:den>
                                            <m:r>
                                              <w:rPr>
                                                <w:rFonts w:ascii="Cambria Math" w:hAnsi="Cambria Math"/>
                                                <w:color w:val="000000" w:themeColor="text1"/>
                                                <w:sz w:val="20"/>
                                                <w:szCs w:val="20"/>
                                              </w:rPr>
                                              <m:t>investee compan</m:t>
                                            </m:r>
                                            <m:sSup>
                                              <m:sSupPr>
                                                <m:ctrlPr>
                                                  <w:rPr>
                                                    <w:rFonts w:ascii="Cambria Math" w:eastAsiaTheme="minorEastAsia" w:hAnsi="Cambria Math"/>
                                                    <w:i/>
                                                    <w:iCs/>
                                                    <w:color w:val="000000" w:themeColor="text1"/>
                                                    <w:sz w:val="20"/>
                                                    <w:szCs w:val="20"/>
                                                  </w:rPr>
                                                </m:ctrlPr>
                                              </m:sSupPr>
                                              <m:e>
                                                <m:r>
                                                  <w:rPr>
                                                    <w:rFonts w:ascii="Cambria Math" w:hAnsi="Cambria Math"/>
                                                    <w:color w:val="000000" w:themeColor="text1"/>
                                                    <w:sz w:val="20"/>
                                                    <w:szCs w:val="20"/>
                                                  </w:rPr>
                                                  <m:t>y</m:t>
                                                </m:r>
                                              </m:e>
                                              <m:sup>
                                                <m:r>
                                                  <w:rPr>
                                                    <w:rFonts w:ascii="Cambria Math" w:hAnsi="Cambria Math"/>
                                                    <w:color w:val="000000" w:themeColor="text1"/>
                                                    <w:sz w:val="20"/>
                                                    <w:szCs w:val="20"/>
                                                  </w:rPr>
                                                  <m:t>'</m:t>
                                                </m:r>
                                              </m:sup>
                                            </m:sSup>
                                            <m:r>
                                              <w:rPr>
                                                <w:rFonts w:ascii="Cambria Math" w:hAnsi="Cambria Math"/>
                                                <w:color w:val="000000" w:themeColor="text1"/>
                                                <w:sz w:val="20"/>
                                                <w:szCs w:val="20"/>
                                              </w:rPr>
                                              <m:t>s entreprise value i</m:t>
                                            </m:r>
                                          </m:den>
                                        </m:f>
                                        <m:r>
                                          <w:rPr>
                                            <w:rFonts w:ascii="Cambria Math" w:eastAsia="Cambria Math" w:hAnsi="Cambria Math"/>
                                            <w:color w:val="000000" w:themeColor="text1"/>
                                            <w:sz w:val="20"/>
                                            <w:szCs w:val="20"/>
                                          </w:rPr>
                                          <m:t>×investee compan</m:t>
                                        </m:r>
                                        <m:sSup>
                                          <m:sSupPr>
                                            <m:ctrlPr>
                                              <w:rPr>
                                                <w:rFonts w:ascii="Cambria Math" w:eastAsia="Cambria Math" w:hAnsi="Cambria Math"/>
                                                <w:i/>
                                                <w:iCs/>
                                                <w:color w:val="000000" w:themeColor="text1"/>
                                                <w:sz w:val="20"/>
                                                <w:szCs w:val="20"/>
                                              </w:rPr>
                                            </m:ctrlPr>
                                          </m:sSupPr>
                                          <m:e>
                                            <m:r>
                                              <w:rPr>
                                                <w:rFonts w:ascii="Cambria Math" w:eastAsia="Cambria Math" w:hAnsi="Cambria Math"/>
                                                <w:color w:val="000000" w:themeColor="text1"/>
                                                <w:sz w:val="20"/>
                                                <w:szCs w:val="20"/>
                                              </w:rPr>
                                              <m:t>y</m:t>
                                            </m:r>
                                          </m:e>
                                          <m:sup>
                                            <m:r>
                                              <w:rPr>
                                                <w:rFonts w:ascii="Cambria Math" w:eastAsia="Cambria Math" w:hAnsi="Cambria Math"/>
                                                <w:color w:val="000000" w:themeColor="text1"/>
                                                <w:sz w:val="20"/>
                                                <w:szCs w:val="20"/>
                                              </w:rPr>
                                              <m:t>'</m:t>
                                            </m:r>
                                          </m:sup>
                                        </m:sSup>
                                        <m:r>
                                          <w:rPr>
                                            <w:rFonts w:ascii="Cambria Math" w:eastAsia="Cambria Math" w:hAnsi="Cambria Math"/>
                                            <w:color w:val="000000" w:themeColor="text1"/>
                                            <w:sz w:val="20"/>
                                            <w:szCs w:val="20"/>
                                          </w:rPr>
                                          <m:t>s tonnes of emissions to water i </m:t>
                                        </m:r>
                                      </m:e>
                                    </m:d>
                                  </m:e>
                                </m:nary>
                              </m:oMath>
                            </m:oMathPara>
                            <w:permEnd w:id="854141808"/>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62C7C32C" id="_x0000_t202" coordsize="21600,21600" o:spt="202" path="m,l,21600r21600,l21600,xe">
                <v:stroke joinstyle="miter"/>
                <v:path gradientshapeok="t" o:connecttype="rect"/>
              </v:shapetype>
              <v:shape id="Text Box 841283773" o:spid="_x0000_s1026" type="#_x0000_t202" style="position:absolute;margin-left:-12.7pt;margin-top:4.85pt;width:487.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" filled="f" stroked="f">
                <v:textbox inset="0,0,0,0">
                  <w:txbxContent>
                    <w:permStart w:id="854141808" w:edGrp="everyone"/>
                    <w:p w14:paraId="4CD876DF" w14:textId="77777777" w:rsidR="00523756" w:rsidRPr="007B0DA6" w:rsidRDefault="008F1B4C" w:rsidP="00523756">
                      <w:pPr>
                        <w:rPr>
                          <w:rFonts w:ascii="Cambria Math" w:hAnsi="+mn-cs"/>
                          <w:i/>
                          <w:iCs/>
                          <w:color w:val="000000" w:themeColor="text1"/>
                          <w:sz w:val="20"/>
                          <w:szCs w:val="20"/>
                        </w:rPr>
                      </w:pPr>
                      <m:oMathPara>
                        <m:oMathParaPr>
                          <m:jc m:val="centerGroup"/>
                        </m:oMathParaPr>
                        <m:oMath>
                          <m:nary>
                            <m:naryPr>
                              <m:chr m:val="∑"/>
                              <m:ctrlPr>
                                <w:rPr>
                                  <w:rFonts w:ascii="Cambria Math" w:eastAsiaTheme="minorEastAsia" w:hAnsi="Cambria Math"/>
                                  <w:i/>
                                  <w:iCs/>
                                  <w:color w:val="000000" w:themeColor="text1"/>
                                  <w:sz w:val="20"/>
                                  <w:szCs w:val="20"/>
                                </w:rPr>
                              </m:ctrlPr>
                            </m:naryPr>
                            <m:sub>
                              <m:r>
                                <w:rPr>
                                  <w:rFonts w:ascii="Cambria Math" w:hAnsi="Cambria Math"/>
                                  <w:color w:val="000000" w:themeColor="text1"/>
                                  <w:sz w:val="20"/>
                                  <w:szCs w:val="20"/>
                                </w:rPr>
                                <m:t>i=1</m:t>
                              </m:r>
                            </m:sub>
                            <m:sup>
                              <m:r>
                                <w:rPr>
                                  <w:rFonts w:ascii="Cambria Math" w:hAnsi="Cambria Math"/>
                                  <w:color w:val="000000" w:themeColor="text1"/>
                                  <w:sz w:val="20"/>
                                  <w:szCs w:val="20"/>
                                </w:rPr>
                                <m:t>n</m:t>
                              </m:r>
                            </m:sup>
                            <m:e>
                              <m:d>
                                <m:dPr>
                                  <m:ctrlPr>
                                    <w:rPr>
                                      <w:rFonts w:ascii="Cambria Math" w:eastAsiaTheme="minorEastAsia" w:hAnsi="Cambria Math"/>
                                      <w:i/>
                                      <w:iCs/>
                                      <w:color w:val="000000" w:themeColor="text1"/>
                                      <w:sz w:val="20"/>
                                      <w:szCs w:val="20"/>
                                    </w:rPr>
                                  </m:ctrlPr>
                                </m:dPr>
                                <m:e>
                                  <m:f>
                                    <m:fPr>
                                      <m:ctrlPr>
                                        <w:rPr>
                                          <w:rFonts w:ascii="Cambria Math" w:eastAsiaTheme="minorEastAsia" w:hAnsi="Cambria Math"/>
                                          <w:i/>
                                          <w:iCs/>
                                          <w:color w:val="000000" w:themeColor="text1"/>
                                          <w:sz w:val="20"/>
                                          <w:szCs w:val="20"/>
                                        </w:rPr>
                                      </m:ctrlPr>
                                    </m:fPr>
                                    <m:num>
                                      <m:r>
                                        <w:rPr>
                                          <w:rFonts w:ascii="Cambria Math" w:hAnsi="Cambria Math"/>
                                          <w:color w:val="000000" w:themeColor="text1"/>
                                          <w:sz w:val="20"/>
                                          <w:szCs w:val="20"/>
                                        </w:rPr>
                                        <m:t>current value of investment i </m:t>
                                      </m:r>
                                    </m:num>
                                    <m:den>
                                      <m:r>
                                        <w:rPr>
                                          <w:rFonts w:ascii="Cambria Math" w:hAnsi="Cambria Math"/>
                                          <w:color w:val="000000" w:themeColor="text1"/>
                                          <w:sz w:val="20"/>
                                          <w:szCs w:val="20"/>
                                        </w:rPr>
                                        <m:t>investee compan</m:t>
                                      </m:r>
                                      <m:sSup>
                                        <m:sSupPr>
                                          <m:ctrlPr>
                                            <w:rPr>
                                              <w:rFonts w:ascii="Cambria Math" w:eastAsiaTheme="minorEastAsia" w:hAnsi="Cambria Math"/>
                                              <w:i/>
                                              <w:iCs/>
                                              <w:color w:val="000000" w:themeColor="text1"/>
                                              <w:sz w:val="20"/>
                                              <w:szCs w:val="20"/>
                                            </w:rPr>
                                          </m:ctrlPr>
                                        </m:sSupPr>
                                        <m:e>
                                          <m:r>
                                            <w:rPr>
                                              <w:rFonts w:ascii="Cambria Math" w:hAnsi="Cambria Math"/>
                                              <w:color w:val="000000" w:themeColor="text1"/>
                                              <w:sz w:val="20"/>
                                              <w:szCs w:val="20"/>
                                            </w:rPr>
                                            <m:t>y</m:t>
                                          </m:r>
                                        </m:e>
                                        <m:sup>
                                          <m:r>
                                            <w:rPr>
                                              <w:rFonts w:ascii="Cambria Math" w:hAnsi="Cambria Math"/>
                                              <w:color w:val="000000" w:themeColor="text1"/>
                                              <w:sz w:val="20"/>
                                              <w:szCs w:val="20"/>
                                            </w:rPr>
                                            <m:t>'</m:t>
                                          </m:r>
                                        </m:sup>
                                      </m:sSup>
                                      <m:r>
                                        <w:rPr>
                                          <w:rFonts w:ascii="Cambria Math" w:hAnsi="Cambria Math"/>
                                          <w:color w:val="000000" w:themeColor="text1"/>
                                          <w:sz w:val="20"/>
                                          <w:szCs w:val="20"/>
                                        </w:rPr>
                                        <m:t>s entreprise value i</m:t>
                                      </m:r>
                                    </m:den>
                                  </m:f>
                                  <m:r>
                                    <w:rPr>
                                      <w:rFonts w:ascii="Cambria Math" w:eastAsia="Cambria Math" w:hAnsi="Cambria Math"/>
                                      <w:color w:val="000000" w:themeColor="text1"/>
                                      <w:sz w:val="20"/>
                                      <w:szCs w:val="20"/>
                                    </w:rPr>
                                    <m:t>×investee compan</m:t>
                                  </m:r>
                                  <m:sSup>
                                    <m:sSupPr>
                                      <m:ctrlPr>
                                        <w:rPr>
                                          <w:rFonts w:ascii="Cambria Math" w:eastAsia="Cambria Math" w:hAnsi="Cambria Math"/>
                                          <w:i/>
                                          <w:iCs/>
                                          <w:color w:val="000000" w:themeColor="text1"/>
                                          <w:sz w:val="20"/>
                                          <w:szCs w:val="20"/>
                                        </w:rPr>
                                      </m:ctrlPr>
                                    </m:sSupPr>
                                    <m:e>
                                      <m:r>
                                        <w:rPr>
                                          <w:rFonts w:ascii="Cambria Math" w:eastAsia="Cambria Math" w:hAnsi="Cambria Math"/>
                                          <w:color w:val="000000" w:themeColor="text1"/>
                                          <w:sz w:val="20"/>
                                          <w:szCs w:val="20"/>
                                        </w:rPr>
                                        <m:t>y</m:t>
                                      </m:r>
                                    </m:e>
                                    <m:sup>
                                      <m:r>
                                        <w:rPr>
                                          <w:rFonts w:ascii="Cambria Math" w:eastAsia="Cambria Math" w:hAnsi="Cambria Math"/>
                                          <w:color w:val="000000" w:themeColor="text1"/>
                                          <w:sz w:val="20"/>
                                          <w:szCs w:val="20"/>
                                        </w:rPr>
                                        <m:t>'</m:t>
                                      </m:r>
                                    </m:sup>
                                  </m:sSup>
                                  <m:r>
                                    <w:rPr>
                                      <w:rFonts w:ascii="Cambria Math" w:eastAsia="Cambria Math" w:hAnsi="Cambria Math"/>
                                      <w:color w:val="000000" w:themeColor="text1"/>
                                      <w:sz w:val="20"/>
                                      <w:szCs w:val="20"/>
                                    </w:rPr>
                                    <m:t>s tonnes of emissions to water i </m:t>
                                  </m:r>
                                </m:e>
                              </m:d>
                            </m:e>
                          </m:nary>
                        </m:oMath>
                      </m:oMathPara>
                      <w:permEnd w:id="854141808"/>
                    </w:p>
                  </w:txbxContent>
                </v:textbox>
              </v:shape>
            </w:pict>
          </mc:Fallback>
        </mc:AlternateContent>
      </w:r>
    </w:p>
    <w:p w14:paraId="03667949" w14:textId="77777777" w:rsidR="00523756" w:rsidRDefault="00523756" w:rsidP="00523756"/>
    <w:p w14:paraId="0D478F1C" w14:textId="77777777" w:rsidR="00523756" w:rsidRPr="007911A0" w:rsidRDefault="00523756" w:rsidP="00523756">
      <w:pPr>
        <w:rPr>
          <w:u w:val="single"/>
        </w:rPr>
      </w:pPr>
      <w:r w:rsidRPr="007911A0">
        <w:rPr>
          <w:u w:val="single"/>
        </w:rPr>
        <w:t xml:space="preserve">Proposed formula Option </w:t>
      </w:r>
      <w:r>
        <w:rPr>
          <w:u w:val="single"/>
        </w:rPr>
        <w:t>2 (Weighted average climate benchmarks model)</w:t>
      </w:r>
    </w:p>
    <w:p w14:paraId="0D49D162" w14:textId="77777777" w:rsidR="00523756" w:rsidRDefault="000078D3" w:rsidP="00523756">
      <m:oMathPara>
        <m:oMath>
          <m:nary>
            <m:naryPr>
              <m:chr m:val="∑"/>
              <m:ctrlPr>
                <w:rPr>
                  <w:rFonts w:ascii="Cambria Math" w:eastAsiaTheme="minorEastAsia" w:hAnsi="Cambria Math"/>
                  <w:i/>
                  <w:iCs/>
                  <w:color w:val="000000" w:themeColor="text1"/>
                  <w:sz w:val="20"/>
                  <w:szCs w:val="20"/>
                </w:rPr>
              </m:ctrlPr>
            </m:naryPr>
            <m:sub>
              <m:r>
                <w:rPr>
                  <w:rFonts w:ascii="Cambria Math" w:hAnsi="Cambria Math"/>
                  <w:color w:val="000000" w:themeColor="text1"/>
                  <w:sz w:val="20"/>
                  <w:szCs w:val="20"/>
                </w:rPr>
                <m:t>i=1</m:t>
              </m:r>
            </m:sub>
            <m:sup>
              <m:r>
                <w:rPr>
                  <w:rFonts w:ascii="Cambria Math" w:hAnsi="Cambria Math"/>
                  <w:color w:val="000000" w:themeColor="text1"/>
                  <w:sz w:val="20"/>
                  <w:szCs w:val="20"/>
                </w:rPr>
                <m:t>n</m:t>
              </m:r>
            </m:sup>
            <m:e>
              <m:d>
                <m:dPr>
                  <m:ctrlPr>
                    <w:rPr>
                      <w:rFonts w:ascii="Cambria Math" w:eastAsiaTheme="minorEastAsia" w:hAnsi="Cambria Math"/>
                      <w:i/>
                      <w:iCs/>
                      <w:color w:val="000000" w:themeColor="text1"/>
                      <w:sz w:val="20"/>
                      <w:szCs w:val="20"/>
                    </w:rPr>
                  </m:ctrlPr>
                </m:dPr>
                <m:e>
                  <m:f>
                    <m:fPr>
                      <m:ctrlPr>
                        <w:rPr>
                          <w:rFonts w:ascii="Cambria Math" w:eastAsiaTheme="minorEastAsia" w:hAnsi="Cambria Math"/>
                          <w:i/>
                          <w:iCs/>
                          <w:color w:val="000000" w:themeColor="text1"/>
                          <w:sz w:val="20"/>
                          <w:szCs w:val="20"/>
                        </w:rPr>
                      </m:ctrlPr>
                    </m:fPr>
                    <m:num>
                      <m:r>
                        <w:rPr>
                          <w:rFonts w:ascii="Cambria Math" w:hAnsi="Cambria Math"/>
                          <w:color w:val="000000" w:themeColor="text1"/>
                          <w:sz w:val="20"/>
                          <w:szCs w:val="20"/>
                        </w:rPr>
                        <m:t>current value of investment i </m:t>
                      </m:r>
                    </m:num>
                    <m:den>
                      <m:r>
                        <w:rPr>
                          <w:rFonts w:ascii="Cambria Math" w:hAnsi="Cambria Math"/>
                          <w:color w:val="000000" w:themeColor="text1"/>
                          <w:sz w:val="20"/>
                          <w:szCs w:val="20"/>
                        </w:rPr>
                        <m:t>current value of all investments</m:t>
                      </m:r>
                    </m:den>
                  </m:f>
                  <m:r>
                    <w:rPr>
                      <w:rFonts w:ascii="Cambria Math" w:eastAsia="Cambria Math" w:hAnsi="Cambria Math"/>
                      <w:color w:val="000000" w:themeColor="text1"/>
                      <w:sz w:val="20"/>
                      <w:szCs w:val="20"/>
                    </w:rPr>
                    <m:t>×investee compan</m:t>
                  </m:r>
                  <m:sSup>
                    <m:sSupPr>
                      <m:ctrlPr>
                        <w:rPr>
                          <w:rFonts w:ascii="Cambria Math" w:eastAsia="Cambria Math" w:hAnsi="Cambria Math"/>
                          <w:i/>
                          <w:iCs/>
                          <w:color w:val="000000" w:themeColor="text1"/>
                          <w:sz w:val="20"/>
                          <w:szCs w:val="20"/>
                        </w:rPr>
                      </m:ctrlPr>
                    </m:sSupPr>
                    <m:e>
                      <m:r>
                        <w:rPr>
                          <w:rFonts w:ascii="Cambria Math" w:eastAsia="Cambria Math" w:hAnsi="Cambria Math"/>
                          <w:color w:val="000000" w:themeColor="text1"/>
                          <w:sz w:val="20"/>
                          <w:szCs w:val="20"/>
                        </w:rPr>
                        <m:t>y</m:t>
                      </m:r>
                    </m:e>
                    <m:sup>
                      <m:r>
                        <w:rPr>
                          <w:rFonts w:ascii="Cambria Math" w:eastAsia="Cambria Math" w:hAnsi="Cambria Math"/>
                          <w:color w:val="000000" w:themeColor="text1"/>
                          <w:sz w:val="20"/>
                          <w:szCs w:val="20"/>
                        </w:rPr>
                        <m:t>'</m:t>
                      </m:r>
                    </m:sup>
                  </m:sSup>
                  <m:r>
                    <w:rPr>
                      <w:rFonts w:ascii="Cambria Math" w:eastAsia="Cambria Math" w:hAnsi="Cambria Math"/>
                      <w:color w:val="000000" w:themeColor="text1"/>
                      <w:sz w:val="20"/>
                      <w:szCs w:val="20"/>
                    </w:rPr>
                    <m:t>s tonnes of emissions to water i </m:t>
                  </m:r>
                </m:e>
              </m:d>
            </m:e>
          </m:nary>
        </m:oMath>
      </m:oMathPara>
    </w:p>
    <w:p w14:paraId="63F25685" w14:textId="77777777" w:rsidR="006B70B0" w:rsidRDefault="006B70B0" w:rsidP="0016304C">
      <w:r>
        <w:t xml:space="preserve">CDP would also like to bring the ESAs attention on two points regarding the </w:t>
      </w:r>
      <w:proofErr w:type="spellStart"/>
      <w:r>
        <w:t>representativness</w:t>
      </w:r>
      <w:proofErr w:type="spellEnd"/>
      <w:r>
        <w:t xml:space="preserve"> of other environmental objectives in the list of mandatory principal adverse impacts: i) </w:t>
      </w:r>
      <w:r w:rsidR="00006294">
        <w:t xml:space="preserve">when considering the environmental and climate related principal adverse impact indicators </w:t>
      </w:r>
      <w:r w:rsidR="009B6DF6">
        <w:t>for investee companies (</w:t>
      </w:r>
      <w:r w:rsidR="006A57C8">
        <w:t>Annex I Table 1</w:t>
      </w:r>
      <w:r w:rsidR="009B6DF6">
        <w:t xml:space="preserve">), there are currently </w:t>
      </w:r>
      <w:r w:rsidR="00794AC7">
        <w:t>12</w:t>
      </w:r>
      <w:r w:rsidR="009B6DF6">
        <w:t xml:space="preserve"> principal adverse impacts indicators, of which </w:t>
      </w:r>
      <w:r w:rsidR="00794AC7">
        <w:t xml:space="preserve">9 </w:t>
      </w:r>
      <w:r w:rsidR="007817BA">
        <w:t>are</w:t>
      </w:r>
      <w:r w:rsidR="004312A6">
        <w:t xml:space="preserve"> capturing effects on </w:t>
      </w:r>
      <w:r w:rsidR="00794AC7">
        <w:t xml:space="preserve">climate </w:t>
      </w:r>
      <w:r w:rsidR="005A19EB">
        <w:t>change, 1 on biodiversity</w:t>
      </w:r>
      <w:r w:rsidR="0080143F">
        <w:t>, 1</w:t>
      </w:r>
      <w:r w:rsidR="005A19EB">
        <w:t xml:space="preserve"> on pollution</w:t>
      </w:r>
      <w:r w:rsidR="0080143F">
        <w:t xml:space="preserve">, and 1 </w:t>
      </w:r>
      <w:r w:rsidR="00FB1970">
        <w:t>on circular economy</w:t>
      </w:r>
      <w:r w:rsidR="00F44D5C">
        <w:t xml:space="preserve"> – as per ESRS topical standards</w:t>
      </w:r>
      <w:r w:rsidR="005A19EB">
        <w:t>.</w:t>
      </w:r>
      <w:r w:rsidR="00FB1970">
        <w:t xml:space="preserve"> While the climate and environmental objectives are all connected to one another, </w:t>
      </w:r>
      <w:r w:rsidR="00FB1970" w:rsidRPr="006615D7">
        <w:rPr>
          <w:b/>
          <w:bCs/>
        </w:rPr>
        <w:t xml:space="preserve">CDP would welcome </w:t>
      </w:r>
      <w:r w:rsidR="00D2102F" w:rsidRPr="006615D7">
        <w:rPr>
          <w:b/>
          <w:bCs/>
        </w:rPr>
        <w:t>adjustments</w:t>
      </w:r>
      <w:r w:rsidR="00FB1970" w:rsidRPr="006615D7">
        <w:rPr>
          <w:b/>
          <w:bCs/>
        </w:rPr>
        <w:t xml:space="preserve"> to </w:t>
      </w:r>
      <w:r w:rsidR="00D2102F" w:rsidRPr="006615D7">
        <w:rPr>
          <w:b/>
          <w:bCs/>
        </w:rPr>
        <w:t>ensure that the EU’s 6 climate and environmental objectives are equally represented in the assessment of adverse impacts</w:t>
      </w:r>
      <w:r w:rsidR="00D2102F">
        <w:t xml:space="preserve">. </w:t>
      </w:r>
      <w:r w:rsidR="00FA6060">
        <w:t xml:space="preserve">CDP would recommend adding one sustainable water use related indicator, for </w:t>
      </w:r>
      <w:r w:rsidR="00FA6060" w:rsidRPr="00BF3201">
        <w:t xml:space="preserve">example indicator </w:t>
      </w:r>
      <w:r w:rsidR="00BF3201" w:rsidRPr="00BF3201">
        <w:t>8</w:t>
      </w:r>
      <w:r w:rsidR="00FA6060" w:rsidRPr="00BF3201">
        <w:t xml:space="preserve"> </w:t>
      </w:r>
      <w:r w:rsidR="00404090" w:rsidRPr="00BF3201">
        <w:t>from</w:t>
      </w:r>
      <w:r w:rsidR="00404090">
        <w:t xml:space="preserve"> Table 2 </w:t>
      </w:r>
      <w:r w:rsidR="00FA6060">
        <w:t>related to water stress</w:t>
      </w:r>
      <w:r w:rsidR="00721F96">
        <w:t xml:space="preserve"> and water policies on the model of Table 1 PAI 7</w:t>
      </w:r>
      <w:r w:rsidR="00FA6060">
        <w:t xml:space="preserve">, ii) </w:t>
      </w:r>
      <w:r w:rsidR="00633B2F">
        <w:t xml:space="preserve">given the importance of forests to reach both environmental and climate objectives, </w:t>
      </w:r>
      <w:r w:rsidR="00633B2F" w:rsidRPr="006615D7">
        <w:rPr>
          <w:b/>
          <w:bCs/>
        </w:rPr>
        <w:t xml:space="preserve">CDP would recommend </w:t>
      </w:r>
      <w:r w:rsidR="006615D7" w:rsidRPr="006615D7">
        <w:rPr>
          <w:b/>
          <w:bCs/>
        </w:rPr>
        <w:t>including the adverse impact indicator related to deforestation policies (</w:t>
      </w:r>
      <w:r w:rsidR="00C232E4">
        <w:rPr>
          <w:b/>
          <w:bCs/>
        </w:rPr>
        <w:t xml:space="preserve">Table 2 </w:t>
      </w:r>
      <w:r w:rsidR="00074570">
        <w:rPr>
          <w:b/>
          <w:bCs/>
        </w:rPr>
        <w:t>indicator 15</w:t>
      </w:r>
      <w:r w:rsidR="006615D7" w:rsidRPr="006615D7">
        <w:rPr>
          <w:b/>
          <w:bCs/>
        </w:rPr>
        <w:t>) into the assessment of a company’s DNSH</w:t>
      </w:r>
      <w:r w:rsidR="006615D7">
        <w:t xml:space="preserve">. </w:t>
      </w:r>
      <w:r w:rsidR="00FA6060">
        <w:t xml:space="preserve"> </w:t>
      </w:r>
      <w:r w:rsidR="00FB1970">
        <w:t xml:space="preserve"> </w:t>
      </w:r>
      <w:r w:rsidR="005A19EB">
        <w:t xml:space="preserve"> </w:t>
      </w:r>
    </w:p>
    <w:p w14:paraId="4045CA3F" w14:textId="224DC38B" w:rsidR="00523756" w:rsidRDefault="00523756" w:rsidP="009C41BB">
      <w:r>
        <w:t>In 2022, there were over 1200 companies reporting to CDP on water sourced from areas of stress and over 1400 companies reporting on their water policies.</w:t>
      </w:r>
      <w:permEnd w:id="1490685077"/>
    </w:p>
    <w:p w14:paraId="548D5BC4" w14:textId="63E9B785" w:rsidR="009C41BB" w:rsidRPr="00646EC1" w:rsidRDefault="009C41BB" w:rsidP="0016304C">
      <w:r w:rsidRPr="00646EC1">
        <w:t>&lt;ESMA_QUESTION_SFDR_9&gt;</w:t>
      </w:r>
    </w:p>
    <w:p w14:paraId="4E0660C5" w14:textId="77777777" w:rsidR="009C41BB" w:rsidRPr="00646EC1" w:rsidRDefault="009C41BB" w:rsidP="009C41BB"/>
    <w:p w14:paraId="65BB34FD" w14:textId="77777777" w:rsidR="009C41BB" w:rsidRDefault="009C41BB" w:rsidP="009C41BB">
      <w:pPr>
        <w:pStyle w:val="Questionstyle"/>
        <w:numPr>
          <w:ilvl w:val="0"/>
          <w:numId w:val="42"/>
        </w:numPr>
      </w:pPr>
      <w:bookmarkStart w:id="9" w:name="_Hlk131609840"/>
      <w:r>
        <w:t xml:space="preserve">: Do you have any comments on the further clarifications or technical changes to the current list of indicators? Did you encounter any issues in the calculation of the adverse impact for any of the other existing indicators in Annex I?  </w:t>
      </w:r>
    </w:p>
    <w:bookmarkEnd w:id="9"/>
    <w:p w14:paraId="59ECBC6E" w14:textId="77777777" w:rsidR="009C41BB" w:rsidRDefault="009C41BB" w:rsidP="009C41BB">
      <w:r>
        <w:t>&lt;ESMA_QUESTION_SFDR_10&gt;</w:t>
      </w:r>
    </w:p>
    <w:p w14:paraId="659B1A0A" w14:textId="77777777" w:rsidR="00523379" w:rsidRDefault="00523379" w:rsidP="00FD3A82"/>
    <w:p w14:paraId="4D8AEF59" w14:textId="77777777" w:rsidR="00B4557B" w:rsidRDefault="00F203A6" w:rsidP="00FD3A82">
      <w:permStart w:id="1948803207" w:edGrp="everyone"/>
      <w:r>
        <w:lastRenderedPageBreak/>
        <w:t xml:space="preserve"> </w:t>
      </w:r>
      <w:r w:rsidR="003A5FB5">
        <w:t xml:space="preserve">CDP notes that there are currently different types of adverse impact indicators: i) binary (i.e., active in fossil fuel or not), ii) </w:t>
      </w:r>
      <w:r w:rsidR="00EF28EA">
        <w:t xml:space="preserve">quantities (i.e., tonnes of emissions or </w:t>
      </w:r>
      <w:proofErr w:type="spellStart"/>
      <w:r w:rsidR="00EF28EA">
        <w:t>megaliters</w:t>
      </w:r>
      <w:proofErr w:type="spellEnd"/>
      <w:r w:rsidR="00EF28EA">
        <w:t xml:space="preserve"> of waters), iii)</w:t>
      </w:r>
      <w:r w:rsidR="00275CAD">
        <w:t xml:space="preserve"> shares (i.e., percentage of renewable energy consumption in total consumption), iv)</w:t>
      </w:r>
      <w:r w:rsidR="00EF28EA">
        <w:t xml:space="preserve"> </w:t>
      </w:r>
      <w:r w:rsidR="00B77426">
        <w:t>conditional</w:t>
      </w:r>
      <w:r w:rsidR="00275CAD">
        <w:t>s</w:t>
      </w:r>
      <w:r w:rsidR="00B77426">
        <w:t xml:space="preserve"> (i.e., </w:t>
      </w:r>
      <w:r w:rsidR="00B4557B">
        <w:t xml:space="preserve">sites located near biodiversity areas with potential to negatively affect those areas). </w:t>
      </w:r>
    </w:p>
    <w:p w14:paraId="660D0830" w14:textId="77777777" w:rsidR="001F5CFA" w:rsidRDefault="00A465AA" w:rsidP="00FD3A82">
      <w:pPr>
        <w:pStyle w:val="ListParagraph"/>
        <w:numPr>
          <w:ilvl w:val="0"/>
          <w:numId w:val="44"/>
        </w:numPr>
      </w:pPr>
      <w:r>
        <w:t xml:space="preserve">CDP recommends </w:t>
      </w:r>
      <w:proofErr w:type="gramStart"/>
      <w:r>
        <w:t>to consider</w:t>
      </w:r>
      <w:proofErr w:type="gramEnd"/>
      <w:r>
        <w:t xml:space="preserve"> certain adjustments to the following indicators to ensure </w:t>
      </w:r>
      <w:r w:rsidR="00831197">
        <w:t xml:space="preserve">that </w:t>
      </w:r>
      <w:r>
        <w:t xml:space="preserve">the indicator is capturing the essence of </w:t>
      </w:r>
      <w:r w:rsidR="00831197">
        <w:t xml:space="preserve">the adverse impact: </w:t>
      </w:r>
      <w:r w:rsidR="00D255F8">
        <w:t>companies without sustainable agricultural/land practices, sustainable ocean</w:t>
      </w:r>
      <w:r w:rsidR="00074570">
        <w:t>s/seas</w:t>
      </w:r>
      <w:r w:rsidR="00D255F8">
        <w:t xml:space="preserve"> </w:t>
      </w:r>
      <w:r w:rsidR="00074570">
        <w:t>practices</w:t>
      </w:r>
      <w:r w:rsidR="00D255F8">
        <w:t xml:space="preserve"> (</w:t>
      </w:r>
      <w:r w:rsidR="00074570">
        <w:t>Table 2 indicators 11 and 12</w:t>
      </w:r>
      <w:r w:rsidR="007A75C7">
        <w:t xml:space="preserve">) </w:t>
      </w:r>
      <w:r w:rsidR="00F36817">
        <w:sym w:font="Wingdings" w:char="F0E8"/>
      </w:r>
      <w:r w:rsidR="00F36817">
        <w:t xml:space="preserve"> adjusting formulae to be conditional on </w:t>
      </w:r>
      <w:r w:rsidR="005D2E5E">
        <w:t>companies being active in the relevant economic activities</w:t>
      </w:r>
      <w:r w:rsidR="00CB1A39">
        <w:t>.</w:t>
      </w:r>
      <w:r w:rsidR="00770FD9">
        <w:t xml:space="preserve"> </w:t>
      </w:r>
      <w:r w:rsidR="008640F8">
        <w:t xml:space="preserve">The current formulae proposed in the CP don’t capture this conditionality while the name of the indicators do: </w:t>
      </w:r>
      <w:r w:rsidR="0019098D">
        <w:t>‘</w:t>
      </w:r>
      <w:r w:rsidR="0019098D" w:rsidRPr="0019098D">
        <w:rPr>
          <w:i/>
          <w:iCs/>
        </w:rPr>
        <w:t xml:space="preserve">Share of investments in investee companies, </w:t>
      </w:r>
      <w:r w:rsidR="0019098D" w:rsidRPr="0019098D">
        <w:rPr>
          <w:i/>
          <w:iCs/>
          <w:u w:val="single"/>
        </w:rPr>
        <w:t>the activities of which involve land/agricultural activities</w:t>
      </w:r>
      <w:r w:rsidR="0019098D" w:rsidRPr="0019098D">
        <w:rPr>
          <w:i/>
          <w:iCs/>
        </w:rPr>
        <w:t xml:space="preserve"> without sustainable land/agriculture practices or </w:t>
      </w:r>
      <w:proofErr w:type="gramStart"/>
      <w:r w:rsidR="0019098D" w:rsidRPr="0019098D">
        <w:rPr>
          <w:i/>
          <w:iCs/>
        </w:rPr>
        <w:t>policies’</w:t>
      </w:r>
      <w:proofErr w:type="gramEnd"/>
      <w:r w:rsidR="008640F8">
        <w:t xml:space="preserve">. </w:t>
      </w:r>
      <w:r w:rsidR="00D255F8">
        <w:t>Current</w:t>
      </w:r>
      <w:r w:rsidR="00CB1A39">
        <w:t xml:space="preserve"> formulae implies that</w:t>
      </w:r>
      <w:r w:rsidR="00D255F8">
        <w:t xml:space="preserve"> a portfolio can show 100% of companies without sustainable agricultural/land practices if not exposed to the agriculture sector. </w:t>
      </w:r>
      <w:proofErr w:type="gramStart"/>
      <w:r w:rsidR="007A75C7">
        <w:t xml:space="preserve">For </w:t>
      </w:r>
      <w:r w:rsidR="004E212E">
        <w:t xml:space="preserve">the </w:t>
      </w:r>
      <w:r w:rsidR="007A75C7">
        <w:t>production of</w:t>
      </w:r>
      <w:proofErr w:type="gramEnd"/>
      <w:r w:rsidR="007A75C7">
        <w:t xml:space="preserve"> energy </w:t>
      </w:r>
      <w:r w:rsidR="00EB1448">
        <w:t xml:space="preserve">(Table 1 indicator </w:t>
      </w:r>
      <w:r w:rsidR="00C06824">
        <w:t>4.</w:t>
      </w:r>
      <w:r w:rsidR="00FE19E2">
        <w:t xml:space="preserve">b) </w:t>
      </w:r>
      <w:r w:rsidR="00770FD9">
        <w:t xml:space="preserve"> </w:t>
      </w:r>
      <w:r w:rsidR="00770FD9">
        <w:sym w:font="Wingdings" w:char="F0E8"/>
      </w:r>
      <w:r w:rsidR="00770FD9">
        <w:t xml:space="preserve"> adjusting the formulae to include only companies producing energy in the scope </w:t>
      </w:r>
      <w:r w:rsidR="00283AE6">
        <w:t xml:space="preserve">and denominator </w:t>
      </w:r>
      <w:r w:rsidR="00770FD9">
        <w:t>(on the model of</w:t>
      </w:r>
      <w:r w:rsidR="00CA2CF6">
        <w:t xml:space="preserve"> formula</w:t>
      </w:r>
      <w:r w:rsidR="00283AE6">
        <w:t xml:space="preserve"> </w:t>
      </w:r>
      <w:r w:rsidR="00CA2CF6">
        <w:t>(</w:t>
      </w:r>
      <w:r w:rsidR="00283AE6">
        <w:t>23</w:t>
      </w:r>
      <w:r w:rsidR="00CA2CF6">
        <w:t>)</w:t>
      </w:r>
      <w:r w:rsidR="00283AE6">
        <w:t xml:space="preserve"> for </w:t>
      </w:r>
      <w:r w:rsidR="00A92F2E">
        <w:t xml:space="preserve">inefficient </w:t>
      </w:r>
      <w:r w:rsidR="00283AE6">
        <w:t xml:space="preserve">real estate). </w:t>
      </w:r>
      <w:r w:rsidR="001F5CFA">
        <w:t xml:space="preserve">As CDP data highlights the number of companies reporting to produce energy is much lower </w:t>
      </w:r>
      <w:r w:rsidR="00CA2CF6">
        <w:t>(</w:t>
      </w:r>
      <w:r w:rsidR="00BB75BE">
        <w:t xml:space="preserve">~ 50% lower) </w:t>
      </w:r>
      <w:r w:rsidR="001F5CFA">
        <w:t>than the number of companies consuming energy. If most companies in portfolios are producing 0 energy, the aggregated indicator will be a factor of many zeros weighted per share of total investments.</w:t>
      </w:r>
    </w:p>
    <w:p w14:paraId="1D0017FE" w14:textId="77777777" w:rsidR="00F203A6" w:rsidRDefault="00E42969" w:rsidP="00F203A6">
      <w:pPr>
        <w:pStyle w:val="ListParagraph"/>
        <w:numPr>
          <w:ilvl w:val="0"/>
          <w:numId w:val="44"/>
        </w:numPr>
      </w:pPr>
      <w:r>
        <w:t>Specific comment on</w:t>
      </w:r>
      <w:r w:rsidR="007C1241">
        <w:t xml:space="preserve"> </w:t>
      </w:r>
      <w:r w:rsidR="00685E64">
        <w:t>indicator PAI</w:t>
      </w:r>
      <w:r w:rsidR="008202B3">
        <w:t xml:space="preserve"> 7</w:t>
      </w:r>
      <w:r w:rsidR="00685E64">
        <w:t xml:space="preserve"> </w:t>
      </w:r>
      <w:r w:rsidR="008202B3">
        <w:t>‘</w:t>
      </w:r>
      <w:r w:rsidR="008202B3" w:rsidRPr="008202B3">
        <w:rPr>
          <w:rFonts w:ascii="Cambria Math" w:hAnsi="Cambria Math" w:cs="Cambria Math"/>
        </w:rPr>
        <w:t>𝑠𝑖𝑡𝑒𝑠</w:t>
      </w:r>
      <w:r w:rsidR="008202B3" w:rsidRPr="008202B3">
        <w:t xml:space="preserve"> </w:t>
      </w:r>
      <w:r w:rsidR="008202B3" w:rsidRPr="008202B3">
        <w:rPr>
          <w:rFonts w:ascii="Cambria Math" w:hAnsi="Cambria Math" w:cs="Cambria Math"/>
        </w:rPr>
        <w:t>𝑜𝑟</w:t>
      </w:r>
      <w:r w:rsidR="008202B3" w:rsidRPr="008202B3">
        <w:t xml:space="preserve"> </w:t>
      </w:r>
      <w:r w:rsidR="008202B3" w:rsidRPr="008202B3">
        <w:rPr>
          <w:rFonts w:ascii="Cambria Math" w:hAnsi="Cambria Math" w:cs="Cambria Math"/>
        </w:rPr>
        <w:t>𝑜𝑝𝑒𝑟𝑎𝑡𝑖𝑜𝑛𝑠</w:t>
      </w:r>
      <w:r w:rsidR="008202B3" w:rsidRPr="008202B3">
        <w:t xml:space="preserve"> </w:t>
      </w:r>
      <w:r w:rsidR="008202B3" w:rsidRPr="008202B3">
        <w:rPr>
          <w:rFonts w:ascii="Cambria Math" w:hAnsi="Cambria Math" w:cs="Cambria Math"/>
        </w:rPr>
        <w:t>𝑙𝑜𝑐𝑎𝑡𝑒𝑑</w:t>
      </w:r>
      <w:r w:rsidR="008202B3" w:rsidRPr="008202B3">
        <w:t xml:space="preserve"> </w:t>
      </w:r>
      <w:r w:rsidR="008202B3" w:rsidRPr="008202B3">
        <w:rPr>
          <w:rFonts w:ascii="Cambria Math" w:hAnsi="Cambria Math" w:cs="Cambria Math"/>
        </w:rPr>
        <w:t>𝑖𝑛</w:t>
      </w:r>
      <w:r w:rsidR="008202B3" w:rsidRPr="008202B3">
        <w:t xml:space="preserve"> </w:t>
      </w:r>
      <w:r w:rsidR="008202B3" w:rsidRPr="008202B3">
        <w:rPr>
          <w:rFonts w:ascii="Cambria Math" w:hAnsi="Cambria Math" w:cs="Cambria Math"/>
        </w:rPr>
        <w:t>𝑜𝑟</w:t>
      </w:r>
      <w:r w:rsidR="008202B3" w:rsidRPr="008202B3">
        <w:t xml:space="preserve"> </w:t>
      </w:r>
      <w:r w:rsidR="008202B3" w:rsidRPr="008202B3">
        <w:rPr>
          <w:rFonts w:ascii="Cambria Math" w:hAnsi="Cambria Math" w:cs="Cambria Math"/>
        </w:rPr>
        <w:t>𝑛𝑒𝑎𝑟</w:t>
      </w:r>
      <w:r w:rsidR="008202B3" w:rsidRPr="008202B3">
        <w:t xml:space="preserve"> </w:t>
      </w:r>
      <w:r w:rsidR="008202B3" w:rsidRPr="008202B3">
        <w:rPr>
          <w:rFonts w:ascii="Cambria Math" w:hAnsi="Cambria Math" w:cs="Cambria Math"/>
        </w:rPr>
        <w:t>𝑡𝑜</w:t>
      </w:r>
      <w:r w:rsidR="008202B3" w:rsidRPr="008202B3">
        <w:t xml:space="preserve"> </w:t>
      </w:r>
      <w:r w:rsidR="008202B3" w:rsidRPr="008202B3">
        <w:rPr>
          <w:rFonts w:ascii="Cambria Math" w:hAnsi="Cambria Math" w:cs="Cambria Math"/>
        </w:rPr>
        <w:t>𝑏𝑖𝑜𝑑𝑖𝑣𝑒𝑟𝑠𝑖𝑡𝑦</w:t>
      </w:r>
      <w:r w:rsidR="008202B3" w:rsidRPr="008202B3">
        <w:t xml:space="preserve"> </w:t>
      </w:r>
      <w:r w:rsidR="008202B3" w:rsidRPr="008202B3">
        <w:rPr>
          <w:rFonts w:ascii="Cambria Math" w:hAnsi="Cambria Math" w:cs="Cambria Math"/>
        </w:rPr>
        <w:t>𝑠𝑒𝑛𝑠𝑖𝑡𝑖𝑣𝑒</w:t>
      </w:r>
      <w:r w:rsidR="008202B3" w:rsidRPr="008202B3">
        <w:t xml:space="preserve"> </w:t>
      </w:r>
      <w:r w:rsidR="008202B3" w:rsidRPr="008202B3">
        <w:rPr>
          <w:rFonts w:ascii="Cambria Math" w:hAnsi="Cambria Math" w:cs="Cambria Math"/>
        </w:rPr>
        <w:t>𝑎𝑟𝑒𝑎𝑠</w:t>
      </w:r>
      <w:r w:rsidR="008202B3" w:rsidRPr="008202B3">
        <w:t xml:space="preserve"> </w:t>
      </w:r>
      <w:r w:rsidR="008202B3" w:rsidRPr="008202B3">
        <w:rPr>
          <w:rFonts w:ascii="Cambria Math" w:hAnsi="Cambria Math" w:cs="Cambria Math"/>
        </w:rPr>
        <w:t>𝑤ℎ𝑒𝑟𝑒</w:t>
      </w:r>
      <w:r w:rsidR="008202B3" w:rsidRPr="008202B3">
        <w:t xml:space="preserve"> </w:t>
      </w:r>
      <w:r w:rsidR="008202B3" w:rsidRPr="008202B3">
        <w:rPr>
          <w:rFonts w:ascii="Cambria Math" w:hAnsi="Cambria Math" w:cs="Cambria Math"/>
        </w:rPr>
        <w:t>𝑎𝑐𝑡𝑖𝑣𝑖𝑡𝑖𝑒𝑠</w:t>
      </w:r>
      <w:r w:rsidR="008202B3" w:rsidRPr="008202B3">
        <w:t xml:space="preserve"> </w:t>
      </w:r>
      <w:r w:rsidR="008202B3" w:rsidRPr="008202B3">
        <w:rPr>
          <w:rFonts w:ascii="Cambria Math" w:hAnsi="Cambria Math" w:cs="Cambria Math"/>
        </w:rPr>
        <w:t>𝑜𝑓</w:t>
      </w:r>
      <w:r w:rsidR="008202B3" w:rsidRPr="008202B3">
        <w:t xml:space="preserve"> </w:t>
      </w:r>
      <w:r w:rsidR="008202B3" w:rsidRPr="008202B3">
        <w:rPr>
          <w:rFonts w:ascii="Cambria Math" w:hAnsi="Cambria Math" w:cs="Cambria Math"/>
        </w:rPr>
        <w:t>𝑡ℎ𝑜𝑠𝑒</w:t>
      </w:r>
      <w:r w:rsidR="008202B3" w:rsidRPr="008202B3">
        <w:t xml:space="preserve"> </w:t>
      </w:r>
      <w:r w:rsidR="008202B3" w:rsidRPr="008202B3">
        <w:rPr>
          <w:rFonts w:ascii="Cambria Math" w:hAnsi="Cambria Math" w:cs="Cambria Math"/>
        </w:rPr>
        <w:t>𝑖𝑛𝑣𝑒𝑠𝑡𝑒𝑒</w:t>
      </w:r>
      <w:r w:rsidR="008202B3" w:rsidRPr="008202B3">
        <w:t xml:space="preserve"> </w:t>
      </w:r>
      <w:r w:rsidR="008202B3" w:rsidRPr="008202B3">
        <w:rPr>
          <w:rFonts w:ascii="Cambria Math" w:hAnsi="Cambria Math" w:cs="Cambria Math"/>
        </w:rPr>
        <w:t>𝑐𝑜𝑚𝑝𝑎𝑛𝑖𝑒𝑠</w:t>
      </w:r>
      <w:r w:rsidR="008202B3" w:rsidRPr="008202B3">
        <w:t xml:space="preserve"> </w:t>
      </w:r>
      <w:r w:rsidR="008202B3" w:rsidRPr="008202B3">
        <w:rPr>
          <w:rFonts w:ascii="Cambria Math" w:hAnsi="Cambria Math" w:cs="Cambria Math"/>
        </w:rPr>
        <w:t>𝑛𝑒𝑔𝑎𝑡𝑖𝑣𝑒𝑙𝑦</w:t>
      </w:r>
      <w:r w:rsidR="008202B3" w:rsidRPr="008202B3">
        <w:t xml:space="preserve"> </w:t>
      </w:r>
      <w:r w:rsidR="008202B3" w:rsidRPr="008202B3">
        <w:rPr>
          <w:rFonts w:ascii="Cambria Math" w:hAnsi="Cambria Math" w:cs="Cambria Math"/>
        </w:rPr>
        <w:t>𝑎𝑓𝑓𝑒𝑐𝑡</w:t>
      </w:r>
      <w:r w:rsidR="008202B3" w:rsidRPr="008202B3">
        <w:t xml:space="preserve"> </w:t>
      </w:r>
      <w:r w:rsidR="008202B3" w:rsidRPr="008202B3">
        <w:rPr>
          <w:rFonts w:ascii="Cambria Math" w:hAnsi="Cambria Math" w:cs="Cambria Math"/>
        </w:rPr>
        <w:t>𝑡ℎ𝑜𝑠𝑒</w:t>
      </w:r>
      <w:r w:rsidR="008202B3" w:rsidRPr="008202B3">
        <w:t xml:space="preserve"> </w:t>
      </w:r>
      <w:r w:rsidR="008202B3" w:rsidRPr="008202B3">
        <w:rPr>
          <w:rFonts w:ascii="Cambria Math" w:hAnsi="Cambria Math" w:cs="Cambria Math"/>
        </w:rPr>
        <w:t>𝑎𝑟𝑒𝑎</w:t>
      </w:r>
      <w:r w:rsidR="006110E8" w:rsidRPr="008202B3">
        <w:t>s</w:t>
      </w:r>
      <w:r w:rsidR="008202B3">
        <w:t>’</w:t>
      </w:r>
      <w:r w:rsidR="00FD3A82">
        <w:t>:</w:t>
      </w:r>
      <w:r w:rsidR="00BF3433">
        <w:t xml:space="preserve"> this year</w:t>
      </w:r>
      <w:r w:rsidR="00FD3A82">
        <w:t xml:space="preserve"> CDP is piloting a question</w:t>
      </w:r>
      <w:r w:rsidR="00BF3433">
        <w:t xml:space="preserve"> to collect data on this indicator directly from companies.</w:t>
      </w:r>
      <w:r w:rsidR="00FD3A82">
        <w:t xml:space="preserve"> </w:t>
      </w:r>
      <w:r w:rsidR="00BF3433">
        <w:t>I</w:t>
      </w:r>
      <w:r w:rsidR="00FD3A82">
        <w:t>nitial feedback from companies shows that proximity can be hard to define (5,10,20 km). Additionally, the concentration of activities near those areas can differ widely (i</w:t>
      </w:r>
      <w:r w:rsidR="00B56BF8">
        <w:t>.</w:t>
      </w:r>
      <w:r w:rsidR="00FD3A82">
        <w:t>e</w:t>
      </w:r>
      <w:r w:rsidR="00B56BF8">
        <w:t>.</w:t>
      </w:r>
      <w:r w:rsidR="00FD3A82">
        <w:t xml:space="preserve">, 1 </w:t>
      </w:r>
      <w:proofErr w:type="gramStart"/>
      <w:r w:rsidR="00FD3A82">
        <w:t>sites</w:t>
      </w:r>
      <w:proofErr w:type="gramEnd"/>
      <w:r w:rsidR="00FD3A82">
        <w:t xml:space="preserve"> or 5). </w:t>
      </w:r>
      <w:r w:rsidR="00BF3433">
        <w:t xml:space="preserve">CDP’s suggestion is </w:t>
      </w:r>
      <w:r w:rsidR="00FD3A82">
        <w:t xml:space="preserve">to specify that this should include any sites that are material to biodiversity sensitive areas (even </w:t>
      </w:r>
      <w:r w:rsidR="008F326A">
        <w:t>in far distance</w:t>
      </w:r>
      <w:r w:rsidR="003C1F4A">
        <w:rPr>
          <w:rStyle w:val="FootnoteReference"/>
        </w:rPr>
        <w:footnoteReference w:id="3"/>
      </w:r>
      <w:r w:rsidR="00FD3A82">
        <w:t xml:space="preserve">). </w:t>
      </w:r>
      <w:r w:rsidR="0060784F">
        <w:t>Additionally</w:t>
      </w:r>
      <w:r w:rsidR="00015A63">
        <w:t xml:space="preserve">, </w:t>
      </w:r>
      <w:r w:rsidR="00BF3433">
        <w:t xml:space="preserve">CDP </w:t>
      </w:r>
      <w:r w:rsidR="00015A63">
        <w:t>recommend</w:t>
      </w:r>
      <w:r w:rsidR="00BF3433">
        <w:t>s</w:t>
      </w:r>
      <w:r w:rsidR="00015A63">
        <w:t xml:space="preserve"> </w:t>
      </w:r>
      <w:proofErr w:type="gramStart"/>
      <w:r w:rsidR="0060784F">
        <w:t>to</w:t>
      </w:r>
      <w:r w:rsidR="00BF3433">
        <w:t xml:space="preserve"> </w:t>
      </w:r>
      <w:r w:rsidR="008C5F42">
        <w:t>increase</w:t>
      </w:r>
      <w:proofErr w:type="gramEnd"/>
      <w:r w:rsidR="0060784F">
        <w:t xml:space="preserve"> </w:t>
      </w:r>
      <w:r w:rsidR="00BF3433">
        <w:t>transparency related to</w:t>
      </w:r>
      <w:r w:rsidR="0060784F">
        <w:t xml:space="preserve"> E</w:t>
      </w:r>
      <w:r w:rsidR="00015A63">
        <w:t xml:space="preserve">nvironmental </w:t>
      </w:r>
      <w:r w:rsidR="0060784F">
        <w:t>I</w:t>
      </w:r>
      <w:r w:rsidR="00015A63">
        <w:t xml:space="preserve">mpact </w:t>
      </w:r>
      <w:r w:rsidR="0060784F">
        <w:t>A</w:t>
      </w:r>
      <w:r w:rsidR="00015A63">
        <w:t>ssessments</w:t>
      </w:r>
      <w:r w:rsidR="0060784F">
        <w:t xml:space="preserve"> </w:t>
      </w:r>
      <w:r w:rsidR="0004517F">
        <w:t>(</w:t>
      </w:r>
      <w:r>
        <w:t xml:space="preserve">such as their </w:t>
      </w:r>
      <w:r w:rsidR="0004517F">
        <w:t>publi</w:t>
      </w:r>
      <w:r>
        <w:t>cation</w:t>
      </w:r>
      <w:r w:rsidR="0004517F">
        <w:t>)</w:t>
      </w:r>
      <w:r w:rsidR="005237C8">
        <w:t xml:space="preserve"> for this criteria to </w:t>
      </w:r>
      <w:r w:rsidR="00440841">
        <w:t xml:space="preserve">be a convincing </w:t>
      </w:r>
      <w:r w:rsidR="006929EA">
        <w:t xml:space="preserve">evidence of mitigation measures </w:t>
      </w:r>
      <w:proofErr w:type="spellStart"/>
      <w:r w:rsidR="006929EA">
        <w:t>implimented</w:t>
      </w:r>
      <w:proofErr w:type="spellEnd"/>
      <w:r w:rsidR="0004517F">
        <w:t xml:space="preserve">. </w:t>
      </w:r>
    </w:p>
    <w:p w14:paraId="27A53D19" w14:textId="77777777" w:rsidR="00F203A6" w:rsidRDefault="00F203A6" w:rsidP="00F203A6">
      <w:r>
        <w:t xml:space="preserve">In terms of definition, CDP would welcome more guidance provided to market participants on how to interpret ‘sustainable practices’ for oceans/seas and agriculture/land, as well as which activities lead to land degradation, desertification, soil sealing (Table 2 indicator 10).  CDP recommends </w:t>
      </w:r>
      <w:proofErr w:type="gramStart"/>
      <w:r>
        <w:t>to specify</w:t>
      </w:r>
      <w:proofErr w:type="gramEnd"/>
      <w:r>
        <w:t xml:space="preserve"> further this definition on the model of the activities that negatively impact biodiversity (8) or to provide a list of high impact sectors on the model of climate high impact sectors.  </w:t>
      </w:r>
    </w:p>
    <w:p w14:paraId="493189EF" w14:textId="7BED5EA4" w:rsidR="00FD3A82" w:rsidRDefault="00F203A6" w:rsidP="00312A95">
      <w:r>
        <w:t xml:space="preserve">Finally, we noted some inconsistencies between the adverse impact indicators and the data points contained in the June publication of the ESRS drafts. For example, the ESRS differentiate between location-based or market-based scope 2 GHG emissions. The total is then calculated twice with both </w:t>
      </w:r>
      <w:r>
        <w:lastRenderedPageBreak/>
        <w:t>methodologies. The energy consumption intensity for high-impact sectors (Table 1 indicator 6) is calculated per high-impact sector i and the specific revenues derived from sector i (formula 7). In the ESRS, the company’s energy consumption intensity for high-impact sectors is calculated using the total of energy consumption and revenues derived from high-impact sectors (ESRS E1 - AR 37). CDP recommends a full alignment of the adverse impact indicators with the metrics defined in ESRS.  This includes units (i.e., Euros or Million Euros, MWh or GWh).</w:t>
      </w:r>
      <w:permEnd w:id="1948803207"/>
    </w:p>
    <w:p w14:paraId="74A72C72" w14:textId="5E60E296" w:rsidR="009C41BB" w:rsidRDefault="009C41BB" w:rsidP="00FD3A82">
      <w:r>
        <w:t>&lt;ESMA_QUESTION_SFDR_10&gt;</w:t>
      </w:r>
    </w:p>
    <w:p w14:paraId="4C60FA50" w14:textId="77777777" w:rsidR="009C41BB" w:rsidRDefault="009C41BB" w:rsidP="009C41BB"/>
    <w:p w14:paraId="3F6FB44A" w14:textId="77777777" w:rsidR="009C41BB" w:rsidRDefault="009C41BB" w:rsidP="009C41BB">
      <w:pPr>
        <w:pStyle w:val="Questionstyle"/>
        <w:numPr>
          <w:ilvl w:val="0"/>
          <w:numId w:val="42"/>
        </w:numPr>
      </w:pPr>
      <w:bookmarkStart w:id="10" w:name="_Hlk131609841"/>
      <w:r>
        <w:t>: Do you agree with the proposal to require the disclosure of the share of information for the PAI indicators for which the financial market participant relies on information directly from investee companies?</w:t>
      </w:r>
    </w:p>
    <w:bookmarkEnd w:id="10"/>
    <w:p w14:paraId="3B6463EF" w14:textId="77777777" w:rsidR="009C41BB" w:rsidRDefault="009C41BB" w:rsidP="009C41BB">
      <w:r>
        <w:t>&lt;ESMA_QUESTION_SFDR_11&gt;</w:t>
      </w:r>
    </w:p>
    <w:p w14:paraId="3265BB61" w14:textId="77777777" w:rsidR="00C641CC" w:rsidRDefault="00F63BBC" w:rsidP="007D32A7">
      <w:permStart w:id="1369532608" w:edGrp="everyone"/>
      <w:r>
        <w:t xml:space="preserve"> </w:t>
      </w:r>
      <w:r w:rsidR="007D32A7">
        <w:t xml:space="preserve">Yes. CDP welcomes the </w:t>
      </w:r>
      <w:r w:rsidR="007B338E">
        <w:t>transparency</w:t>
      </w:r>
      <w:r w:rsidR="007D32A7">
        <w:t xml:space="preserve"> </w:t>
      </w:r>
      <w:r w:rsidR="007B338E">
        <w:t xml:space="preserve">on the </w:t>
      </w:r>
      <w:r w:rsidR="007D32A7">
        <w:t xml:space="preserve">share of data </w:t>
      </w:r>
      <w:r w:rsidR="00CD48AF">
        <w:t xml:space="preserve">obtained directly from investee companies </w:t>
      </w:r>
      <w:r w:rsidR="007B338E">
        <w:t xml:space="preserve">in aggregated indicators. </w:t>
      </w:r>
    </w:p>
    <w:p w14:paraId="03D23C6D" w14:textId="77777777" w:rsidR="007D32A7" w:rsidRDefault="00BC2A65" w:rsidP="007D32A7">
      <w:r>
        <w:t>It could be useful to specify th</w:t>
      </w:r>
      <w:r w:rsidR="00CD48AF">
        <w:t xml:space="preserve">at this can </w:t>
      </w:r>
      <w:r w:rsidR="0084415D">
        <w:t xml:space="preserve">mean investee companies’ self-reported data </w:t>
      </w:r>
      <w:r w:rsidR="00DA3482">
        <w:t xml:space="preserve">in annual reports, </w:t>
      </w:r>
      <w:r w:rsidR="005A74E7">
        <w:t xml:space="preserve">obtained directly from companies by third-parties or obtained directly from companies by the investor. </w:t>
      </w:r>
      <w:r w:rsidR="0007578C">
        <w:t>Given CDP’s role as a global disclosure platform we see the value in centralizing reporting and dissem</w:t>
      </w:r>
      <w:r w:rsidR="003C43A8">
        <w:t xml:space="preserve">inating information rather </w:t>
      </w:r>
      <w:proofErr w:type="spellStart"/>
      <w:proofErr w:type="gramStart"/>
      <w:r w:rsidR="003C43A8">
        <w:t>then</w:t>
      </w:r>
      <w:proofErr w:type="spellEnd"/>
      <w:proofErr w:type="gramEnd"/>
      <w:r w:rsidR="003C43A8">
        <w:t xml:space="preserve"> each individual investors asking companies to share the information. We </w:t>
      </w:r>
      <w:r w:rsidR="003C4184">
        <w:t xml:space="preserve">also note that it would be more transparent to </w:t>
      </w:r>
      <w:r w:rsidR="003D6985">
        <w:t xml:space="preserve">have the following breakdown: </w:t>
      </w:r>
    </w:p>
    <w:p w14:paraId="3364E050" w14:textId="77777777" w:rsidR="003D6985" w:rsidRDefault="003D6985" w:rsidP="003D6985">
      <w:pPr>
        <w:pStyle w:val="ListParagraph"/>
        <w:numPr>
          <w:ilvl w:val="0"/>
          <w:numId w:val="45"/>
        </w:numPr>
      </w:pPr>
      <w:r>
        <w:t xml:space="preserve">company </w:t>
      </w:r>
      <w:r w:rsidR="007D32A7">
        <w:t xml:space="preserve">reported data, ii) estimated, iii) missing. </w:t>
      </w:r>
    </w:p>
    <w:p w14:paraId="3FFE382D" w14:textId="77777777" w:rsidR="007D32A7" w:rsidRDefault="009A4AD5" w:rsidP="003D6985">
      <w:r>
        <w:t xml:space="preserve">While </w:t>
      </w:r>
      <w:r w:rsidR="00927231">
        <w:t xml:space="preserve">companies are encouraged and increasingly </w:t>
      </w:r>
      <w:r>
        <w:t>disclos</w:t>
      </w:r>
      <w:r w:rsidR="00927231">
        <w:t xml:space="preserve">e their </w:t>
      </w:r>
      <w:r>
        <w:t xml:space="preserve">adverse impact information driven by investors’ </w:t>
      </w:r>
      <w:r w:rsidR="00927231">
        <w:t>needs</w:t>
      </w:r>
      <w:r w:rsidR="00BE46D1">
        <w:t xml:space="preserve"> or </w:t>
      </w:r>
      <w:r w:rsidR="006B4444">
        <w:t xml:space="preserve">their </w:t>
      </w:r>
      <w:r w:rsidR="00BE46D1">
        <w:t>own reporting requirements</w:t>
      </w:r>
      <w:r w:rsidR="00927231">
        <w:t xml:space="preserve">, </w:t>
      </w:r>
      <w:r w:rsidR="000733E0">
        <w:t>there is still missing data for certain type of companies or regions. In this case investors can either rescale the</w:t>
      </w:r>
      <w:r w:rsidR="00C641CC">
        <w:t xml:space="preserve"> indicator to adjust for </w:t>
      </w:r>
      <w:proofErr w:type="gramStart"/>
      <w:r w:rsidR="00C641CC">
        <w:t>coverage, or</w:t>
      </w:r>
      <w:proofErr w:type="gramEnd"/>
      <w:r w:rsidR="00C641CC">
        <w:t xml:space="preserve"> treat missing data as zeros. CDP would welcome additional guidance provided on the treatment of missing data. </w:t>
      </w:r>
    </w:p>
    <w:p w14:paraId="16BDEB65" w14:textId="77777777" w:rsidR="008661AE" w:rsidRDefault="008661AE" w:rsidP="003D6985">
      <w:r>
        <w:t xml:space="preserve">This recommendation is proportional to the one </w:t>
      </w:r>
      <w:r w:rsidR="00C82141">
        <w:t xml:space="preserve">currently proposed in the draft ESRS for company’s value chain estimations and disclosures (ESRS 2 </w:t>
      </w:r>
      <w:r w:rsidR="00431360">
        <w:t xml:space="preserve">DR BP-2). Companies should </w:t>
      </w:r>
      <w:r w:rsidR="00172929">
        <w:t xml:space="preserve">identify data </w:t>
      </w:r>
      <w:r w:rsidR="00537723">
        <w:t xml:space="preserve">estimated using indirect sources and identify estimation uncertainty. </w:t>
      </w:r>
      <w:r w:rsidR="009744F2">
        <w:t>Missing data should result in an e</w:t>
      </w:r>
      <w:r w:rsidR="008A3A46">
        <w:t>xplanation of best-efforts made to obtain necessary information</w:t>
      </w:r>
      <w:r w:rsidR="009744F2">
        <w:t>, reasons why the information could not be obtained and plans to obtain it in the future (ESRS 1</w:t>
      </w:r>
      <w:r w:rsidR="006B4444">
        <w:t xml:space="preserve"> -</w:t>
      </w:r>
      <w:r w:rsidR="009744F2">
        <w:t xml:space="preserve"> 10.2). </w:t>
      </w:r>
    </w:p>
    <w:p w14:paraId="13F1D003" w14:textId="5A8D3288" w:rsidR="009744F2" w:rsidRDefault="006370F6" w:rsidP="003D6985">
      <w:r>
        <w:t>Investors reporting on the suggested breakdown would not only increase transparency regarding the use of estimates and missing data (</w:t>
      </w:r>
      <w:r w:rsidR="006860EB">
        <w:t>missing data</w:t>
      </w:r>
      <w:r w:rsidR="008752AA">
        <w:t xml:space="preserve"> is</w:t>
      </w:r>
      <w:r w:rsidR="006860EB">
        <w:t xml:space="preserve"> </w:t>
      </w:r>
      <w:r>
        <w:t>also</w:t>
      </w:r>
      <w:r w:rsidR="008752AA">
        <w:t xml:space="preserve"> often</w:t>
      </w:r>
      <w:r>
        <w:t xml:space="preserve"> referred to as coverage</w:t>
      </w:r>
      <w:r w:rsidR="00A02EF2">
        <w:t xml:space="preserve"> ratio</w:t>
      </w:r>
      <w:r>
        <w:t xml:space="preserve">) </w:t>
      </w:r>
      <w:r w:rsidR="006860EB">
        <w:t>but would help provide valuable information on the topic of data availability</w:t>
      </w:r>
      <w:r w:rsidR="00A02EF2">
        <w:t xml:space="preserve"> </w:t>
      </w:r>
      <w:r w:rsidR="006860EB">
        <w:t>for adverse impact indicators. It could also encourage investors' engagement with their investee companies regarding the transparency of their adverse impacts.</w:t>
      </w:r>
      <w:permEnd w:id="1369532608"/>
    </w:p>
    <w:p w14:paraId="4F049EEF" w14:textId="23262F5F" w:rsidR="009C41BB" w:rsidRDefault="009C41BB" w:rsidP="000A47F0">
      <w:r>
        <w:lastRenderedPageBreak/>
        <w:t>&lt;ESMA_QUESTION_SFDR_11&gt;</w:t>
      </w:r>
    </w:p>
    <w:p w14:paraId="7F52045F" w14:textId="77777777" w:rsidR="009C41BB" w:rsidRDefault="009C41BB" w:rsidP="009C41BB"/>
    <w:p w14:paraId="087EB0A5" w14:textId="77777777" w:rsidR="009C41BB" w:rsidRDefault="009C41BB" w:rsidP="009C41BB">
      <w:pPr>
        <w:pStyle w:val="Questionstyle"/>
        <w:numPr>
          <w:ilvl w:val="0"/>
          <w:numId w:val="42"/>
        </w:numPr>
      </w:pPr>
      <w:r>
        <w:t>: What is your view on the approach taken in this consultation paper to define ‘all investments’? What are the advantages and drawbacks you identify? Would a change in the approach adopted for the treatment of ‘all investments’ be necessary in your view?</w:t>
      </w:r>
    </w:p>
    <w:p w14:paraId="7011E231" w14:textId="77777777" w:rsidR="00946285" w:rsidRDefault="009C41BB" w:rsidP="009C41BB">
      <w:r>
        <w:t>&lt;ESMA_QUESTION_SFDR_12&gt;</w:t>
      </w:r>
    </w:p>
    <w:p w14:paraId="054AB312" w14:textId="77777777" w:rsidR="00E742E0" w:rsidRDefault="00E742E0" w:rsidP="00E742E0">
      <w:permStart w:id="379405079" w:edGrp="everyone"/>
      <w:r>
        <w:t xml:space="preserve"> CDP agrees with the ESAs identified advantages and drawbacks on the definition of ‘all </w:t>
      </w:r>
      <w:proofErr w:type="gramStart"/>
      <w:r>
        <w:t>investments’, but</w:t>
      </w:r>
      <w:proofErr w:type="gramEnd"/>
      <w:r>
        <w:t xml:space="preserve"> would</w:t>
      </w:r>
      <w:r w:rsidRPr="00C45EF5">
        <w:t xml:space="preserve"> recommend to </w:t>
      </w:r>
      <w:r>
        <w:t>increase transparency regarding the</w:t>
      </w:r>
      <w:r w:rsidRPr="00C45EF5">
        <w:t xml:space="preserve"> </w:t>
      </w:r>
      <w:r>
        <w:t>percentage</w:t>
      </w:r>
      <w:r w:rsidRPr="00C45EF5">
        <w:t xml:space="preserve"> of</w:t>
      </w:r>
      <w:r>
        <w:t xml:space="preserve"> all investments</w:t>
      </w:r>
      <w:r w:rsidRPr="00C45EF5">
        <w:t xml:space="preserve"> covered by </w:t>
      </w:r>
      <w:r>
        <w:t xml:space="preserve">the PAI </w:t>
      </w:r>
      <w:r w:rsidRPr="00C45EF5">
        <w:t>indicator</w:t>
      </w:r>
      <w:r>
        <w:t>s (i.e., % of corporates in all investments, example below provided)</w:t>
      </w:r>
      <w:r w:rsidRPr="00C45EF5">
        <w:t xml:space="preserve">. </w:t>
      </w:r>
    </w:p>
    <w:p w14:paraId="1DC46AC5" w14:textId="77777777" w:rsidR="00E742E0" w:rsidRDefault="00E742E0" w:rsidP="00E742E0">
      <w:r w:rsidRPr="00BD479E">
        <w:rPr>
          <w:noProof/>
          <w:sz w:val="20"/>
          <w:szCs w:val="20"/>
        </w:rPr>
        <w:drawing>
          <wp:inline distT="0" distB="0" distL="0" distR="0" wp14:anchorId="70D6187C" wp14:editId="607645AE">
            <wp:extent cx="4489450" cy="1475262"/>
            <wp:effectExtent l="0" t="0" r="6350" b="0"/>
            <wp:docPr id="2121676596" name="Picture 2121676596" descr="A picture containing text, screenshot,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400565" name="Picture 1" descr="A picture containing text, screenshot, line, font&#10;&#10;Description automatically generated"/>
                    <pic:cNvPicPr/>
                  </pic:nvPicPr>
                  <pic:blipFill>
                    <a:blip r:embed="rId15"/>
                    <a:stretch>
                      <a:fillRect/>
                    </a:stretch>
                  </pic:blipFill>
                  <pic:spPr>
                    <a:xfrm>
                      <a:off x="0" y="0"/>
                      <a:ext cx="4535133" cy="1490274"/>
                    </a:xfrm>
                    <a:prstGeom prst="rect">
                      <a:avLst/>
                    </a:prstGeom>
                  </pic:spPr>
                </pic:pic>
              </a:graphicData>
            </a:graphic>
          </wp:inline>
        </w:drawing>
      </w:r>
    </w:p>
    <w:p w14:paraId="1340C802" w14:textId="77777777" w:rsidR="00CA1644" w:rsidRDefault="00900B75" w:rsidP="009C41BB">
      <w:r>
        <w:t xml:space="preserve">The analysis provided by the ESAs in the CP is </w:t>
      </w:r>
      <w:proofErr w:type="gramStart"/>
      <w:r>
        <w:t>valuable</w:t>
      </w:r>
      <w:proofErr w:type="gramEnd"/>
      <w:r>
        <w:t xml:space="preserve"> but </w:t>
      </w:r>
      <w:r w:rsidR="00F15936">
        <w:t xml:space="preserve">it </w:t>
      </w:r>
      <w:r w:rsidR="009A2622">
        <w:t xml:space="preserve">focuses on hypothetical FMPs that </w:t>
      </w:r>
      <w:r w:rsidR="00CA1644">
        <w:t xml:space="preserve">have 100% of their investments in asset classes captured by PAIs (corporates and government bonds). It </w:t>
      </w:r>
      <w:r w:rsidR="00F15936">
        <w:t xml:space="preserve">does not account for exposures to asset classes that are not covered by any adverse impact indicator (i.e., commodities, infrastructure, </w:t>
      </w:r>
      <w:r w:rsidR="00390232">
        <w:t xml:space="preserve">cash). </w:t>
      </w:r>
      <w:r w:rsidR="005A52A6">
        <w:t>This is where</w:t>
      </w:r>
      <w:r w:rsidR="00E81148">
        <w:t xml:space="preserve"> we see a risk that</w:t>
      </w:r>
      <w:r w:rsidR="005A52A6">
        <w:t xml:space="preserve"> the current definition of ‘all investments’ </w:t>
      </w:r>
      <w:r w:rsidR="00E742E0">
        <w:t>could</w:t>
      </w:r>
      <w:r w:rsidR="005A52A6">
        <w:t xml:space="preserve"> cause biases in the denominator for PAI calculations while being captured nowhere else. </w:t>
      </w:r>
    </w:p>
    <w:p w14:paraId="3745B04C" w14:textId="77777777" w:rsidR="00C45EF5" w:rsidRDefault="00390232" w:rsidP="009C41BB">
      <w:r>
        <w:t xml:space="preserve"> </w:t>
      </w:r>
      <w:r w:rsidR="006A5AAC">
        <w:t xml:space="preserve">Changing the definition of </w:t>
      </w:r>
      <w:r>
        <w:t>‘</w:t>
      </w:r>
      <w:r w:rsidR="006A5AAC">
        <w:t>A</w:t>
      </w:r>
      <w:r>
        <w:t xml:space="preserve">ll </w:t>
      </w:r>
      <w:proofErr w:type="gramStart"/>
      <w:r>
        <w:t>investment</w:t>
      </w:r>
      <w:r w:rsidR="006A5AAC">
        <w:t>s</w:t>
      </w:r>
      <w:r>
        <w:t>’</w:t>
      </w:r>
      <w:proofErr w:type="gramEnd"/>
      <w:r>
        <w:t xml:space="preserve"> will not</w:t>
      </w:r>
      <w:r w:rsidR="00D83170">
        <w:t xml:space="preserve"> have the same impact </w:t>
      </w:r>
      <w:r w:rsidR="007B59DF">
        <w:t>depending on the type of</w:t>
      </w:r>
      <w:r w:rsidR="006A5AAC">
        <w:t xml:space="preserve"> </w:t>
      </w:r>
      <w:r w:rsidR="00900E61">
        <w:t>aggregation methodologies</w:t>
      </w:r>
      <w:r w:rsidR="006A5AAC">
        <w:t xml:space="preserve">. </w:t>
      </w:r>
      <w:r>
        <w:t xml:space="preserve"> </w:t>
      </w:r>
      <w:r w:rsidR="00DE6185">
        <w:t xml:space="preserve">As per the example table below, financed emissions do not rely on the definition of all investments. </w:t>
      </w:r>
    </w:p>
    <w:tbl>
      <w:tblPr>
        <w:tblStyle w:val="TableGrid"/>
        <w:tblW w:w="0" w:type="auto"/>
        <w:tblLook w:val="04A0" w:firstRow="1" w:lastRow="0" w:firstColumn="1" w:lastColumn="0" w:noHBand="0" w:noVBand="1"/>
      </w:tblPr>
      <w:tblGrid>
        <w:gridCol w:w="1902"/>
        <w:gridCol w:w="3423"/>
        <w:gridCol w:w="3691"/>
      </w:tblGrid>
      <w:tr w:rsidR="00E742E0" w:rsidRPr="00521A01" w14:paraId="133A6901" w14:textId="77777777" w:rsidTr="007B0DA6">
        <w:trPr>
          <w:trHeight w:val="290"/>
        </w:trPr>
        <w:tc>
          <w:tcPr>
            <w:tcW w:w="4160" w:type="dxa"/>
            <w:noWrap/>
            <w:hideMark/>
          </w:tcPr>
          <w:p w14:paraId="07891699" w14:textId="77777777" w:rsidR="00E742E0" w:rsidRPr="00521A01" w:rsidRDefault="00E742E0" w:rsidP="007B0DA6">
            <w:pPr>
              <w:rPr>
                <w:b/>
                <w:bCs/>
                <w:sz w:val="20"/>
                <w:szCs w:val="20"/>
              </w:rPr>
            </w:pPr>
            <w:r w:rsidRPr="00521A01">
              <w:rPr>
                <w:b/>
                <w:bCs/>
                <w:sz w:val="20"/>
                <w:szCs w:val="20"/>
              </w:rPr>
              <w:t>Type of indicator</w:t>
            </w:r>
          </w:p>
        </w:tc>
        <w:tc>
          <w:tcPr>
            <w:tcW w:w="7720" w:type="dxa"/>
            <w:noWrap/>
            <w:hideMark/>
          </w:tcPr>
          <w:p w14:paraId="3134ADE5" w14:textId="77777777" w:rsidR="00E742E0" w:rsidRPr="00521A01" w:rsidRDefault="00E742E0" w:rsidP="007B0DA6">
            <w:pPr>
              <w:rPr>
                <w:b/>
                <w:bCs/>
                <w:sz w:val="20"/>
                <w:szCs w:val="20"/>
              </w:rPr>
            </w:pPr>
            <w:r w:rsidRPr="00521A01">
              <w:rPr>
                <w:b/>
                <w:bCs/>
                <w:sz w:val="20"/>
                <w:szCs w:val="20"/>
              </w:rPr>
              <w:t>Formulae</w:t>
            </w:r>
          </w:p>
        </w:tc>
        <w:tc>
          <w:tcPr>
            <w:tcW w:w="8347" w:type="dxa"/>
            <w:noWrap/>
            <w:hideMark/>
          </w:tcPr>
          <w:p w14:paraId="4CFFFA84" w14:textId="77777777" w:rsidR="00E742E0" w:rsidRPr="00521A01" w:rsidRDefault="00E742E0" w:rsidP="007B0DA6">
            <w:pPr>
              <w:rPr>
                <w:b/>
                <w:bCs/>
                <w:sz w:val="20"/>
                <w:szCs w:val="20"/>
              </w:rPr>
            </w:pPr>
            <w:r w:rsidRPr="00521A01">
              <w:rPr>
                <w:b/>
                <w:bCs/>
                <w:sz w:val="20"/>
                <w:szCs w:val="20"/>
              </w:rPr>
              <w:t xml:space="preserve">PAI Indicator </w:t>
            </w:r>
          </w:p>
        </w:tc>
      </w:tr>
      <w:tr w:rsidR="00E742E0" w:rsidRPr="00521A01" w14:paraId="040A5F4C" w14:textId="77777777" w:rsidTr="007B0DA6">
        <w:trPr>
          <w:trHeight w:val="290"/>
        </w:trPr>
        <w:tc>
          <w:tcPr>
            <w:tcW w:w="4160" w:type="dxa"/>
            <w:noWrap/>
            <w:hideMark/>
          </w:tcPr>
          <w:p w14:paraId="42DB170A" w14:textId="77777777" w:rsidR="00E742E0" w:rsidRPr="00521A01" w:rsidRDefault="00E742E0" w:rsidP="007B0DA6">
            <w:pPr>
              <w:rPr>
                <w:sz w:val="20"/>
                <w:szCs w:val="20"/>
              </w:rPr>
            </w:pPr>
            <w:r w:rsidRPr="00521A01">
              <w:rPr>
                <w:sz w:val="20"/>
                <w:szCs w:val="20"/>
              </w:rPr>
              <w:t xml:space="preserve">Financed metric </w:t>
            </w:r>
          </w:p>
        </w:tc>
        <w:tc>
          <w:tcPr>
            <w:tcW w:w="7720" w:type="dxa"/>
            <w:noWrap/>
            <w:hideMark/>
          </w:tcPr>
          <w:p w14:paraId="6A0FC601" w14:textId="77777777" w:rsidR="00E742E0" w:rsidRPr="00521A01" w:rsidRDefault="00E742E0" w:rsidP="007B0DA6">
            <w:pPr>
              <w:rPr>
                <w:sz w:val="20"/>
                <w:szCs w:val="20"/>
              </w:rPr>
            </w:pPr>
            <w:r w:rsidRPr="00521A01">
              <w:rPr>
                <w:sz w:val="20"/>
                <w:szCs w:val="20"/>
              </w:rPr>
              <w:t>Current value of investment / EV</w:t>
            </w:r>
            <w:r>
              <w:rPr>
                <w:sz w:val="20"/>
                <w:szCs w:val="20"/>
              </w:rPr>
              <w:t>IC</w:t>
            </w:r>
          </w:p>
        </w:tc>
        <w:tc>
          <w:tcPr>
            <w:tcW w:w="8347" w:type="dxa"/>
            <w:noWrap/>
            <w:hideMark/>
          </w:tcPr>
          <w:p w14:paraId="7A2BF95D" w14:textId="77777777" w:rsidR="00E742E0" w:rsidRPr="00521A01" w:rsidRDefault="00E742E0" w:rsidP="007B0DA6">
            <w:pPr>
              <w:rPr>
                <w:sz w:val="20"/>
                <w:szCs w:val="20"/>
              </w:rPr>
            </w:pPr>
            <w:r w:rsidRPr="00521A01">
              <w:rPr>
                <w:sz w:val="20"/>
                <w:szCs w:val="20"/>
              </w:rPr>
              <w:t>GHG emissions</w:t>
            </w:r>
          </w:p>
        </w:tc>
      </w:tr>
      <w:tr w:rsidR="00E742E0" w:rsidRPr="00521A01" w14:paraId="7D1EEC67" w14:textId="77777777" w:rsidTr="007B0DA6">
        <w:trPr>
          <w:trHeight w:val="290"/>
        </w:trPr>
        <w:tc>
          <w:tcPr>
            <w:tcW w:w="4160" w:type="dxa"/>
            <w:noWrap/>
            <w:hideMark/>
          </w:tcPr>
          <w:p w14:paraId="1CF6997D" w14:textId="77777777" w:rsidR="00E742E0" w:rsidRPr="00521A01" w:rsidRDefault="00E742E0" w:rsidP="007B0DA6">
            <w:pPr>
              <w:rPr>
                <w:sz w:val="20"/>
                <w:szCs w:val="20"/>
              </w:rPr>
            </w:pPr>
            <w:r w:rsidRPr="00521A01">
              <w:rPr>
                <w:sz w:val="20"/>
                <w:szCs w:val="20"/>
              </w:rPr>
              <w:t xml:space="preserve">footprint or intensity </w:t>
            </w:r>
          </w:p>
        </w:tc>
        <w:tc>
          <w:tcPr>
            <w:tcW w:w="7720" w:type="dxa"/>
            <w:noWrap/>
            <w:hideMark/>
          </w:tcPr>
          <w:p w14:paraId="3B6B10B3" w14:textId="77777777" w:rsidR="00E742E0" w:rsidRPr="00521A01" w:rsidRDefault="00E742E0" w:rsidP="007B0DA6">
            <w:pPr>
              <w:rPr>
                <w:sz w:val="20"/>
                <w:szCs w:val="20"/>
              </w:rPr>
            </w:pPr>
            <w:r w:rsidRPr="00521A01">
              <w:rPr>
                <w:sz w:val="20"/>
                <w:szCs w:val="20"/>
              </w:rPr>
              <w:t xml:space="preserve">Current value of investment / </w:t>
            </w:r>
            <w:r>
              <w:rPr>
                <w:sz w:val="20"/>
                <w:szCs w:val="20"/>
              </w:rPr>
              <w:t>(</w:t>
            </w:r>
            <w:r w:rsidRPr="00521A01">
              <w:rPr>
                <w:sz w:val="20"/>
                <w:szCs w:val="20"/>
              </w:rPr>
              <w:t>EVIC or revenue</w:t>
            </w:r>
            <w:r>
              <w:rPr>
                <w:sz w:val="20"/>
                <w:szCs w:val="20"/>
              </w:rPr>
              <w:t>)</w:t>
            </w:r>
            <w:r w:rsidRPr="00521A01">
              <w:rPr>
                <w:sz w:val="20"/>
                <w:szCs w:val="20"/>
              </w:rPr>
              <w:t xml:space="preserve"> / all investments </w:t>
            </w:r>
          </w:p>
        </w:tc>
        <w:tc>
          <w:tcPr>
            <w:tcW w:w="8347" w:type="dxa"/>
            <w:noWrap/>
            <w:hideMark/>
          </w:tcPr>
          <w:p w14:paraId="156C7706" w14:textId="77777777" w:rsidR="00E742E0" w:rsidRPr="00521A01" w:rsidRDefault="00E742E0" w:rsidP="007B0DA6">
            <w:pPr>
              <w:rPr>
                <w:sz w:val="20"/>
                <w:szCs w:val="20"/>
              </w:rPr>
            </w:pPr>
            <w:r w:rsidRPr="00521A01">
              <w:rPr>
                <w:sz w:val="20"/>
                <w:szCs w:val="20"/>
              </w:rPr>
              <w:t xml:space="preserve">GHG intensity, footprint, emissions to water, hazardous waste, energy consumption intensity </w:t>
            </w:r>
          </w:p>
        </w:tc>
      </w:tr>
      <w:tr w:rsidR="00E742E0" w:rsidRPr="00521A01" w14:paraId="7A809DB7" w14:textId="77777777" w:rsidTr="007B0DA6">
        <w:trPr>
          <w:trHeight w:val="290"/>
        </w:trPr>
        <w:tc>
          <w:tcPr>
            <w:tcW w:w="4160" w:type="dxa"/>
            <w:noWrap/>
            <w:hideMark/>
          </w:tcPr>
          <w:p w14:paraId="266039B5" w14:textId="77777777" w:rsidR="00E742E0" w:rsidRPr="00521A01" w:rsidRDefault="00E742E0" w:rsidP="007B0DA6">
            <w:pPr>
              <w:rPr>
                <w:sz w:val="20"/>
                <w:szCs w:val="20"/>
              </w:rPr>
            </w:pPr>
            <w:r w:rsidRPr="00521A01">
              <w:rPr>
                <w:sz w:val="20"/>
                <w:szCs w:val="20"/>
              </w:rPr>
              <w:t xml:space="preserve">weighted average </w:t>
            </w:r>
          </w:p>
        </w:tc>
        <w:tc>
          <w:tcPr>
            <w:tcW w:w="7720" w:type="dxa"/>
            <w:noWrap/>
            <w:hideMark/>
          </w:tcPr>
          <w:p w14:paraId="5492AC32" w14:textId="77777777" w:rsidR="00E742E0" w:rsidRPr="00521A01" w:rsidRDefault="00E742E0" w:rsidP="007B0DA6">
            <w:pPr>
              <w:rPr>
                <w:sz w:val="20"/>
                <w:szCs w:val="20"/>
              </w:rPr>
            </w:pPr>
            <w:r w:rsidRPr="00521A01">
              <w:rPr>
                <w:sz w:val="20"/>
                <w:szCs w:val="20"/>
              </w:rPr>
              <w:t xml:space="preserve">Current value of investment / all investments </w:t>
            </w:r>
          </w:p>
        </w:tc>
        <w:tc>
          <w:tcPr>
            <w:tcW w:w="8347" w:type="dxa"/>
            <w:noWrap/>
            <w:hideMark/>
          </w:tcPr>
          <w:p w14:paraId="19E4D308" w14:textId="77777777" w:rsidR="00E742E0" w:rsidRPr="00521A01" w:rsidRDefault="00E742E0" w:rsidP="007B0DA6">
            <w:pPr>
              <w:rPr>
                <w:sz w:val="20"/>
                <w:szCs w:val="20"/>
              </w:rPr>
            </w:pPr>
            <w:r w:rsidRPr="00521A01">
              <w:rPr>
                <w:sz w:val="20"/>
                <w:szCs w:val="20"/>
              </w:rPr>
              <w:t>All binary indicators,</w:t>
            </w:r>
            <w:r>
              <w:rPr>
                <w:sz w:val="20"/>
                <w:szCs w:val="20"/>
              </w:rPr>
              <w:t xml:space="preserve"> ratios like </w:t>
            </w:r>
            <w:r w:rsidRPr="00521A01">
              <w:rPr>
                <w:sz w:val="20"/>
                <w:szCs w:val="20"/>
              </w:rPr>
              <w:t>renewable energy consumption/production share in total</w:t>
            </w:r>
          </w:p>
        </w:tc>
      </w:tr>
    </w:tbl>
    <w:p w14:paraId="332F5E15" w14:textId="77777777" w:rsidR="00DE6185" w:rsidRDefault="00DE6185" w:rsidP="009C41BB"/>
    <w:p w14:paraId="3B3914FC" w14:textId="77777777" w:rsidR="006E54F5" w:rsidRDefault="006E54F5" w:rsidP="009C41BB">
      <w:r>
        <w:t>The definition of all investments by asset class covered by the PAI (i</w:t>
      </w:r>
      <w:r w:rsidR="00740B9B">
        <w:t>.</w:t>
      </w:r>
      <w:r>
        <w:t>e</w:t>
      </w:r>
      <w:r w:rsidR="00740B9B">
        <w:t>.,</w:t>
      </w:r>
      <w:r>
        <w:t xml:space="preserve"> all investments in corporates) is well suited to </w:t>
      </w:r>
      <w:r w:rsidR="005040AE">
        <w:t>compare allocation decisions within an asset class (</w:t>
      </w:r>
      <w:r w:rsidR="00C22CD6">
        <w:t xml:space="preserve">stock </w:t>
      </w:r>
      <w:r w:rsidR="005040AE">
        <w:t xml:space="preserve">selection and weight) </w:t>
      </w:r>
      <w:r w:rsidR="0076533E" w:rsidRPr="0076533E">
        <w:t xml:space="preserve">and </w:t>
      </w:r>
      <w:r w:rsidR="0076533E" w:rsidRPr="0076533E">
        <w:lastRenderedPageBreak/>
        <w:t>across FMPs, although it doesn’t reflect the total amount of money invested</w:t>
      </w:r>
      <w:r w:rsidR="00900E61">
        <w:t xml:space="preserve"> by the FMP (size agnostic)</w:t>
      </w:r>
      <w:r w:rsidR="0076533E">
        <w:t xml:space="preserve">. </w:t>
      </w:r>
      <w:r w:rsidR="00632955">
        <w:t>With the</w:t>
      </w:r>
      <w:r w:rsidR="009C3A96">
        <w:t xml:space="preserve"> current definition of all investment</w:t>
      </w:r>
      <w:r w:rsidR="003A6BE0">
        <w:t>s</w:t>
      </w:r>
      <w:r w:rsidR="009C3A96">
        <w:t xml:space="preserve"> </w:t>
      </w:r>
      <w:r w:rsidR="00E066C8">
        <w:t xml:space="preserve">the </w:t>
      </w:r>
      <w:r w:rsidR="00EF1C52">
        <w:t xml:space="preserve">adverse </w:t>
      </w:r>
      <w:r w:rsidR="00E742E0">
        <w:t>impact</w:t>
      </w:r>
      <w:r w:rsidR="00E066C8">
        <w:t xml:space="preserve"> indicators are very sensitive to the share of the asset class in the total </w:t>
      </w:r>
      <w:r w:rsidR="00B55321">
        <w:t>(i.e., share of corporates / all investments)</w:t>
      </w:r>
      <w:r w:rsidR="00740B9B">
        <w:t xml:space="preserve"> </w:t>
      </w:r>
      <w:r w:rsidR="00740B9B">
        <w:sym w:font="Wingdings" w:char="F0E8"/>
      </w:r>
      <w:r w:rsidR="00740B9B">
        <w:t xml:space="preserve"> an FMP can invest more money into high emitting </w:t>
      </w:r>
      <w:r w:rsidR="004E4C99">
        <w:t>companies but if its share of corporate</w:t>
      </w:r>
      <w:r w:rsidR="00E05EF4">
        <w:t>s</w:t>
      </w:r>
      <w:r w:rsidR="004E4C99">
        <w:t xml:space="preserve"> in total assets</w:t>
      </w:r>
      <w:r w:rsidR="00B55321">
        <w:t xml:space="preserve"> </w:t>
      </w:r>
      <w:r w:rsidR="004E4C99">
        <w:t>is lower than a smaller FMP</w:t>
      </w:r>
      <w:r w:rsidR="00E05EF4">
        <w:t>,</w:t>
      </w:r>
      <w:r w:rsidR="004E4C99">
        <w:t xml:space="preserve"> then </w:t>
      </w:r>
      <w:r w:rsidR="00060FFD">
        <w:t>its GHG intensity will appear lower (for a</w:t>
      </w:r>
      <w:r w:rsidR="00E05EF4">
        <w:t>n exactly</w:t>
      </w:r>
      <w:r w:rsidR="00060FFD">
        <w:t xml:space="preserve"> similar portfolio of companies). </w:t>
      </w:r>
      <w:r w:rsidR="00B55321">
        <w:t xml:space="preserve"> </w:t>
      </w:r>
      <w:r w:rsidR="00E066C8">
        <w:t xml:space="preserve"> </w:t>
      </w:r>
    </w:p>
    <w:p w14:paraId="17E6DAB8" w14:textId="77777777" w:rsidR="008F4A11" w:rsidRDefault="008F4A11" w:rsidP="009C41BB">
      <w:r w:rsidRPr="008F4A11">
        <w:t>CDP recommends that if th</w:t>
      </w:r>
      <w:r>
        <w:t xml:space="preserve">e current definition of all investments is retained, </w:t>
      </w:r>
      <w:r w:rsidR="00A85389">
        <w:t xml:space="preserve">to </w:t>
      </w:r>
      <w:r w:rsidR="0082512C">
        <w:t>add the percentage</w:t>
      </w:r>
      <w:r w:rsidR="0082512C" w:rsidRPr="00C45EF5">
        <w:t xml:space="preserve"> of</w:t>
      </w:r>
      <w:r w:rsidR="0082512C">
        <w:t xml:space="preserve"> all investments</w:t>
      </w:r>
      <w:r w:rsidR="0082512C" w:rsidRPr="00C45EF5">
        <w:t xml:space="preserve"> covered by </w:t>
      </w:r>
      <w:r w:rsidR="0082512C">
        <w:t xml:space="preserve">PAI </w:t>
      </w:r>
      <w:r w:rsidR="0082512C" w:rsidRPr="00C45EF5">
        <w:t>indicator</w:t>
      </w:r>
      <w:r w:rsidR="0082512C">
        <w:t xml:space="preserve"> (not in terms of data coverage but in terms of </w:t>
      </w:r>
      <w:r w:rsidR="00D57985">
        <w:t xml:space="preserve">asset class exposure), </w:t>
      </w:r>
      <w:r w:rsidR="0082512C">
        <w:t xml:space="preserve">as suggested above. </w:t>
      </w:r>
    </w:p>
    <w:p w14:paraId="0D5B7259" w14:textId="7A776992" w:rsidR="00D57985" w:rsidRPr="008F4A11" w:rsidRDefault="00D57985" w:rsidP="009C41BB">
      <w:r>
        <w:t xml:space="preserve">As per question 9, we </w:t>
      </w:r>
      <w:r w:rsidR="007A0F18">
        <w:t>also point out that if more indicators are calculated on the model of financed emissions the</w:t>
      </w:r>
      <w:r w:rsidR="00D32AD1">
        <w:t>re</w:t>
      </w:r>
      <w:r w:rsidR="007A0F18">
        <w:t xml:space="preserve"> would</w:t>
      </w:r>
      <w:r w:rsidR="00D32AD1">
        <w:t xml:space="preserve"> be less sensitivity to the definition of all investments. </w:t>
      </w:r>
      <w:permEnd w:id="379405079"/>
    </w:p>
    <w:p w14:paraId="0ECB2AE8" w14:textId="023E9CED" w:rsidR="009C41BB" w:rsidRPr="00D57985" w:rsidRDefault="009C41BB" w:rsidP="009C41BB">
      <w:r w:rsidRPr="00D57985">
        <w:t>&lt;ESMA_QUESTION_SFDR_12&gt;</w:t>
      </w:r>
    </w:p>
    <w:p w14:paraId="2339BDE1" w14:textId="77777777" w:rsidR="009C41BB" w:rsidRPr="00D57985" w:rsidRDefault="009C41BB" w:rsidP="009C41BB"/>
    <w:p w14:paraId="79363208" w14:textId="77777777" w:rsidR="009C41BB" w:rsidRDefault="009C41BB" w:rsidP="009C41BB">
      <w:pPr>
        <w:pStyle w:val="Questionstyle"/>
        <w:numPr>
          <w:ilvl w:val="0"/>
          <w:numId w:val="42"/>
        </w:numPr>
      </w:pPr>
      <w:r>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Default="009C41BB" w:rsidP="009C41BB">
      <w:r>
        <w:t>&lt;ESMA_QUESTION_SFDR_13&gt;</w:t>
      </w:r>
    </w:p>
    <w:p w14:paraId="07B8A78C" w14:textId="77777777" w:rsidR="009C41BB" w:rsidRDefault="009C41BB" w:rsidP="009C41BB">
      <w:permStart w:id="1426525783" w:edGrp="everyone"/>
      <w:r>
        <w:t>TYPE YOUR TEXT HERE</w:t>
      </w:r>
    </w:p>
    <w:permEnd w:id="1426525783"/>
    <w:p w14:paraId="52004960" w14:textId="77777777" w:rsidR="009C41BB" w:rsidRDefault="009C41BB" w:rsidP="009C41BB">
      <w:r>
        <w:t>&lt;ESMA_QUESTION_SFDR_13&gt;</w:t>
      </w:r>
    </w:p>
    <w:p w14:paraId="700BC575" w14:textId="77777777" w:rsidR="009C41BB" w:rsidRDefault="009C41BB" w:rsidP="009C41BB"/>
    <w:p w14:paraId="0EA314B0" w14:textId="77777777" w:rsidR="009C41BB" w:rsidRDefault="009C41BB" w:rsidP="009C41BB">
      <w:pPr>
        <w:pStyle w:val="Questionstyle"/>
        <w:numPr>
          <w:ilvl w:val="0"/>
          <w:numId w:val="42"/>
        </w:numPr>
      </w:pPr>
      <w:r>
        <w:t xml:space="preserve">: Do you agree with the proposed treatment of derivatives in the PAI </w:t>
      </w:r>
      <w:proofErr w:type="gramStart"/>
      <w:r>
        <w:t>indicators</w:t>
      </w:r>
      <w:proofErr w:type="gramEnd"/>
      <w:r>
        <w:t xml:space="preserve"> or would you suggest any other method?</w:t>
      </w:r>
    </w:p>
    <w:p w14:paraId="215D6F18" w14:textId="77777777" w:rsidR="009C41BB" w:rsidRDefault="009C41BB" w:rsidP="009C41BB">
      <w:r>
        <w:t>&lt;ESMA_QUESTION_SFDR_14&gt;</w:t>
      </w:r>
    </w:p>
    <w:p w14:paraId="187BA651" w14:textId="77777777" w:rsidR="009C41BB" w:rsidRDefault="009C41BB" w:rsidP="009C41BB">
      <w:permStart w:id="1609050593" w:edGrp="everyone"/>
      <w:r>
        <w:t>TYPE YOUR TEXT HERE</w:t>
      </w:r>
    </w:p>
    <w:permEnd w:id="1609050593"/>
    <w:p w14:paraId="5AA8268C" w14:textId="77777777" w:rsidR="009C41BB" w:rsidRDefault="009C41BB" w:rsidP="009C41BB">
      <w:r>
        <w:t>&lt;ESMA_QUESTION_SFDR_14&gt;</w:t>
      </w:r>
    </w:p>
    <w:p w14:paraId="7FDBC0BE" w14:textId="77777777" w:rsidR="009C41BB" w:rsidRDefault="009C41BB" w:rsidP="009C41BB"/>
    <w:p w14:paraId="2C7E2AD7" w14:textId="77777777" w:rsidR="009C41BB" w:rsidRDefault="009C41BB" w:rsidP="009C41BB">
      <w:pPr>
        <w:pStyle w:val="Questionstyle"/>
        <w:numPr>
          <w:ilvl w:val="0"/>
          <w:numId w:val="42"/>
        </w:numPr>
      </w:pPr>
      <w:r>
        <w:t xml:space="preserve">: What are your views </w:t>
      </w:r>
      <w:proofErr w:type="gramStart"/>
      <w:r>
        <w:t>with regard to</w:t>
      </w:r>
      <w:proofErr w:type="gramEnd"/>
      <w:r>
        <w:t xml:space="preserve">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9C41BB">
      <w:r>
        <w:t>&lt;ESMA_QUESTION_SFDR_15&gt;</w:t>
      </w:r>
    </w:p>
    <w:p w14:paraId="14A8C247" w14:textId="77777777" w:rsidR="009C41BB" w:rsidRDefault="009C41BB" w:rsidP="009C41BB">
      <w:permStart w:id="8979202" w:edGrp="everyone"/>
      <w:r>
        <w:lastRenderedPageBreak/>
        <w:t>TYPE YOUR TEXT HERE</w:t>
      </w:r>
    </w:p>
    <w:permEnd w:id="8979202"/>
    <w:p w14:paraId="2931ECD8" w14:textId="77777777" w:rsidR="009C41BB" w:rsidRDefault="009C41BB" w:rsidP="009C41BB">
      <w:r>
        <w:t>&lt;ESMA_QUESTION_SFDR_15&gt;</w:t>
      </w:r>
    </w:p>
    <w:p w14:paraId="7B57E625" w14:textId="77777777" w:rsidR="009C41BB" w:rsidRDefault="009C41BB" w:rsidP="009C41BB"/>
    <w:p w14:paraId="762504D0" w14:textId="77777777" w:rsidR="009C41BB" w:rsidRDefault="009C41BB" w:rsidP="009C41BB">
      <w:pPr>
        <w:pStyle w:val="Questionstyle"/>
        <w:numPr>
          <w:ilvl w:val="0"/>
          <w:numId w:val="42"/>
        </w:numPr>
        <w:rPr>
          <w:rFonts w:cstheme="minorHAnsi"/>
          <w:color w:val="000000"/>
        </w:rPr>
      </w:pPr>
      <w:r>
        <w:t>: Do you see the need to extend the scope of the provisions of point g of paragraph 1 of Article 17 of the SFDR Delegated Regulation to asset classes other than equity and sovereign exposures?</w:t>
      </w:r>
    </w:p>
    <w:p w14:paraId="053684A5" w14:textId="77777777" w:rsidR="009C41BB" w:rsidRDefault="009C41BB" w:rsidP="009C41BB">
      <w:r>
        <w:t>&lt;ESMA_QUESTION_SFDR_16&gt;</w:t>
      </w:r>
    </w:p>
    <w:p w14:paraId="178B62C5" w14:textId="77777777" w:rsidR="009C41BB" w:rsidRDefault="009C41BB" w:rsidP="009C41BB">
      <w:permStart w:id="1228814638" w:edGrp="everyone"/>
      <w:r>
        <w:t>TYPE YOUR TEXT HERE</w:t>
      </w:r>
    </w:p>
    <w:permEnd w:id="1228814638"/>
    <w:p w14:paraId="5958D537" w14:textId="77777777" w:rsidR="009C41BB" w:rsidRDefault="009C41BB" w:rsidP="009C41BB">
      <w:r>
        <w:t>&lt;ESMA_QUESTION_SFDR_16&gt;</w:t>
      </w:r>
    </w:p>
    <w:p w14:paraId="3FF87AEB" w14:textId="77777777" w:rsidR="009C41BB" w:rsidRDefault="009C41BB" w:rsidP="009C41BB"/>
    <w:p w14:paraId="3A905E57" w14:textId="77777777" w:rsidR="009C41BB" w:rsidRDefault="009C41BB" w:rsidP="009C41BB">
      <w:pPr>
        <w:pStyle w:val="Questionstyle"/>
        <w:numPr>
          <w:ilvl w:val="0"/>
          <w:numId w:val="42"/>
        </w:numPr>
      </w:pPr>
      <w:r>
        <w:t>: Do you agree with the ESAs’ assessment of the DNSH framework under SFDR?</w:t>
      </w:r>
    </w:p>
    <w:p w14:paraId="4F8008B2" w14:textId="77777777" w:rsidR="009C41BB" w:rsidRDefault="009C41BB" w:rsidP="009C41BB">
      <w:r>
        <w:t>&lt;ESMA_QUESTION_SFDR_17&gt;</w:t>
      </w:r>
    </w:p>
    <w:p w14:paraId="7DDA6D60" w14:textId="77777777" w:rsidR="009C41BB" w:rsidRDefault="009C41BB" w:rsidP="009C41BB">
      <w:permStart w:id="791154279" w:edGrp="everyone"/>
      <w:r>
        <w:t>TYPE YOUR TEXT HERE</w:t>
      </w:r>
    </w:p>
    <w:permEnd w:id="791154279"/>
    <w:p w14:paraId="3FA2FE7A" w14:textId="77777777" w:rsidR="009C41BB" w:rsidRDefault="009C41BB" w:rsidP="009C41BB">
      <w:r>
        <w:t>&lt;ESMA_QUESTION_SFDR_17&gt;</w:t>
      </w:r>
    </w:p>
    <w:p w14:paraId="6B0958DF" w14:textId="77777777" w:rsidR="009C41BB" w:rsidRDefault="009C41BB" w:rsidP="009C41BB"/>
    <w:p w14:paraId="60A358F2" w14:textId="77777777" w:rsidR="009C41BB" w:rsidRDefault="009C41BB" w:rsidP="009C41BB">
      <w:pPr>
        <w:pStyle w:val="Questionstyle"/>
        <w:numPr>
          <w:ilvl w:val="0"/>
          <w:numId w:val="42"/>
        </w:numPr>
      </w:pPr>
      <w:r>
        <w:t xml:space="preserve">: </w:t>
      </w:r>
      <w:proofErr w:type="gramStart"/>
      <w:r>
        <w:t>With regard to</w:t>
      </w:r>
      <w:proofErr w:type="gramEnd"/>
      <w:r>
        <w:t xml:space="preserve"> the DNSH disclosures in the SFDR Delegated Regulation, do you consider it relevant to make disclosures about the quantitative thresholds FMPs use to take into account the PAI indicators for DNSH purposes mandatory? Please explain your reasoning.</w:t>
      </w:r>
    </w:p>
    <w:p w14:paraId="1965E66D" w14:textId="3057D136" w:rsidR="009C41BB" w:rsidRDefault="009C41BB" w:rsidP="009C41BB">
      <w:r>
        <w:t>&lt;ESMA_QUESTION_SFDR_18&gt;</w:t>
      </w:r>
    </w:p>
    <w:p w14:paraId="46B648CA" w14:textId="77777777" w:rsidR="000B378A" w:rsidRDefault="00814259" w:rsidP="00EB2F3C">
      <w:permStart w:id="910564888" w:edGrp="everyone"/>
      <w:r>
        <w:t xml:space="preserve"> </w:t>
      </w:r>
      <w:r w:rsidRPr="00D242F1">
        <w:t>Yes</w:t>
      </w:r>
      <w:r>
        <w:t>, CDP fully supports</w:t>
      </w:r>
      <w:r w:rsidR="00152B70" w:rsidDel="00B61205">
        <w:t xml:space="preserve"> </w:t>
      </w:r>
      <w:r w:rsidR="00152B70">
        <w:t xml:space="preserve">the ESAs </w:t>
      </w:r>
      <w:r w:rsidR="00B61205">
        <w:t xml:space="preserve">suggestion </w:t>
      </w:r>
      <w:r w:rsidR="00152B70">
        <w:t xml:space="preserve">to </w:t>
      </w:r>
      <w:r w:rsidR="00F76315">
        <w:t xml:space="preserve">make DNSH thresholds disclosures mandatory. This </w:t>
      </w:r>
      <w:proofErr w:type="gramStart"/>
      <w:r w:rsidR="00F76315">
        <w:t>on the basis of</w:t>
      </w:r>
      <w:proofErr w:type="gramEnd"/>
      <w:r w:rsidR="00F76315">
        <w:t xml:space="preserve"> </w:t>
      </w:r>
      <w:r w:rsidR="00F76315" w:rsidRPr="00D242F1">
        <w:t xml:space="preserve">i) transparency, ii) </w:t>
      </w:r>
      <w:r w:rsidR="00F76315">
        <w:t xml:space="preserve">increased </w:t>
      </w:r>
      <w:r w:rsidR="00F76315" w:rsidRPr="00D242F1">
        <w:t xml:space="preserve">comparability, iii) </w:t>
      </w:r>
      <w:r w:rsidR="00F76315">
        <w:t xml:space="preserve">reduced </w:t>
      </w:r>
      <w:r w:rsidR="00F76315" w:rsidRPr="00D242F1">
        <w:t>greenwashing risks</w:t>
      </w:r>
      <w:r w:rsidR="00F76315">
        <w:t>.</w:t>
      </w:r>
    </w:p>
    <w:p w14:paraId="5A133816" w14:textId="77777777" w:rsidR="00F04A66" w:rsidRDefault="00EB2F3C" w:rsidP="00EB2F3C">
      <w:r>
        <w:t xml:space="preserve">In absence of guidance, </w:t>
      </w:r>
      <w:proofErr w:type="gramStart"/>
      <w:r>
        <w:t>threshold based</w:t>
      </w:r>
      <w:proofErr w:type="gramEnd"/>
      <w:r>
        <w:t xml:space="preserve"> methodologies require transparency to enable comparability and avoid greenwashing risks (i</w:t>
      </w:r>
      <w:r w:rsidR="00F76315">
        <w:t>.</w:t>
      </w:r>
      <w:r>
        <w:t>e</w:t>
      </w:r>
      <w:r w:rsidR="00F76315">
        <w:t>.,</w:t>
      </w:r>
      <w:r>
        <w:t xml:space="preserve"> 25% threshold or 20%; or 15% will make </w:t>
      </w:r>
      <w:r w:rsidR="00F76315">
        <w:t>the percentage of sustainable investments in a</w:t>
      </w:r>
      <w:r>
        <w:t xml:space="preserve"> portfolio look very different). </w:t>
      </w:r>
      <w:r w:rsidR="000A0627">
        <w:t xml:space="preserve">For coherence of the framework and proportionality purposes, </w:t>
      </w:r>
      <w:r w:rsidR="00130FA0">
        <w:t>the</w:t>
      </w:r>
      <w:r w:rsidR="000A0627">
        <w:t xml:space="preserve"> ESRS</w:t>
      </w:r>
      <w:r w:rsidR="00130FA0">
        <w:t xml:space="preserve"> </w:t>
      </w:r>
      <w:r w:rsidR="000A0627">
        <w:t>guidance on materiality assessment o</w:t>
      </w:r>
      <w:r w:rsidR="00CE260A">
        <w:t>f</w:t>
      </w:r>
      <w:r w:rsidR="000A0627">
        <w:t xml:space="preserve"> </w:t>
      </w:r>
      <w:r w:rsidR="00CE260A">
        <w:t xml:space="preserve">actual and potential impacts on </w:t>
      </w:r>
      <w:r w:rsidR="000A0627">
        <w:t xml:space="preserve">sustainability </w:t>
      </w:r>
      <w:r w:rsidR="00532831">
        <w:t>matters</w:t>
      </w:r>
      <w:r w:rsidR="000A0627">
        <w:t xml:space="preserve"> </w:t>
      </w:r>
      <w:r w:rsidR="000A2DCD">
        <w:t>mentions</w:t>
      </w:r>
      <w:r w:rsidR="000A0627">
        <w:t xml:space="preserve"> </w:t>
      </w:r>
      <w:r w:rsidR="00CE260A">
        <w:t xml:space="preserve">the use of </w:t>
      </w:r>
      <w:r w:rsidR="000A0627">
        <w:t>thresholds</w:t>
      </w:r>
      <w:r w:rsidR="00CE260A">
        <w:t xml:space="preserve"> </w:t>
      </w:r>
      <w:r w:rsidR="00F04A66">
        <w:t>(i.e., ESRS 1 AR 9)</w:t>
      </w:r>
      <w:r w:rsidR="000A0627">
        <w:t xml:space="preserve">. </w:t>
      </w:r>
    </w:p>
    <w:p w14:paraId="2E5B8181" w14:textId="77777777" w:rsidR="00EB2F3C" w:rsidRDefault="005C6084" w:rsidP="00EB2F3C">
      <w:r>
        <w:t xml:space="preserve">CDP notes </w:t>
      </w:r>
      <w:r w:rsidR="002F5D06">
        <w:t xml:space="preserve">existing difficulties to </w:t>
      </w:r>
      <w:r w:rsidR="00B83951">
        <w:t xml:space="preserve">set quantitative thresholds, and so </w:t>
      </w:r>
      <w:r w:rsidR="002F5D06">
        <w:t xml:space="preserve">encourages </w:t>
      </w:r>
      <w:r w:rsidR="0042112E">
        <w:t xml:space="preserve">the ESAs </w:t>
      </w:r>
      <w:r w:rsidR="00EB2F3C">
        <w:t>to provide guidance/min</w:t>
      </w:r>
      <w:r w:rsidR="00F76315">
        <w:t>imum</w:t>
      </w:r>
      <w:r w:rsidR="00EB2F3C">
        <w:t xml:space="preserve"> requirements for estimation of DNSH using PAIs. </w:t>
      </w:r>
      <w:r w:rsidR="00F76315">
        <w:t xml:space="preserve">We provide a similar </w:t>
      </w:r>
      <w:r w:rsidR="00EB2F3C">
        <w:t>comment below for</w:t>
      </w:r>
      <w:r w:rsidR="00F76315">
        <w:t xml:space="preserve"> the definition of</w:t>
      </w:r>
      <w:r w:rsidR="00EB2F3C">
        <w:t xml:space="preserve"> </w:t>
      </w:r>
      <w:r w:rsidR="00D723E9">
        <w:t>s</w:t>
      </w:r>
      <w:r w:rsidR="00EB2F3C">
        <w:t xml:space="preserve">ustainable investments. </w:t>
      </w:r>
    </w:p>
    <w:p w14:paraId="0783FFB8" w14:textId="77777777" w:rsidR="005C6084" w:rsidRDefault="00B83951" w:rsidP="00EB2F3C">
      <w:r>
        <w:lastRenderedPageBreak/>
        <w:t xml:space="preserve">We also </w:t>
      </w:r>
      <w:r w:rsidR="005234B9">
        <w:t>warn that DNSH threshold</w:t>
      </w:r>
      <w:r w:rsidR="002F5D06">
        <w:t>s</w:t>
      </w:r>
      <w:r w:rsidR="005234B9">
        <w:t xml:space="preserve"> may look very different depending on the type of indicator (</w:t>
      </w:r>
      <w:r w:rsidR="0042112E">
        <w:t xml:space="preserve">as </w:t>
      </w:r>
      <w:r w:rsidR="005234B9">
        <w:t xml:space="preserve">per question </w:t>
      </w:r>
      <w:r w:rsidR="00A54E3D">
        <w:t>10</w:t>
      </w:r>
      <w:r w:rsidR="0042112E">
        <w:t xml:space="preserve"> – binary,</w:t>
      </w:r>
      <w:r w:rsidR="00A54E3D">
        <w:t xml:space="preserve"> quantities</w:t>
      </w:r>
      <w:r w:rsidR="0042112E">
        <w:t>, shares)</w:t>
      </w:r>
      <w:r w:rsidR="001F130A">
        <w:t xml:space="preserve"> and </w:t>
      </w:r>
      <w:r w:rsidR="0040759A">
        <w:t>it is important</w:t>
      </w:r>
      <w:r w:rsidR="000A0627">
        <w:t xml:space="preserve"> </w:t>
      </w:r>
      <w:r w:rsidR="00233A42">
        <w:t>to</w:t>
      </w:r>
      <w:r w:rsidR="0040759A">
        <w:t xml:space="preserve"> encourage companies’ transition by incorporating forward looking indicators</w:t>
      </w:r>
      <w:r w:rsidR="00A34D86">
        <w:t xml:space="preserve"> (i.e., high emitting companie</w:t>
      </w:r>
      <w:r w:rsidR="00233A42">
        <w:t>s with transition plan and targets)</w:t>
      </w:r>
      <w:r w:rsidR="00A34D86">
        <w:t>.</w:t>
      </w:r>
      <w:r w:rsidR="0040759A">
        <w:t xml:space="preserve"> </w:t>
      </w:r>
    </w:p>
    <w:permEnd w:id="910564888"/>
    <w:p w14:paraId="51EC0BD3" w14:textId="3AD5AADF" w:rsidR="009C41BB" w:rsidRDefault="009C41BB" w:rsidP="00EB2F3C">
      <w:r>
        <w:t>&lt;ESMA_QUESTION_SFDR_18&gt;</w:t>
      </w:r>
    </w:p>
    <w:p w14:paraId="678E8E44" w14:textId="77777777" w:rsidR="009C41BB" w:rsidRDefault="009C41BB" w:rsidP="009C41BB"/>
    <w:p w14:paraId="62F4C721" w14:textId="77777777" w:rsidR="009C41BB" w:rsidRDefault="009C41BB" w:rsidP="009C41BB">
      <w:pPr>
        <w:pStyle w:val="Questionstyle"/>
        <w:numPr>
          <w:ilvl w:val="0"/>
          <w:numId w:val="42"/>
        </w:numPr>
      </w:pPr>
      <w:r>
        <w:t xml:space="preserve">: Do you support the introduction of an optional “safe </w:t>
      </w:r>
      <w:proofErr w:type="spellStart"/>
      <w:r>
        <w:t>harbour</w:t>
      </w:r>
      <w:proofErr w:type="spellEnd"/>
      <w:r>
        <w:t>” for environmental DNSH for taxonomy-aligned activities? Please explain your reasoning.</w:t>
      </w:r>
    </w:p>
    <w:p w14:paraId="63882390" w14:textId="77777777" w:rsidR="009C41BB" w:rsidRDefault="009C41BB" w:rsidP="009C41BB">
      <w:r>
        <w:t>&lt;ESMA_QUESTION_SFDR_19&gt;</w:t>
      </w:r>
    </w:p>
    <w:p w14:paraId="78C93EB3" w14:textId="77777777" w:rsidR="009C41BB" w:rsidRDefault="009C41BB" w:rsidP="009C41BB">
      <w:permStart w:id="403253184" w:edGrp="everyone"/>
      <w:r>
        <w:t>TYPE YOUR TEXT HERE</w:t>
      </w:r>
    </w:p>
    <w:permEnd w:id="403253184"/>
    <w:p w14:paraId="5B774EBD" w14:textId="77777777" w:rsidR="009C41BB" w:rsidRDefault="009C41BB" w:rsidP="009C41BB">
      <w:r>
        <w:t>&lt;ESMA_QUESTION_SFDR_19&gt;</w:t>
      </w:r>
    </w:p>
    <w:p w14:paraId="0B14904A" w14:textId="77777777" w:rsidR="009C41BB" w:rsidRDefault="009C41BB" w:rsidP="009C41BB"/>
    <w:p w14:paraId="2EF02261" w14:textId="77777777" w:rsidR="009C41BB" w:rsidRDefault="009C41BB" w:rsidP="009C41BB">
      <w:pPr>
        <w:pStyle w:val="Questionstyle"/>
        <w:numPr>
          <w:ilvl w:val="0"/>
          <w:numId w:val="42"/>
        </w:numPr>
      </w:pPr>
      <w:r>
        <w:t xml:space="preserve">: Do you agree with the </w:t>
      </w:r>
      <w:proofErr w:type="gramStart"/>
      <w:r>
        <w:t>longer term</w:t>
      </w:r>
      <w:proofErr w:type="gramEnd"/>
      <w:r>
        <w:t xml:space="preserve"> view of the ESAs that if two parallel concepts of sustainability are retained that the Taxonomy TSCs should form the basis of DNSH assessments? Please explain your reasoning.</w:t>
      </w:r>
    </w:p>
    <w:p w14:paraId="4D639F41" w14:textId="77777777" w:rsidR="009C41BB" w:rsidRDefault="009C41BB" w:rsidP="009C41BB">
      <w:r>
        <w:t>&lt;ESMA_QUESTION_SFDR_20&gt;</w:t>
      </w:r>
    </w:p>
    <w:p w14:paraId="01E16D6A" w14:textId="77777777" w:rsidR="009C41BB" w:rsidRDefault="009C41BB" w:rsidP="009C41BB">
      <w:permStart w:id="10765956" w:edGrp="everyone"/>
      <w:r>
        <w:t>TYPE YOUR TEXT HERE</w:t>
      </w:r>
    </w:p>
    <w:permEnd w:id="10765956"/>
    <w:p w14:paraId="402F2518" w14:textId="77777777" w:rsidR="009C41BB" w:rsidRDefault="009C41BB" w:rsidP="009C41BB">
      <w:r>
        <w:t>&lt;ESMA_QUESTION_SFDR_20&gt;</w:t>
      </w:r>
    </w:p>
    <w:p w14:paraId="6BAEDC4A" w14:textId="77777777" w:rsidR="009C41BB" w:rsidRDefault="009C41BB" w:rsidP="009C41BB"/>
    <w:p w14:paraId="2E45FA2C" w14:textId="77777777" w:rsidR="009C41BB" w:rsidRDefault="009C41BB" w:rsidP="009C41BB">
      <w:pPr>
        <w:pStyle w:val="Questionstyle"/>
        <w:numPr>
          <w:ilvl w:val="0"/>
          <w:numId w:val="42"/>
        </w:numPr>
      </w:pPr>
      <w:r>
        <w:t>: Are there other options for the SFDR Delegated Regulation DNSH disclosures to reduce the risk of greenwashing and increase comparability?</w:t>
      </w:r>
    </w:p>
    <w:p w14:paraId="4D9B240E" w14:textId="77777777" w:rsidR="009C41BB" w:rsidRDefault="009C41BB" w:rsidP="009C41BB">
      <w:r>
        <w:t>&lt;ESMA_QUESTION_SFDR_21&gt;</w:t>
      </w:r>
    </w:p>
    <w:p w14:paraId="5A5C3EBC" w14:textId="77777777" w:rsidR="000B44DB" w:rsidRDefault="00814259" w:rsidP="009C41BB">
      <w:permStart w:id="1187867900" w:edGrp="everyone"/>
      <w:r>
        <w:t xml:space="preserve"> </w:t>
      </w:r>
      <w:r w:rsidR="00FB207D">
        <w:t>While CDP recognizes the importance of providing context and qualitative information, for the purpose o</w:t>
      </w:r>
      <w:r w:rsidR="008073E8">
        <w:t xml:space="preserve">f reducing greenwashing it is important that the information provided as part of SFDR reporting is comparable </w:t>
      </w:r>
      <w:r w:rsidR="001B3DF9">
        <w:t xml:space="preserve">easily </w:t>
      </w:r>
      <w:r w:rsidR="008073E8">
        <w:t xml:space="preserve">across FMPs and funds. </w:t>
      </w:r>
    </w:p>
    <w:p w14:paraId="1FDFA1B8" w14:textId="77777777" w:rsidR="008073E8" w:rsidRDefault="008073E8" w:rsidP="009C41BB">
      <w:r>
        <w:t xml:space="preserve">Very importantly for adverse impacts, </w:t>
      </w:r>
      <w:r w:rsidR="00045F93">
        <w:t xml:space="preserve">the current template is not sufficiently harmonized to identify easily which adverse impacts are not considered by the fund. </w:t>
      </w:r>
      <w:r w:rsidR="00DF25C0">
        <w:t xml:space="preserve">CDP would welcome a more standardized table at the fund level on the model of the </w:t>
      </w:r>
      <w:r w:rsidR="00044BDB">
        <w:t xml:space="preserve">FMPs’ PAI statement, </w:t>
      </w:r>
      <w:r w:rsidR="00814259">
        <w:t>for</w:t>
      </w:r>
      <w:r w:rsidR="005D1485">
        <w:t xml:space="preserve"> example</w:t>
      </w:r>
      <w:r w:rsidR="00044BDB">
        <w:t xml:space="preserve"> with tick boxes next to each mandatory indicator to </w:t>
      </w:r>
      <w:r w:rsidR="000D173C">
        <w:t>highlight which one is considered/not</w:t>
      </w:r>
      <w:r w:rsidR="005D1485">
        <w:t xml:space="preserve"> considered</w:t>
      </w:r>
      <w:r w:rsidR="000D173C">
        <w:t xml:space="preserve">. </w:t>
      </w:r>
    </w:p>
    <w:p w14:paraId="614BC724" w14:textId="77777777" w:rsidR="00083F33" w:rsidRDefault="00C433C0" w:rsidP="009C41BB">
      <w:r>
        <w:lastRenderedPageBreak/>
        <w:t xml:space="preserve">More generally, websites are </w:t>
      </w:r>
      <w:r w:rsidR="001B3DF9">
        <w:t xml:space="preserve">a </w:t>
      </w:r>
      <w:r>
        <w:t xml:space="preserve">more accessible </w:t>
      </w:r>
      <w:r w:rsidR="00354046">
        <w:t xml:space="preserve">source of information </w:t>
      </w:r>
      <w:r>
        <w:t>for retail investors</w:t>
      </w:r>
      <w:r w:rsidR="00354046">
        <w:t xml:space="preserve"> and should also be considered for the inclusion of summary information such as the</w:t>
      </w:r>
      <w:r w:rsidR="001B3DF9">
        <w:t xml:space="preserve"> ESAs</w:t>
      </w:r>
      <w:r w:rsidR="00354046">
        <w:t xml:space="preserve"> </w:t>
      </w:r>
      <w:r w:rsidR="001B3DF9">
        <w:t xml:space="preserve">proposed </w:t>
      </w:r>
      <w:r w:rsidR="00354046">
        <w:t xml:space="preserve">dashboard or the PAI table summary suggested above. </w:t>
      </w:r>
    </w:p>
    <w:permEnd w:id="1187867900"/>
    <w:p w14:paraId="7A9D32E6" w14:textId="175BDEFD" w:rsidR="009C41BB" w:rsidRDefault="009C41BB" w:rsidP="009C41BB">
      <w:r>
        <w:t>&lt;ESMA_QUESTION_SFDR_21&gt;</w:t>
      </w:r>
    </w:p>
    <w:p w14:paraId="7BB690BF" w14:textId="77777777" w:rsidR="009C41BB" w:rsidRDefault="009C41BB" w:rsidP="009C41BB"/>
    <w:p w14:paraId="25DBDE82" w14:textId="77777777" w:rsidR="009C41BB" w:rsidRDefault="009C41BB" w:rsidP="009C41BB">
      <w:pPr>
        <w:pStyle w:val="Questionstyle"/>
        <w:numPr>
          <w:ilvl w:val="0"/>
          <w:numId w:val="42"/>
        </w:numPr>
      </w:pPr>
      <w:r>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9C41BB">
      <w:r>
        <w:t>&lt;ESMA_QUESTION_SFDR_22&gt;</w:t>
      </w:r>
    </w:p>
    <w:p w14:paraId="2CD12BDF" w14:textId="3FC5ADB1" w:rsidR="002A4237" w:rsidRDefault="005954D5" w:rsidP="009C41BB">
      <w:permStart w:id="2084635173" w:edGrp="everyone"/>
      <w:r>
        <w:t xml:space="preserve">While </w:t>
      </w:r>
      <w:r w:rsidR="00424609">
        <w:t xml:space="preserve">CDP </w:t>
      </w:r>
      <w:r>
        <w:t>welcome</w:t>
      </w:r>
      <w:r w:rsidR="00424609">
        <w:t>s</w:t>
      </w:r>
      <w:r>
        <w:t xml:space="preserve"> the inclusion of further specifications, we encourage use of standardized tables and machine readable templates rather than increasing further the amount of qualitative info captured </w:t>
      </w:r>
      <w:proofErr w:type="gramStart"/>
      <w:r>
        <w:t>in  text</w:t>
      </w:r>
      <w:proofErr w:type="gramEnd"/>
      <w:r>
        <w:t xml:space="preserve"> boxes</w:t>
      </w:r>
      <w:r w:rsidR="00424609">
        <w:t>. It</w:t>
      </w:r>
      <w:r>
        <w:t xml:space="preserve"> can lead to lack of comparability, increased barrier for retail investors to </w:t>
      </w:r>
      <w:r w:rsidR="002A4237">
        <w:t xml:space="preserve">capture essential info right away and so </w:t>
      </w:r>
      <w:r w:rsidR="00424609">
        <w:t xml:space="preserve">increase </w:t>
      </w:r>
      <w:r w:rsidR="002A4237">
        <w:t>risks of greenwashing.</w:t>
      </w:r>
      <w:r w:rsidR="005D1485">
        <w:t xml:space="preserve"> Additionally, more standardization can also mean simplification and </w:t>
      </w:r>
      <w:r w:rsidR="00051D75">
        <w:t>reduce reporting burden for investors.</w:t>
      </w:r>
    </w:p>
    <w:permEnd w:id="2084635173"/>
    <w:p w14:paraId="726ADD5B" w14:textId="26F1FF05" w:rsidR="009C41BB" w:rsidRDefault="009C41BB" w:rsidP="009C41BB">
      <w:r>
        <w:t>&lt;ESMA_QUESTION_SFDR_22&gt;</w:t>
      </w:r>
    </w:p>
    <w:p w14:paraId="08BAE9DE" w14:textId="77777777" w:rsidR="009C41BB" w:rsidRDefault="009C41BB" w:rsidP="009C41BB"/>
    <w:p w14:paraId="05AA9C3B" w14:textId="77777777" w:rsidR="009C41BB" w:rsidRDefault="009C41BB" w:rsidP="009C41BB">
      <w:pPr>
        <w:pStyle w:val="Questionstyle"/>
        <w:numPr>
          <w:ilvl w:val="0"/>
          <w:numId w:val="42"/>
        </w:numPr>
      </w:pPr>
      <w:r>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Default="009C41BB" w:rsidP="009C41BB">
      <w:r>
        <w:t>&lt;ESMA_QUESTION_SFDR_23&gt;</w:t>
      </w:r>
    </w:p>
    <w:p w14:paraId="618D6638" w14:textId="77777777" w:rsidR="00CF4230" w:rsidRDefault="00814259" w:rsidP="009C41BB">
      <w:permStart w:id="1916216551" w:edGrp="everyone"/>
      <w:r>
        <w:t xml:space="preserve"> </w:t>
      </w:r>
      <w:r w:rsidR="00CF4230">
        <w:t xml:space="preserve">Yes, CDP welcomes the inclusion of GHG emissions reduction disclosures. </w:t>
      </w:r>
    </w:p>
    <w:p w14:paraId="08975B9F" w14:textId="77777777" w:rsidR="0029044B" w:rsidRDefault="0029044B" w:rsidP="0029044B">
      <w:pPr>
        <w:pStyle w:val="ListParagraph"/>
        <w:numPr>
          <w:ilvl w:val="0"/>
          <w:numId w:val="43"/>
        </w:numPr>
      </w:pPr>
      <w:r w:rsidRPr="0029044B">
        <w:t xml:space="preserve">When a product is linked to </w:t>
      </w:r>
      <w:r w:rsidR="00CF4230">
        <w:t xml:space="preserve">a </w:t>
      </w:r>
      <w:r w:rsidRPr="0029044B">
        <w:t>benchmark</w:t>
      </w:r>
      <w:r w:rsidR="00CF4230">
        <w:t>, it can be useful to provide the</w:t>
      </w:r>
      <w:r w:rsidRPr="0029044B">
        <w:t xml:space="preserve"> hyperlink, ii) when it isn't (i</w:t>
      </w:r>
      <w:r w:rsidR="00CF4230">
        <w:t>.</w:t>
      </w:r>
      <w:r w:rsidRPr="0029044B">
        <w:t>e</w:t>
      </w:r>
      <w:r w:rsidR="00CF4230">
        <w:t>.,</w:t>
      </w:r>
      <w:r w:rsidRPr="0029044B">
        <w:t xml:space="preserve"> active fund) specific disclosures </w:t>
      </w:r>
      <w:r w:rsidR="003202F6">
        <w:t xml:space="preserve">are </w:t>
      </w:r>
      <w:proofErr w:type="gramStart"/>
      <w:r w:rsidR="003202F6">
        <w:t>required</w:t>
      </w:r>
      <w:proofErr w:type="gramEnd"/>
      <w:r w:rsidR="003202F6">
        <w:t xml:space="preserve"> </w:t>
      </w:r>
    </w:p>
    <w:p w14:paraId="31A29E1B" w14:textId="77777777" w:rsidR="0029044B" w:rsidRDefault="00081471" w:rsidP="0029044B">
      <w:pPr>
        <w:ind w:left="360"/>
      </w:pPr>
      <w:r w:rsidRPr="00081471">
        <w:t>Article 9</w:t>
      </w:r>
      <w:r w:rsidR="003202F6">
        <w:t xml:space="preserve"> sustainable investments can be </w:t>
      </w:r>
      <w:r w:rsidRPr="00081471">
        <w:t xml:space="preserve">interpreted at </w:t>
      </w:r>
      <w:r w:rsidR="003202F6">
        <w:t xml:space="preserve">the </w:t>
      </w:r>
      <w:r w:rsidRPr="00081471">
        <w:t xml:space="preserve">asset level </w:t>
      </w:r>
      <w:r w:rsidR="003202F6">
        <w:t xml:space="preserve">(i.e., this company is a sustainable investment) </w:t>
      </w:r>
      <w:r w:rsidRPr="00081471">
        <w:t xml:space="preserve">or interpreted as a strategy pursuing an objective (like carbon reduction strategies). It is possible that carbon reduction strategies have targets and projected pathway in line with 1.5, without the assets being 'sustainable' in themselves. </w:t>
      </w:r>
      <w:r w:rsidR="003202F6">
        <w:t>There is a clear d</w:t>
      </w:r>
      <w:r w:rsidRPr="00081471">
        <w:t xml:space="preserve">ifference between having 100% of sustainable investments in a portfolio </w:t>
      </w:r>
      <w:r w:rsidR="003202F6">
        <w:t>(</w:t>
      </w:r>
      <w:r w:rsidR="00867E33">
        <w:t xml:space="preserve">in terms of investment universe and assets) </w:t>
      </w:r>
      <w:r w:rsidRPr="00081471">
        <w:t>and pursuing a strategy for carbon reduction using the full universe of green/brown assets.</w:t>
      </w:r>
    </w:p>
    <w:p w14:paraId="46984641" w14:textId="77777777" w:rsidR="00BA4024" w:rsidRPr="00BA4024" w:rsidRDefault="00FE1727" w:rsidP="0029044B">
      <w:pPr>
        <w:ind w:left="360"/>
      </w:pPr>
      <w:r>
        <w:lastRenderedPageBreak/>
        <w:t xml:space="preserve">CDP encourages </w:t>
      </w:r>
      <w:r w:rsidR="00BA4024" w:rsidRPr="00BA4024">
        <w:t>standardized disclosure</w:t>
      </w:r>
      <w:r>
        <w:t>s</w:t>
      </w:r>
      <w:r w:rsidR="00BA4024" w:rsidRPr="00BA4024">
        <w:t xml:space="preserve"> o</w:t>
      </w:r>
      <w:r w:rsidR="00BA4024">
        <w:t xml:space="preserve">f </w:t>
      </w:r>
      <w:r w:rsidR="00BA4024" w:rsidRPr="00FE1727">
        <w:rPr>
          <w:b/>
          <w:bCs/>
        </w:rPr>
        <w:t>absolute</w:t>
      </w:r>
      <w:r w:rsidR="00BA4024">
        <w:t xml:space="preserve"> emissions targets</w:t>
      </w:r>
      <w:r w:rsidR="001F38E8">
        <w:t xml:space="preserve">, including baseline, </w:t>
      </w:r>
      <w:r>
        <w:t xml:space="preserve">baseline </w:t>
      </w:r>
      <w:r w:rsidR="001F38E8">
        <w:t>year</w:t>
      </w:r>
      <w:r>
        <w:t xml:space="preserve"> and</w:t>
      </w:r>
      <w:r w:rsidR="001F38E8">
        <w:t xml:space="preserve"> target</w:t>
      </w:r>
      <w:r>
        <w:t xml:space="preserve"> years</w:t>
      </w:r>
      <w:r w:rsidR="001F38E8">
        <w:t xml:space="preserve">. </w:t>
      </w:r>
      <w:r w:rsidR="00814259">
        <w:t xml:space="preserve">We recommend </w:t>
      </w:r>
      <w:proofErr w:type="gramStart"/>
      <w:r w:rsidR="00814259">
        <w:t>to</w:t>
      </w:r>
      <w:r w:rsidR="008A1318">
        <w:t xml:space="preserve"> </w:t>
      </w:r>
      <w:r w:rsidR="001F38E8">
        <w:t>add</w:t>
      </w:r>
      <w:proofErr w:type="gramEnd"/>
      <w:r w:rsidR="001F38E8">
        <w:t xml:space="preserve"> </w:t>
      </w:r>
      <w:r w:rsidR="008A1318">
        <w:t xml:space="preserve">the </w:t>
      </w:r>
      <w:r w:rsidR="001F38E8">
        <w:t xml:space="preserve">possibility to express </w:t>
      </w:r>
      <w:r w:rsidR="008A1318">
        <w:t>targets</w:t>
      </w:r>
      <w:r w:rsidR="00153F8E">
        <w:t xml:space="preserve"> </w:t>
      </w:r>
      <w:proofErr w:type="spellStart"/>
      <w:r w:rsidR="00153F8E">
        <w:t>seperately</w:t>
      </w:r>
      <w:proofErr w:type="spellEnd"/>
      <w:r w:rsidR="008A1318">
        <w:t xml:space="preserve"> </w:t>
      </w:r>
      <w:r w:rsidR="00AA3589">
        <w:t>for different asset classes (</w:t>
      </w:r>
      <w:r w:rsidR="005842D4">
        <w:t xml:space="preserve">government bonds and corporate bonds </w:t>
      </w:r>
      <w:r w:rsidR="00153F8E">
        <w:t>won’t have the same indicators nor the</w:t>
      </w:r>
      <w:r w:rsidR="005842D4">
        <w:t xml:space="preserve"> same magnitude</w:t>
      </w:r>
      <w:r w:rsidR="00153F8E">
        <w:t xml:space="preserve"> of emissions reductions</w:t>
      </w:r>
      <w:r w:rsidR="005842D4">
        <w:t>)</w:t>
      </w:r>
      <w:r w:rsidR="00153F8E">
        <w:t xml:space="preserve">, and to add intensity targets only </w:t>
      </w:r>
      <w:r w:rsidR="000E162B">
        <w:t>in addition to absolute targets</w:t>
      </w:r>
      <w:r w:rsidR="006B052A">
        <w:t xml:space="preserve"> where relevant</w:t>
      </w:r>
      <w:r w:rsidR="000E162B">
        <w:t xml:space="preserve">. </w:t>
      </w:r>
      <w:r w:rsidR="005842D4">
        <w:t xml:space="preserve"> </w:t>
      </w:r>
    </w:p>
    <w:permEnd w:id="1916216551"/>
    <w:p w14:paraId="170F8ADF" w14:textId="240DEFED" w:rsidR="009C41BB" w:rsidRPr="00BA4024" w:rsidRDefault="009C41BB" w:rsidP="0029044B">
      <w:pPr>
        <w:ind w:left="360"/>
        <w:rPr>
          <w:lang w:val="fr-FR"/>
        </w:rPr>
      </w:pPr>
      <w:r w:rsidRPr="00BA4024">
        <w:rPr>
          <w:lang w:val="fr-FR"/>
        </w:rPr>
        <w:t>&lt;ESMA_QUESTION_SFDR_23&gt;</w:t>
      </w:r>
    </w:p>
    <w:p w14:paraId="4A4F3D57" w14:textId="77777777" w:rsidR="009C41BB" w:rsidRPr="00BA4024" w:rsidRDefault="009C41BB" w:rsidP="009C41BB">
      <w:pPr>
        <w:rPr>
          <w:lang w:val="fr-FR"/>
        </w:rPr>
      </w:pPr>
    </w:p>
    <w:p w14:paraId="5CF11283" w14:textId="77777777" w:rsidR="009C41BB" w:rsidRDefault="009C41BB" w:rsidP="009C41BB">
      <w:pPr>
        <w:pStyle w:val="Questionstyle"/>
        <w:numPr>
          <w:ilvl w:val="0"/>
          <w:numId w:val="42"/>
        </w:numPr>
      </w:pPr>
      <w:r>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2760189D" w14:textId="77777777" w:rsidR="009C41BB" w:rsidRDefault="009C41BB" w:rsidP="009C41BB">
      <w:r>
        <w:t>&lt;ESMA_QUESTION_SFDR_24&gt;</w:t>
      </w:r>
    </w:p>
    <w:p w14:paraId="5AB51143" w14:textId="77777777" w:rsidR="005F053A" w:rsidRDefault="00E32295" w:rsidP="005F053A">
      <w:permStart w:id="1136723135" w:edGrp="everyone"/>
      <w:r>
        <w:t xml:space="preserve"> </w:t>
      </w:r>
      <w:r w:rsidR="00BD0114">
        <w:t>While CDP welcomes</w:t>
      </w:r>
      <w:r w:rsidR="00094C6B">
        <w:t xml:space="preserve"> </w:t>
      </w:r>
      <w:r w:rsidR="003768AF">
        <w:t xml:space="preserve">the </w:t>
      </w:r>
      <w:proofErr w:type="spellStart"/>
      <w:r>
        <w:t>differenciation</w:t>
      </w:r>
      <w:proofErr w:type="spellEnd"/>
      <w:r w:rsidR="007F0986">
        <w:t xml:space="preserve"> between real world decarbonisation and </w:t>
      </w:r>
      <w:r w:rsidR="00094C6B">
        <w:t>disinvestment/’paper decarbonisation’, t</w:t>
      </w:r>
      <w:r w:rsidR="005F053A">
        <w:t>his distinction may increase the incentive for product providers to select the easier target (</w:t>
      </w:r>
      <w:proofErr w:type="gramStart"/>
      <w:r w:rsidR="005F053A">
        <w:t>i.e.</w:t>
      </w:r>
      <w:proofErr w:type="gramEnd"/>
      <w:r w:rsidR="005F053A">
        <w:t xml:space="preserve"> reducing financed emissions through reallocation). </w:t>
      </w:r>
    </w:p>
    <w:p w14:paraId="6F640DBB" w14:textId="77777777" w:rsidR="005F053A" w:rsidRDefault="005F053A" w:rsidP="005F053A">
      <w:r>
        <w:t xml:space="preserve">This distinction positions divestment as a </w:t>
      </w:r>
      <w:proofErr w:type="gramStart"/>
      <w:r>
        <w:t>tool in its own right, but</w:t>
      </w:r>
      <w:proofErr w:type="gramEnd"/>
      <w:r>
        <w:t xml:space="preserve"> not as the ultimate consequence of failed engagement/active ownership. In our view, divestment only makes sense as part of an engagement strategy. Ultimately, the public</w:t>
      </w:r>
      <w:r w:rsidR="00094C6B">
        <w:t>ly</w:t>
      </w:r>
      <w:r>
        <w:t xml:space="preserve"> reported goal of emission reductions in the real economy should be the only valid objective, one which is attempted to be achieved through various strategies that will ultimately lead to a reduction in financed emissions (engagement, </w:t>
      </w:r>
      <w:proofErr w:type="spellStart"/>
      <w:r>
        <w:t>exlusions</w:t>
      </w:r>
      <w:proofErr w:type="spellEnd"/>
      <w:r>
        <w:t>, inclusions, divestment</w:t>
      </w:r>
      <w:r w:rsidR="00E32295">
        <w:t>).</w:t>
      </w:r>
      <w:r>
        <w:t xml:space="preserve"> </w:t>
      </w:r>
    </w:p>
    <w:p w14:paraId="6C6FA954" w14:textId="77777777" w:rsidR="00EB63D6" w:rsidRDefault="00EB63D6" w:rsidP="005F053A">
      <w:r>
        <w:t xml:space="preserve">This also means that it might be difficult for fund managers to isolate ex-ante how the decarbonisation target will be attained. </w:t>
      </w:r>
      <w:r w:rsidR="00DE5467">
        <w:t xml:space="preserve">It will most likely be the result of this mix of approaches. We would instead recommend an ex-post </w:t>
      </w:r>
      <w:r w:rsidR="00481135">
        <w:t xml:space="preserve">attribution of </w:t>
      </w:r>
      <w:r w:rsidR="00185D7A">
        <w:t xml:space="preserve">YoY </w:t>
      </w:r>
      <w:r w:rsidR="00481135">
        <w:t>carbon reductions between capital reallocation, movement</w:t>
      </w:r>
      <w:r w:rsidR="0088732A">
        <w:t>s</w:t>
      </w:r>
      <w:r w:rsidR="00481135">
        <w:t xml:space="preserve"> in market prices, or portfolio holdings</w:t>
      </w:r>
      <w:r w:rsidR="0088732A">
        <w:t>’</w:t>
      </w:r>
      <w:r w:rsidR="00481135">
        <w:t xml:space="preserve"> </w:t>
      </w:r>
      <w:r w:rsidR="00F12B80">
        <w:t>decarbonisation (real economy)</w:t>
      </w:r>
      <w:r w:rsidR="00185D7A">
        <w:t xml:space="preserve">, in periodic reporting. </w:t>
      </w:r>
    </w:p>
    <w:p w14:paraId="12BFF906" w14:textId="77777777" w:rsidR="00AD4F5B" w:rsidRPr="00AD4F5B" w:rsidRDefault="0021058D" w:rsidP="005F053A">
      <w:r>
        <w:t xml:space="preserve">In general CDP supports full transparency at fund and FMP level regarding engagement with investee companies, specifically </w:t>
      </w:r>
      <w:r w:rsidR="007766BD">
        <w:t>regarding the identification and reduction</w:t>
      </w:r>
      <w:r>
        <w:t xml:space="preserve"> o</w:t>
      </w:r>
      <w:r w:rsidR="007766BD">
        <w:t>f</w:t>
      </w:r>
      <w:r>
        <w:t xml:space="preserve"> adverse impacts. </w:t>
      </w:r>
    </w:p>
    <w:permEnd w:id="1136723135"/>
    <w:p w14:paraId="1DB6EA41" w14:textId="4FC4FC5C" w:rsidR="009C41BB" w:rsidRPr="0021058D" w:rsidRDefault="009C41BB" w:rsidP="005F053A">
      <w:r w:rsidRPr="0021058D">
        <w:t>&lt;ESMA_QUESTION_SFDR_24&gt;</w:t>
      </w:r>
    </w:p>
    <w:p w14:paraId="0D457AA9" w14:textId="77777777" w:rsidR="009C41BB" w:rsidRPr="0021058D" w:rsidRDefault="009C41BB" w:rsidP="009C41BB"/>
    <w:p w14:paraId="3D7F5DF7" w14:textId="77777777" w:rsidR="009C41BB" w:rsidRDefault="009C41BB" w:rsidP="009C41BB">
      <w:pPr>
        <w:pStyle w:val="Questionstyle"/>
        <w:numPr>
          <w:ilvl w:val="0"/>
          <w:numId w:val="42"/>
        </w:numPr>
      </w:pPr>
      <w:r>
        <w:t xml:space="preserve">: Do you find it useful to have a disclosure on the degree of Paris-Alignment of the Article 9 product’s target(s)? Do you think that existing methodologies can provide sufficiently robust assessments of that aspect? If </w:t>
      </w:r>
      <w:r>
        <w:lastRenderedPageBreak/>
        <w:t xml:space="preserve">yes, please specify which methodology (or methodologies) would be relevant for that purpose and what are their most critical features? Please explain your answer. </w:t>
      </w:r>
    </w:p>
    <w:p w14:paraId="5A44ABE3" w14:textId="77777777" w:rsidR="009C41BB" w:rsidRDefault="009C41BB" w:rsidP="009C41BB">
      <w:r>
        <w:t>&lt;ESMA_QUESTION_SFDR_25&gt;</w:t>
      </w:r>
    </w:p>
    <w:p w14:paraId="400DF94E" w14:textId="77777777" w:rsidR="00C45BE2" w:rsidRDefault="00E32295" w:rsidP="009C41BB">
      <w:permStart w:id="1566010807" w:edGrp="everyone"/>
      <w:r>
        <w:t xml:space="preserve"> </w:t>
      </w:r>
      <w:r w:rsidR="0040187D">
        <w:t>CDP believes it is</w:t>
      </w:r>
      <w:r w:rsidR="00C45BE2" w:rsidRPr="00C45BE2">
        <w:t xml:space="preserve"> too early to require quantitative disclosure by law. I</w:t>
      </w:r>
      <w:r w:rsidR="0040187D">
        <w:t xml:space="preserve">mplied </w:t>
      </w:r>
      <w:r w:rsidR="00C45BE2" w:rsidRPr="00C45BE2">
        <w:t>T</w:t>
      </w:r>
      <w:r w:rsidR="0040187D">
        <w:t xml:space="preserve">emperature </w:t>
      </w:r>
      <w:r w:rsidR="00C45BE2" w:rsidRPr="00C45BE2">
        <w:t>R</w:t>
      </w:r>
      <w:r w:rsidR="0040187D">
        <w:t>atings exist but</w:t>
      </w:r>
      <w:r w:rsidR="00C45BE2" w:rsidRPr="00C45BE2">
        <w:t xml:space="preserve"> methodologies are still evolving. However, it is important for investors to understand the ambition of the products' targets. Therefore, a qualitative disclosure about how the </w:t>
      </w:r>
      <w:proofErr w:type="gramStart"/>
      <w:r w:rsidR="00D02063">
        <w:t>1.5 degree</w:t>
      </w:r>
      <w:proofErr w:type="gramEnd"/>
      <w:r w:rsidR="00D02063">
        <w:t xml:space="preserve"> alignment</w:t>
      </w:r>
      <w:r w:rsidR="00C45BE2" w:rsidRPr="00C45BE2">
        <w:t xml:space="preserve"> check was performed </w:t>
      </w:r>
      <w:r w:rsidR="00C800E4">
        <w:t>could increase</w:t>
      </w:r>
      <w:r w:rsidR="00C45BE2" w:rsidRPr="00C45BE2">
        <w:t xml:space="preserve"> credib</w:t>
      </w:r>
      <w:r w:rsidR="00220C42">
        <w:t>ility</w:t>
      </w:r>
      <w:r w:rsidR="00C800E4">
        <w:t>.</w:t>
      </w:r>
    </w:p>
    <w:p w14:paraId="0BF75998" w14:textId="2CA314AA" w:rsidR="00C45BE2" w:rsidRDefault="00C800E4" w:rsidP="009C41BB">
      <w:r>
        <w:t>Additionally, f</w:t>
      </w:r>
      <w:r w:rsidRPr="008732EA">
        <w:t xml:space="preserve">or some asset classes </w:t>
      </w:r>
      <w:r>
        <w:t xml:space="preserve">there are currently no methodology </w:t>
      </w:r>
      <w:r w:rsidRPr="008732EA">
        <w:t xml:space="preserve">to </w:t>
      </w:r>
      <w:proofErr w:type="gramStart"/>
      <w:r w:rsidRPr="008732EA">
        <w:t>asses</w:t>
      </w:r>
      <w:proofErr w:type="gramEnd"/>
      <w:r w:rsidRPr="008732EA">
        <w:t xml:space="preserve"> alignment to 1</w:t>
      </w:r>
      <w:r>
        <w:t>.</w:t>
      </w:r>
      <w:r w:rsidRPr="008732EA">
        <w:t>5</w:t>
      </w:r>
      <w:r>
        <w:t xml:space="preserve"> degrees</w:t>
      </w:r>
      <w:r w:rsidRPr="008732EA">
        <w:t xml:space="preserve">. </w:t>
      </w:r>
      <w:r>
        <w:t>Therefor we recommend that investors s</w:t>
      </w:r>
      <w:r w:rsidRPr="008732EA">
        <w:t>hould be able to report</w:t>
      </w:r>
      <w:r>
        <w:t xml:space="preserve"> this information</w:t>
      </w:r>
      <w:r w:rsidR="001519E0">
        <w:t xml:space="preserve"> in the template</w:t>
      </w:r>
      <w:r>
        <w:t xml:space="preserve"> separately by asset class</w:t>
      </w:r>
      <w:r w:rsidR="001519E0">
        <w:t xml:space="preserve">es. For example, the current proposed table for absolute GHG emissions targets could have </w:t>
      </w:r>
      <w:r w:rsidR="00A808DB">
        <w:t xml:space="preserve">one row per asset class and an additional column to indicate the target’s alignment with 1.5 degree (with the possibility to state ‘not assessed’).  </w:t>
      </w:r>
      <w:r w:rsidR="001519E0">
        <w:t xml:space="preserve"> </w:t>
      </w:r>
      <w:permEnd w:id="1566010807"/>
    </w:p>
    <w:p w14:paraId="1B2A7DBF" w14:textId="5C9CF1DC" w:rsidR="009C41BB" w:rsidRDefault="009C41BB" w:rsidP="009C41BB">
      <w:r>
        <w:t>&lt;ESMA_QUESTION_SFDR_25&gt;</w:t>
      </w:r>
    </w:p>
    <w:p w14:paraId="4826CAD9" w14:textId="77777777" w:rsidR="009C41BB" w:rsidRDefault="009C41BB" w:rsidP="009C41BB"/>
    <w:p w14:paraId="1340C518" w14:textId="77777777" w:rsidR="009C41BB" w:rsidRDefault="009C41BB" w:rsidP="009C41BB">
      <w:pPr>
        <w:pStyle w:val="Questionstyle"/>
        <w:numPr>
          <w:ilvl w:val="0"/>
          <w:numId w:val="42"/>
        </w:numPr>
      </w:pPr>
      <w:r>
        <w:t>: Do you agree with the proposed approach to require that the target is calculated for all investments of the financial product? Please explain your answer.</w:t>
      </w:r>
    </w:p>
    <w:p w14:paraId="36D5F087" w14:textId="77777777" w:rsidR="009C41BB" w:rsidRDefault="009C41BB" w:rsidP="009C41BB">
      <w:r>
        <w:t>&lt;ESMA_QUESTION_SFDR_26&gt;</w:t>
      </w:r>
    </w:p>
    <w:p w14:paraId="7440CDD1" w14:textId="77777777" w:rsidR="008732EA" w:rsidRDefault="00BE6AC4" w:rsidP="00DC4356">
      <w:permStart w:id="141000402" w:edGrp="everyone"/>
      <w:r>
        <w:t xml:space="preserve"> </w:t>
      </w:r>
      <w:r w:rsidR="00C800E4">
        <w:t xml:space="preserve">CDP agrees with the general direction of travel but recognizes that </w:t>
      </w:r>
      <w:r w:rsidR="00D338E5">
        <w:t xml:space="preserve">setting targets can be difficult for certain asset classes. </w:t>
      </w:r>
      <w:r w:rsidR="000B1C49">
        <w:t xml:space="preserve">Transparency on the percentage of assets covered by the target, and which GHG emissions scope are included could be </w:t>
      </w:r>
      <w:r w:rsidR="00843BD9">
        <w:t xml:space="preserve">implemented without much additional reporting burden. </w:t>
      </w:r>
      <w:r w:rsidR="00D338E5">
        <w:t xml:space="preserve">Additionally, </w:t>
      </w:r>
      <w:r w:rsidR="008732EA" w:rsidRPr="008732EA">
        <w:t>different asset class</w:t>
      </w:r>
      <w:r w:rsidR="00A11293">
        <w:t>es</w:t>
      </w:r>
      <w:r w:rsidR="008732EA" w:rsidRPr="008732EA">
        <w:t xml:space="preserve"> </w:t>
      </w:r>
      <w:r w:rsidR="00843BD9">
        <w:t xml:space="preserve">have </w:t>
      </w:r>
      <w:r w:rsidR="008732EA" w:rsidRPr="008732EA">
        <w:t>different magnitude of emissions (</w:t>
      </w:r>
      <w:proofErr w:type="spellStart"/>
      <w:proofErr w:type="gramStart"/>
      <w:r w:rsidR="008732EA" w:rsidRPr="008732EA">
        <w:t>ie</w:t>
      </w:r>
      <w:proofErr w:type="spellEnd"/>
      <w:proofErr w:type="gramEnd"/>
      <w:r w:rsidR="008732EA" w:rsidRPr="008732EA">
        <w:t xml:space="preserve"> corporates vs governments or real assets)</w:t>
      </w:r>
      <w:r w:rsidR="00A11293">
        <w:t>, which can make an aggregated portfolio target difficult to read</w:t>
      </w:r>
      <w:r w:rsidR="00C44401">
        <w:t xml:space="preserve"> and lead to reallocation across asset classes. Instead, i</w:t>
      </w:r>
      <w:r w:rsidR="00A11293">
        <w:t xml:space="preserve">nvestors </w:t>
      </w:r>
      <w:r w:rsidR="008732EA" w:rsidRPr="008732EA">
        <w:t xml:space="preserve">could set targets at asset </w:t>
      </w:r>
      <w:r w:rsidR="00A11293">
        <w:t xml:space="preserve">class </w:t>
      </w:r>
      <w:r w:rsidR="008732EA" w:rsidRPr="008732EA">
        <w:t>level.</w:t>
      </w:r>
    </w:p>
    <w:p w14:paraId="7524D192" w14:textId="77777777" w:rsidR="00DC4356" w:rsidRDefault="00002D0E" w:rsidP="00DC4356">
      <w:r>
        <w:t xml:space="preserve">For corporate GHG emissions targets, </w:t>
      </w:r>
      <w:r w:rsidR="00DC4356">
        <w:t xml:space="preserve">the initial </w:t>
      </w:r>
      <w:r w:rsidR="00A41717">
        <w:t xml:space="preserve">target scope </w:t>
      </w:r>
      <w:r w:rsidR="00DC4356">
        <w:t>could be on the 300-400 companies in material sectors as recommended by the NZIF or NZAOA portfolio target setting frameworks. Data i</w:t>
      </w:r>
      <w:r w:rsidR="00AE2F73">
        <w:t>n</w:t>
      </w:r>
      <w:r w:rsidR="00DC4356">
        <w:t xml:space="preserve"> this area is more readily available and data costs for small asset managers could be </w:t>
      </w:r>
      <w:proofErr w:type="spellStart"/>
      <w:r w:rsidR="00DC4356">
        <w:t>managable</w:t>
      </w:r>
      <w:proofErr w:type="spellEnd"/>
      <w:r w:rsidR="00DC4356">
        <w:t>.</w:t>
      </w:r>
    </w:p>
    <w:p w14:paraId="07640E9B" w14:textId="3A236CA7" w:rsidR="00DC4356" w:rsidRDefault="00DC4356" w:rsidP="00DC4356">
      <w:r>
        <w:t xml:space="preserve">The focus </w:t>
      </w:r>
      <w:r w:rsidR="00AE2F73">
        <w:t>c</w:t>
      </w:r>
      <w:r>
        <w:t>ould also be on asset classes where product providers have a potential influence, i</w:t>
      </w:r>
      <w:r w:rsidR="00BE6AC4">
        <w:t>.e.,</w:t>
      </w:r>
      <w:r>
        <w:t xml:space="preserve"> corporate equity and bonds, plus certain real assets. </w:t>
      </w:r>
      <w:permEnd w:id="141000402"/>
    </w:p>
    <w:p w14:paraId="6D51DAEC" w14:textId="794C72DC" w:rsidR="009C41BB" w:rsidRDefault="009C41BB" w:rsidP="00DC4356">
      <w:r>
        <w:t>&lt;ESMA_QUESTION_SFDR_26&gt;</w:t>
      </w:r>
    </w:p>
    <w:p w14:paraId="784871E3" w14:textId="77777777" w:rsidR="009C41BB" w:rsidRDefault="009C41BB" w:rsidP="009C41BB"/>
    <w:p w14:paraId="0E460FDF" w14:textId="77777777" w:rsidR="009C41BB" w:rsidRDefault="009C41BB" w:rsidP="009C41BB">
      <w:pPr>
        <w:pStyle w:val="Questionstyle"/>
        <w:numPr>
          <w:ilvl w:val="0"/>
          <w:numId w:val="42"/>
        </w:numPr>
      </w:pPr>
      <w:r>
        <w:t xml:space="preserve">: Do you agree with the proposed approach to require that, at product level, Financed GHG emissions reduction targets be set and disclosed based on the GHG accounting and reporting standard to be referenced in the forthcoming </w:t>
      </w:r>
      <w:r>
        <w:lastRenderedPageBreak/>
        <w:t xml:space="preserve">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14:paraId="30DBA1F9" w14:textId="77777777" w:rsidR="009C41BB" w:rsidRDefault="009C41BB" w:rsidP="009C41BB">
      <w:r>
        <w:t>&lt;ESMA_QUESTION_SFDR_27&gt;</w:t>
      </w:r>
    </w:p>
    <w:p w14:paraId="10BBFE4A" w14:textId="3229089A" w:rsidR="00BE6AC4" w:rsidRDefault="00BE6AC4" w:rsidP="009C41BB">
      <w:permStart w:id="596269736" w:edGrp="everyone"/>
      <w:r>
        <w:t xml:space="preserve"> CDP welcomes the harmonization of calculation methodologies and the use of one standard common to the industry.</w:t>
      </w:r>
      <w:r w:rsidRPr="00901C5A">
        <w:t xml:space="preserve"> </w:t>
      </w:r>
      <w:r>
        <w:t>CDP notes the slight</w:t>
      </w:r>
      <w:r w:rsidRPr="00901C5A">
        <w:t xml:space="preserve"> incoherence </w:t>
      </w:r>
      <w:r>
        <w:t>between the</w:t>
      </w:r>
      <w:r w:rsidRPr="00901C5A">
        <w:t xml:space="preserve"> financed emiss</w:t>
      </w:r>
      <w:r>
        <w:t>i</w:t>
      </w:r>
      <w:r w:rsidRPr="00901C5A">
        <w:t xml:space="preserve">ons calculation of PCAF and </w:t>
      </w:r>
      <w:r>
        <w:t xml:space="preserve">the climate </w:t>
      </w:r>
      <w:r w:rsidRPr="00901C5A">
        <w:t>benchmark reg</w:t>
      </w:r>
      <w:r>
        <w:t>ulation</w:t>
      </w:r>
      <w:r w:rsidRPr="00901C5A">
        <w:t xml:space="preserve"> </w:t>
      </w:r>
      <w:r>
        <w:t>weighted average approach for absolute emissions</w:t>
      </w:r>
      <w:r w:rsidRPr="00901C5A">
        <w:t xml:space="preserve">.  </w:t>
      </w:r>
      <w:permEnd w:id="596269736"/>
    </w:p>
    <w:p w14:paraId="0E6910F8" w14:textId="1031EAD3" w:rsidR="009C41BB" w:rsidRDefault="009C41BB" w:rsidP="009C41BB">
      <w:r>
        <w:t>&lt;ESMA_QUESTION_SFDR_27&gt;</w:t>
      </w:r>
    </w:p>
    <w:p w14:paraId="6FBCA7B9" w14:textId="77777777" w:rsidR="009C41BB" w:rsidRDefault="009C41BB" w:rsidP="009C41BB"/>
    <w:p w14:paraId="337B55CD" w14:textId="77777777" w:rsidR="009C41BB" w:rsidRDefault="009C41BB" w:rsidP="009C41BB">
      <w:pPr>
        <w:pStyle w:val="Questionstyle"/>
        <w:numPr>
          <w:ilvl w:val="0"/>
          <w:numId w:val="42"/>
        </w:numPr>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C41BB">
      <w:r>
        <w:t>&lt;ESMA_QUESTION_SFDR_28&gt;</w:t>
      </w:r>
    </w:p>
    <w:p w14:paraId="528C3FA3" w14:textId="77777777" w:rsidR="009C41BB" w:rsidRDefault="009C41BB" w:rsidP="009C41BB">
      <w:permStart w:id="1690654287" w:edGrp="everyone"/>
      <w:r>
        <w:t>TYPE YOUR TEXT HERE</w:t>
      </w:r>
    </w:p>
    <w:permEnd w:id="1690654287"/>
    <w:p w14:paraId="6972221C" w14:textId="77777777" w:rsidR="009C41BB" w:rsidRDefault="009C41BB" w:rsidP="009C41BB">
      <w:r>
        <w:t>&lt;ESMA_QUESTION_SFDR_28&gt;</w:t>
      </w:r>
    </w:p>
    <w:p w14:paraId="5A937A77" w14:textId="77777777" w:rsidR="009C41BB" w:rsidRDefault="009C41BB" w:rsidP="009C41BB"/>
    <w:p w14:paraId="66CE0F74" w14:textId="77777777" w:rsidR="009C41BB" w:rsidRDefault="009C41BB" w:rsidP="009C41BB">
      <w:pPr>
        <w:pStyle w:val="Questionstyle"/>
        <w:numPr>
          <w:ilvl w:val="0"/>
          <w:numId w:val="42"/>
        </w:numPr>
      </w:pPr>
      <w:r>
        <w:t xml:space="preserve">: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w:t>
      </w:r>
      <w:proofErr w:type="gramStart"/>
      <w:r>
        <w:t>you</w:t>
      </w:r>
      <w:proofErr w:type="gramEnd"/>
      <w:r>
        <w:t xml:space="preserve"> answer.</w:t>
      </w:r>
    </w:p>
    <w:p w14:paraId="0A33C862" w14:textId="77777777" w:rsidR="009C41BB" w:rsidRDefault="009C41BB" w:rsidP="009C41BB">
      <w:r>
        <w:t>&lt;ESMA_QUESTION_SFDR_29&gt;</w:t>
      </w:r>
    </w:p>
    <w:p w14:paraId="7F9B1903" w14:textId="77777777" w:rsidR="009C41BB" w:rsidRDefault="009C41BB" w:rsidP="009C41BB">
      <w:permStart w:id="811147857" w:edGrp="everyone"/>
      <w:r>
        <w:t>TYPE YOUR TEXT HERE</w:t>
      </w:r>
    </w:p>
    <w:permEnd w:id="811147857"/>
    <w:p w14:paraId="7C1B77E1" w14:textId="77777777" w:rsidR="009C41BB" w:rsidRDefault="009C41BB" w:rsidP="009C41BB">
      <w:r>
        <w:t>&lt;ESMA_QUESTION_SFDR_29&gt;</w:t>
      </w:r>
    </w:p>
    <w:p w14:paraId="44D2F33E" w14:textId="77777777" w:rsidR="009C41BB" w:rsidRDefault="009C41BB" w:rsidP="009C41BB"/>
    <w:p w14:paraId="6BCA58C7" w14:textId="77777777" w:rsidR="009C41BB" w:rsidRDefault="009C41BB" w:rsidP="009C41BB">
      <w:pPr>
        <w:pStyle w:val="Questionstyle"/>
        <w:numPr>
          <w:ilvl w:val="0"/>
          <w:numId w:val="42"/>
        </w:numPr>
      </w:pPr>
      <w: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Default="009C41BB" w:rsidP="009C41BB">
      <w:r>
        <w:lastRenderedPageBreak/>
        <w:t>&lt;ESMA_QUESTION_SFDR_30&gt;</w:t>
      </w:r>
    </w:p>
    <w:p w14:paraId="0F8C3A8C" w14:textId="39ED3BD1" w:rsidR="000078D3" w:rsidRDefault="000078D3" w:rsidP="009C41BB">
      <w:permStart w:id="1512666765" w:edGrp="everyone"/>
      <w:r>
        <w:t xml:space="preserve"> As stated in question 21, CDP welcomes the inclusion of a summary dashboard but recommends leveraging products’ website to increase</w:t>
      </w:r>
      <w:r w:rsidRPr="001E25E8">
        <w:t xml:space="preserve"> </w:t>
      </w:r>
      <w:r>
        <w:t xml:space="preserve">retail </w:t>
      </w:r>
      <w:r w:rsidRPr="001E25E8">
        <w:t>investors</w:t>
      </w:r>
      <w:r>
        <w:t xml:space="preserve">’ access to information. </w:t>
      </w:r>
      <w:r w:rsidRPr="001E25E8">
        <w:t xml:space="preserve"> </w:t>
      </w:r>
      <w:permEnd w:id="1512666765"/>
    </w:p>
    <w:p w14:paraId="3CC109DF" w14:textId="0750EB5A" w:rsidR="009C41BB" w:rsidRDefault="009C41BB" w:rsidP="009C41BB">
      <w:r>
        <w:t>&lt;ESMA_QUESTION_SFDR_30&gt;</w:t>
      </w:r>
    </w:p>
    <w:p w14:paraId="54A490E5" w14:textId="77777777" w:rsidR="009C41BB" w:rsidRDefault="009C41BB" w:rsidP="009C41BB"/>
    <w:p w14:paraId="48578419" w14:textId="77777777" w:rsidR="009C41BB" w:rsidRDefault="009C41BB" w:rsidP="009C41BB">
      <w:pPr>
        <w:pStyle w:val="Questionstyle"/>
        <w:numPr>
          <w:ilvl w:val="0"/>
          <w:numId w:val="42"/>
        </w:numPr>
      </w:pPr>
      <w: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Default="009C41BB" w:rsidP="009C41BB">
      <w:r>
        <w:t>&lt;ESMA_QUESTION_SFDR_31&gt;</w:t>
      </w:r>
    </w:p>
    <w:p w14:paraId="4A991AED" w14:textId="77777777" w:rsidR="009C41BB" w:rsidRDefault="009C41BB" w:rsidP="009C41BB">
      <w:permStart w:id="782583199" w:edGrp="everyone"/>
      <w:r>
        <w:t>TYPE YOUR TEXT HERE</w:t>
      </w:r>
    </w:p>
    <w:permEnd w:id="782583199"/>
    <w:p w14:paraId="6EAACB4A" w14:textId="77777777" w:rsidR="009C41BB" w:rsidRDefault="009C41BB" w:rsidP="009C41BB">
      <w:r>
        <w:t>&lt;ESMA_QUESTION_SFDR_31&gt;</w:t>
      </w:r>
    </w:p>
    <w:p w14:paraId="2945C3E1" w14:textId="77777777" w:rsidR="009C41BB" w:rsidRDefault="009C41BB" w:rsidP="009C41BB"/>
    <w:p w14:paraId="74785B16" w14:textId="77777777" w:rsidR="009C41BB" w:rsidRDefault="009C41BB" w:rsidP="009C41BB">
      <w:pPr>
        <w:pStyle w:val="Questionstyle"/>
        <w:numPr>
          <w:ilvl w:val="0"/>
          <w:numId w:val="42"/>
        </w:numPr>
      </w:pPr>
      <w:r>
        <w:t>: Do you have any suggestion on how to further simplify or enhance the legibility of the current templates?</w:t>
      </w:r>
    </w:p>
    <w:p w14:paraId="484B5EB7" w14:textId="77777777" w:rsidR="009C41BB" w:rsidRDefault="009C41BB" w:rsidP="009C41BB">
      <w:r>
        <w:t>&lt;ESMA_QUESTION_SFDR_32&gt;</w:t>
      </w:r>
    </w:p>
    <w:p w14:paraId="0E7D78E9" w14:textId="77777777" w:rsidR="009C41BB" w:rsidRDefault="009C41BB" w:rsidP="009C41BB">
      <w:permStart w:id="1403335001" w:edGrp="everyone"/>
      <w:r>
        <w:t>TYPE YOUR TEXT HERE</w:t>
      </w:r>
    </w:p>
    <w:permEnd w:id="1403335001"/>
    <w:p w14:paraId="7E9441BB" w14:textId="77777777" w:rsidR="009C41BB" w:rsidRDefault="009C41BB" w:rsidP="009C41BB">
      <w:r>
        <w:t>&lt;ESMA_QUESTION_SFDR_32&gt;</w:t>
      </w:r>
    </w:p>
    <w:p w14:paraId="18AAA0E4" w14:textId="77777777" w:rsidR="009C41BB" w:rsidRDefault="009C41BB" w:rsidP="009C41BB"/>
    <w:p w14:paraId="64EB0B57" w14:textId="77777777" w:rsidR="009C41BB" w:rsidRDefault="009C41BB" w:rsidP="009C41BB">
      <w:pPr>
        <w:pStyle w:val="Questionstyle"/>
        <w:numPr>
          <w:ilvl w:val="0"/>
          <w:numId w:val="42"/>
        </w:numPr>
      </w:pPr>
      <w:r>
        <w:t>: Is the investment tree in the asset allocation section necessary if the dashboard shows the proportion of sustainable and taxonomy-aligned investments?</w:t>
      </w:r>
    </w:p>
    <w:p w14:paraId="281EF182" w14:textId="77777777" w:rsidR="009C41BB" w:rsidRDefault="009C41BB" w:rsidP="009C41BB">
      <w:r>
        <w:t>&lt;ESMA_QUESTION_SFDR_33&gt;</w:t>
      </w:r>
    </w:p>
    <w:p w14:paraId="4623C717" w14:textId="77777777" w:rsidR="009C41BB" w:rsidRDefault="009C41BB" w:rsidP="009C41BB">
      <w:permStart w:id="1422073065" w:edGrp="everyone"/>
      <w:r>
        <w:t>TYPE YOUR TEXT HERE</w:t>
      </w:r>
    </w:p>
    <w:permEnd w:id="1422073065"/>
    <w:p w14:paraId="6599A667" w14:textId="77777777" w:rsidR="009C41BB" w:rsidRDefault="009C41BB" w:rsidP="009C41BB">
      <w:r>
        <w:t>&lt;ESMA_QUESTION_SFDR_33&gt;</w:t>
      </w:r>
    </w:p>
    <w:p w14:paraId="5291B095" w14:textId="77777777" w:rsidR="009C41BB" w:rsidRDefault="009C41BB" w:rsidP="009C41BB"/>
    <w:p w14:paraId="3A3024F0" w14:textId="77777777" w:rsidR="009C41BB" w:rsidRDefault="009C41BB" w:rsidP="009C41BB">
      <w:pPr>
        <w:pStyle w:val="Questionstyle"/>
        <w:numPr>
          <w:ilvl w:val="0"/>
          <w:numId w:val="42"/>
        </w:numPr>
      </w:pPr>
      <w:r>
        <w:t xml:space="preserve">: Do you agree with this approach of ensuring consistency in the use of </w:t>
      </w:r>
      <w:proofErr w:type="spellStart"/>
      <w:r>
        <w:t>colours</w:t>
      </w:r>
      <w:proofErr w:type="spellEnd"/>
      <w:r>
        <w:t xml:space="preserve"> in Annex II to V in the templates?</w:t>
      </w:r>
    </w:p>
    <w:p w14:paraId="6405D8BD" w14:textId="77777777" w:rsidR="009C41BB" w:rsidRDefault="009C41BB" w:rsidP="009C41BB">
      <w:r>
        <w:t>&lt;ESMA_QUESTION_SFDR_34&gt;</w:t>
      </w:r>
    </w:p>
    <w:p w14:paraId="4F58A46C" w14:textId="77777777" w:rsidR="009C41BB" w:rsidRDefault="009C41BB" w:rsidP="009C41BB">
      <w:permStart w:id="335090742" w:edGrp="everyone"/>
      <w:r>
        <w:lastRenderedPageBreak/>
        <w:t>TYPE YOUR TEXT HERE</w:t>
      </w:r>
    </w:p>
    <w:permEnd w:id="335090742"/>
    <w:p w14:paraId="16A8B44E" w14:textId="77777777" w:rsidR="009C41BB" w:rsidRDefault="009C41BB" w:rsidP="009C41BB">
      <w:r>
        <w:t>&lt;ESMA_QUESTION_SFDR_34&gt;</w:t>
      </w:r>
    </w:p>
    <w:p w14:paraId="6119CB7B" w14:textId="77777777" w:rsidR="009C41BB" w:rsidRDefault="009C41BB" w:rsidP="009C41BB"/>
    <w:p w14:paraId="35A021E6" w14:textId="77777777" w:rsidR="009C41BB" w:rsidRDefault="009C41BB" w:rsidP="009C41BB">
      <w:pPr>
        <w:pStyle w:val="Questionstyle"/>
        <w:numPr>
          <w:ilvl w:val="0"/>
          <w:numId w:val="42"/>
        </w:numPr>
      </w:pPr>
      <w:r>
        <w:t>: Do you agree with the approach to allow to display the pre-contractual and periodic disclosures in an extendable manner electronically?</w:t>
      </w:r>
    </w:p>
    <w:p w14:paraId="5B4143D4" w14:textId="77777777" w:rsidR="009C41BB" w:rsidRDefault="009C41BB" w:rsidP="009C41BB">
      <w:r>
        <w:t>&lt;ESMA_QUESTION_SFDR_35&gt;</w:t>
      </w:r>
    </w:p>
    <w:p w14:paraId="71D3FC98" w14:textId="77777777" w:rsidR="009C41BB" w:rsidRDefault="009C41BB" w:rsidP="009C41BB">
      <w:permStart w:id="1624927821" w:edGrp="everyone"/>
      <w:r>
        <w:t>TYPE YOUR TEXT HERE</w:t>
      </w:r>
    </w:p>
    <w:permEnd w:id="1624927821"/>
    <w:p w14:paraId="6C8E5897" w14:textId="77777777" w:rsidR="009C41BB" w:rsidRDefault="009C41BB" w:rsidP="009C41BB">
      <w:r>
        <w:t>&lt;ESMA_QUESTION_SFDR_35&gt;</w:t>
      </w:r>
    </w:p>
    <w:p w14:paraId="2BE97EFC" w14:textId="77777777" w:rsidR="009C41BB" w:rsidRDefault="009C41BB" w:rsidP="009C41BB"/>
    <w:p w14:paraId="37B95334" w14:textId="77777777" w:rsidR="009C41BB" w:rsidRDefault="009C41BB" w:rsidP="009C41BB">
      <w:pPr>
        <w:pStyle w:val="Questionstyle"/>
        <w:numPr>
          <w:ilvl w:val="0"/>
          <w:numId w:val="42"/>
        </w:numPr>
      </w:pPr>
      <w:r>
        <w:t xml:space="preserve">: Do you have any feedback </w:t>
      </w:r>
      <w:proofErr w:type="gramStart"/>
      <w:r>
        <w:t>with regard to</w:t>
      </w:r>
      <w:proofErr w:type="gramEnd"/>
      <w:r>
        <w:t xml:space="preserve"> the potential criteria for estimates?</w:t>
      </w:r>
    </w:p>
    <w:p w14:paraId="5BB9BA92" w14:textId="77777777" w:rsidR="009C41BB" w:rsidRDefault="009C41BB" w:rsidP="009C41BB">
      <w:r>
        <w:t>&lt;ESMA_QUESTION_SFDR_36&gt;</w:t>
      </w:r>
    </w:p>
    <w:p w14:paraId="7F375438" w14:textId="77777777" w:rsidR="009C41BB" w:rsidRDefault="009C41BB" w:rsidP="009C41BB">
      <w:permStart w:id="1338527016" w:edGrp="everyone"/>
      <w:r>
        <w:t>TYPE YOUR TEXT HERE</w:t>
      </w:r>
    </w:p>
    <w:permEnd w:id="1338527016"/>
    <w:p w14:paraId="08A6D8BD" w14:textId="77777777" w:rsidR="009C41BB" w:rsidRDefault="009C41BB" w:rsidP="009C41BB">
      <w:r>
        <w:t>&lt;ESMA_QUESTION_SFDR_36&gt;</w:t>
      </w:r>
    </w:p>
    <w:p w14:paraId="03D58FD3" w14:textId="77777777" w:rsidR="009C41BB" w:rsidRDefault="009C41BB" w:rsidP="009C41BB"/>
    <w:p w14:paraId="32FB37DE" w14:textId="77777777" w:rsidR="009C41BB" w:rsidRDefault="009C41BB" w:rsidP="009C41BB">
      <w:pPr>
        <w:pStyle w:val="Questionstyle"/>
        <w:numPr>
          <w:ilvl w:val="0"/>
          <w:numId w:val="42"/>
        </w:numPr>
      </w:pPr>
      <w:r>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5916FA23" w14:textId="6147DC6D" w:rsidR="009C41BB" w:rsidRDefault="00F34F2C" w:rsidP="009C41BB">
      <w:permStart w:id="1477927507" w:edGrp="everyone"/>
      <w:r>
        <w:t xml:space="preserve">CDP </w:t>
      </w:r>
      <w:r w:rsidR="0003223F">
        <w:t xml:space="preserve">highlights the importance of principal adverse impact indicators as key elements to assess </w:t>
      </w:r>
      <w:r w:rsidR="00B911B8">
        <w:t xml:space="preserve">investee </w:t>
      </w:r>
      <w:r w:rsidR="0003223F">
        <w:t>compan</w:t>
      </w:r>
      <w:r w:rsidR="00B911B8">
        <w:t>ies</w:t>
      </w:r>
      <w:r w:rsidR="0003223F">
        <w:t>’ materiality</w:t>
      </w:r>
      <w:r w:rsidR="001250B3">
        <w:t>. CDP notes that the difference between principal adverse impact</w:t>
      </w:r>
      <w:r w:rsidR="004D42A0">
        <w:t xml:space="preserve"> indicators</w:t>
      </w:r>
      <w:r w:rsidR="001250B3">
        <w:t xml:space="preserve"> and </w:t>
      </w:r>
      <w:r w:rsidR="004D42A0">
        <w:t>additional</w:t>
      </w:r>
      <w:r w:rsidR="00BB0DA5">
        <w:t xml:space="preserve"> adverse impact</w:t>
      </w:r>
      <w:r w:rsidR="004D42A0">
        <w:t xml:space="preserve"> indicators </w:t>
      </w:r>
      <w:r w:rsidR="0000381C">
        <w:t xml:space="preserve">is that </w:t>
      </w:r>
      <w:r w:rsidR="004D42A0">
        <w:t>principal adverse impacts indicators captu</w:t>
      </w:r>
      <w:r w:rsidR="0000381C">
        <w:t xml:space="preserve">re </w:t>
      </w:r>
      <w:r w:rsidR="002871A2">
        <w:t>impacts that are always negative for sustainability matters (such as the emissions of pollutants in water</w:t>
      </w:r>
      <w:r w:rsidR="00830536">
        <w:t>), while additional indicators are more context dependent.</w:t>
      </w:r>
      <w:r w:rsidR="006C1248">
        <w:t xml:space="preserve"> In this respect, PAI indicators should </w:t>
      </w:r>
      <w:r w:rsidR="00C66FDA" w:rsidRPr="00C66FDA">
        <w:rPr>
          <w:u w:val="single"/>
        </w:rPr>
        <w:t>all</w:t>
      </w:r>
      <w:r w:rsidR="00C66FDA">
        <w:t xml:space="preserve"> </w:t>
      </w:r>
      <w:r w:rsidR="006C1248">
        <w:t xml:space="preserve">be considered </w:t>
      </w:r>
      <w:r w:rsidR="004F4B2B">
        <w:t xml:space="preserve">as key environmental </w:t>
      </w:r>
      <w:r w:rsidR="00916517">
        <w:t xml:space="preserve">metrics </w:t>
      </w:r>
      <w:r w:rsidR="00C66FDA">
        <w:t xml:space="preserve">to assess DNSH. The full list of </w:t>
      </w:r>
      <w:proofErr w:type="gramStart"/>
      <w:r w:rsidR="00C66FDA">
        <w:t>indicator</w:t>
      </w:r>
      <w:proofErr w:type="gramEnd"/>
      <w:r w:rsidR="00C66FDA">
        <w:t xml:space="preserve"> could be leveraged to assess substantial contribution</w:t>
      </w:r>
      <w:r w:rsidR="007875CD">
        <w:t xml:space="preserve"> (i.e., recycling ratios, water use…)</w:t>
      </w:r>
      <w:r w:rsidR="00C66FDA">
        <w:t>.</w:t>
      </w:r>
    </w:p>
    <w:permEnd w:id="1477927507"/>
    <w:p w14:paraId="6186E95A" w14:textId="77777777" w:rsidR="009C41BB" w:rsidRDefault="009C41BB" w:rsidP="009C41BB">
      <w:r>
        <w:t>&lt;ESMA_QUESTION_SFDR_37&gt;</w:t>
      </w:r>
    </w:p>
    <w:p w14:paraId="0FB31D55" w14:textId="77777777" w:rsidR="009C41BB" w:rsidRDefault="009C41BB" w:rsidP="009C41BB"/>
    <w:p w14:paraId="6578EE1D" w14:textId="77777777" w:rsidR="009C41BB" w:rsidRDefault="009C41BB" w:rsidP="009C41BB">
      <w:pPr>
        <w:pStyle w:val="Questionstyle"/>
        <w:numPr>
          <w:ilvl w:val="0"/>
          <w:numId w:val="42"/>
        </w:numPr>
      </w:pPr>
      <w:r>
        <w:t>: Do you see the need to set out specific rules on the calculation of the proportion of sustainable investments of financial products? Please elaborate.</w:t>
      </w:r>
    </w:p>
    <w:p w14:paraId="6B53BD21" w14:textId="77777777" w:rsidR="009C41BB" w:rsidRDefault="009C41BB" w:rsidP="009C41BB">
      <w:r>
        <w:t>&lt;ESMA_QUESTION_SFDR_38&gt;</w:t>
      </w:r>
    </w:p>
    <w:p w14:paraId="3CEE03D9" w14:textId="77777777" w:rsidR="00643134" w:rsidRDefault="000078D3" w:rsidP="00643134">
      <w:permStart w:id="214654652" w:edGrp="everyone"/>
      <w:r>
        <w:lastRenderedPageBreak/>
        <w:t xml:space="preserve"> </w:t>
      </w:r>
      <w:r w:rsidR="00643134">
        <w:t>Yes</w:t>
      </w:r>
      <w:r w:rsidR="004535C6">
        <w:t xml:space="preserve">, CDP would welcome more guidance on the calculation </w:t>
      </w:r>
      <w:r w:rsidR="00EE033E">
        <w:t xml:space="preserve">of the </w:t>
      </w:r>
      <w:r w:rsidR="004535C6">
        <w:t>proportion of sustainable investment</w:t>
      </w:r>
      <w:r w:rsidR="00EE033E">
        <w:t>s</w:t>
      </w:r>
      <w:r w:rsidR="00643134">
        <w:t xml:space="preserve">. </w:t>
      </w:r>
      <w:r w:rsidR="004535C6">
        <w:t xml:space="preserve">Certain </w:t>
      </w:r>
      <w:r w:rsidR="0088732A">
        <w:t xml:space="preserve">industry </w:t>
      </w:r>
      <w:r w:rsidR="004535C6">
        <w:t>definition</w:t>
      </w:r>
      <w:r w:rsidR="0088732A">
        <w:t>s</w:t>
      </w:r>
      <w:r w:rsidR="004535C6">
        <w:t xml:space="preserve"> of sustainable investments use companies’ revenues in </w:t>
      </w:r>
      <w:r w:rsidR="008E15FA">
        <w:t>economic</w:t>
      </w:r>
      <w:r w:rsidR="004535C6">
        <w:t xml:space="preserve"> activities</w:t>
      </w:r>
      <w:r w:rsidR="008E15FA">
        <w:t xml:space="preserve"> (not defined by the EU taxonomy</w:t>
      </w:r>
      <w:proofErr w:type="gramStart"/>
      <w:r w:rsidR="008E15FA">
        <w:t>)</w:t>
      </w:r>
      <w:r w:rsidR="004535C6">
        <w:t>, and</w:t>
      </w:r>
      <w:proofErr w:type="gramEnd"/>
      <w:r w:rsidR="004535C6">
        <w:t xml:space="preserve"> apply a </w:t>
      </w:r>
      <w:r w:rsidR="008E15FA">
        <w:t xml:space="preserve">minimum </w:t>
      </w:r>
      <w:r w:rsidR="004535C6">
        <w:t xml:space="preserve">threshold to </w:t>
      </w:r>
      <w:r w:rsidR="00EE033E">
        <w:t>consider that this company is 100% sustainable investment</w:t>
      </w:r>
      <w:r w:rsidR="00643134">
        <w:t xml:space="preserve">. </w:t>
      </w:r>
      <w:r w:rsidR="00EE033E">
        <w:t>For example,</w:t>
      </w:r>
      <w:r w:rsidR="00643134">
        <w:t xml:space="preserve"> 25% of min</w:t>
      </w:r>
      <w:r w:rsidR="00EE033E">
        <w:t>imum</w:t>
      </w:r>
      <w:r w:rsidR="00643134">
        <w:t xml:space="preserve"> revenue threshold in </w:t>
      </w:r>
      <w:r w:rsidR="00EE033E">
        <w:t>railway manufacturing</w:t>
      </w:r>
      <w:r w:rsidR="00643134">
        <w:t xml:space="preserve"> and the company is counted as 100% SI</w:t>
      </w:r>
      <w:r w:rsidR="00EE033E">
        <w:t>. As per our comment on DNSH thresholds, those threshold-based methodologies will generate very different results depending on the threshold.</w:t>
      </w:r>
      <w:r w:rsidR="00643134">
        <w:t xml:space="preserve"> </w:t>
      </w:r>
      <w:r w:rsidR="00EE033E">
        <w:t xml:space="preserve">(50%, </w:t>
      </w:r>
      <w:r w:rsidR="00643134">
        <w:t>20%</w:t>
      </w:r>
      <w:r w:rsidR="00EE033E">
        <w:t xml:space="preserve"> </w:t>
      </w:r>
      <w:r w:rsidR="00643134">
        <w:t>or 15% will make portfolio look very different</w:t>
      </w:r>
      <w:r w:rsidR="00EE033E">
        <w:t xml:space="preserve"> in terms of SI proportion)</w:t>
      </w:r>
      <w:r w:rsidR="00643134">
        <w:t xml:space="preserve">. </w:t>
      </w:r>
    </w:p>
    <w:p w14:paraId="54698CBC" w14:textId="7BC63985" w:rsidR="00643134" w:rsidRDefault="00EE033E" w:rsidP="00643134">
      <w:r>
        <w:t xml:space="preserve">In the absence of guidance, </w:t>
      </w:r>
      <w:r w:rsidR="00531DBA">
        <w:t xml:space="preserve">more </w:t>
      </w:r>
      <w:r>
        <w:t xml:space="preserve">transparency </w:t>
      </w:r>
      <w:r w:rsidR="009624B4">
        <w:t xml:space="preserve">is required. </w:t>
      </w:r>
      <w:permEnd w:id="214654652"/>
    </w:p>
    <w:p w14:paraId="2FA3340A" w14:textId="4A8B6FC0" w:rsidR="009C41BB" w:rsidRDefault="009C41BB" w:rsidP="00643134">
      <w:r>
        <w:t>&lt;ESMA_QUESTION_SFDR_38&gt;</w:t>
      </w:r>
    </w:p>
    <w:p w14:paraId="23102D84" w14:textId="77777777" w:rsidR="009C41BB" w:rsidRDefault="009C41BB" w:rsidP="009C41BB"/>
    <w:p w14:paraId="3EAED82D" w14:textId="77777777" w:rsidR="009C41BB" w:rsidRDefault="009C41BB" w:rsidP="009C41BB">
      <w:pPr>
        <w:pStyle w:val="Questionstyle"/>
        <w:numPr>
          <w:ilvl w:val="0"/>
          <w:numId w:val="42"/>
        </w:numPr>
      </w:pPr>
      <w:r>
        <w:t>: Do you agree that cross-</w:t>
      </w:r>
      <w:proofErr w:type="gramStart"/>
      <w:r>
        <w:t>referencing in</w:t>
      </w:r>
      <w:proofErr w:type="gramEnd"/>
      <w:r>
        <w:t xml:space="preserve"> periodic disclosures of financial products with investment options would be beneficial to address information overload?</w:t>
      </w:r>
    </w:p>
    <w:p w14:paraId="54A80B2A" w14:textId="77777777" w:rsidR="009C41BB" w:rsidRDefault="009C41BB" w:rsidP="009C41BB">
      <w:r>
        <w:t>&lt;ESMA_QUESTION_SFDR_39&gt;</w:t>
      </w:r>
    </w:p>
    <w:p w14:paraId="4DC13BC6" w14:textId="77777777" w:rsidR="009C41BB" w:rsidRDefault="009C41BB" w:rsidP="009C41BB">
      <w:permStart w:id="2135520093" w:edGrp="everyone"/>
      <w:r>
        <w:t>TYPE YOUR TEXT HERE</w:t>
      </w:r>
    </w:p>
    <w:permEnd w:id="2135520093"/>
    <w:p w14:paraId="091EFBE4" w14:textId="77777777" w:rsidR="009C41BB" w:rsidRDefault="009C41BB" w:rsidP="009C41BB">
      <w:r>
        <w:t>&lt;ESMA_QUESTION_SFDR_39&gt;</w:t>
      </w:r>
    </w:p>
    <w:p w14:paraId="04B20EF5" w14:textId="77777777" w:rsidR="009C41BB" w:rsidRDefault="009C41BB" w:rsidP="009C41BB"/>
    <w:p w14:paraId="3DF4782A" w14:textId="77777777" w:rsidR="009C41BB" w:rsidRDefault="009C41BB" w:rsidP="009C41BB">
      <w:pPr>
        <w:pStyle w:val="Questionstyle"/>
        <w:numPr>
          <w:ilvl w:val="0"/>
          <w:numId w:val="42"/>
        </w:numPr>
      </w:pPr>
      <w:r>
        <w:t>: Do you agree with the proposed website disclosures for financial products with investment options?</w:t>
      </w:r>
    </w:p>
    <w:p w14:paraId="66B2AEB5" w14:textId="77777777" w:rsidR="009C41BB" w:rsidRDefault="009C41BB" w:rsidP="009C41BB">
      <w:r>
        <w:t>&lt;ESMA_QUESTION_SFDR_40&gt;</w:t>
      </w:r>
    </w:p>
    <w:p w14:paraId="6FE55295" w14:textId="77777777" w:rsidR="009C41BB" w:rsidRDefault="009C41BB" w:rsidP="009C41BB">
      <w:permStart w:id="388397641" w:edGrp="everyone"/>
      <w:r>
        <w:t>TYPE YOUR TEXT HERE</w:t>
      </w:r>
    </w:p>
    <w:permEnd w:id="388397641"/>
    <w:p w14:paraId="4B9E0F7F" w14:textId="77777777" w:rsidR="009C41BB" w:rsidRDefault="009C41BB" w:rsidP="009C41BB">
      <w:r>
        <w:t>&lt;ESMA_QUESTION_SFDR_40&gt;</w:t>
      </w:r>
    </w:p>
    <w:p w14:paraId="09C54E3C" w14:textId="77777777" w:rsidR="009C41BB" w:rsidRDefault="009C41BB" w:rsidP="009C41BB"/>
    <w:p w14:paraId="71571821" w14:textId="77777777" w:rsidR="009C41BB" w:rsidRDefault="009C41BB" w:rsidP="009C41BB">
      <w:pPr>
        <w:pStyle w:val="Questionstyle"/>
        <w:numPr>
          <w:ilvl w:val="0"/>
          <w:numId w:val="42"/>
        </w:numPr>
      </w:pPr>
      <w:r>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Default="009C41BB" w:rsidP="009C41BB">
      <w:r>
        <w:t>&lt;ESMA_QUESTION_SFDR_41&gt;</w:t>
      </w:r>
    </w:p>
    <w:p w14:paraId="4AA5024F" w14:textId="77777777" w:rsidR="009C41BB" w:rsidRDefault="009C41BB" w:rsidP="009C41BB">
      <w:permStart w:id="1516521151" w:edGrp="everyone"/>
      <w:r>
        <w:lastRenderedPageBreak/>
        <w:t>TYPE YOUR TEXT HERE</w:t>
      </w:r>
    </w:p>
    <w:permEnd w:id="1516521151"/>
    <w:p w14:paraId="37566D76" w14:textId="77777777" w:rsidR="009C41BB" w:rsidRDefault="009C41BB" w:rsidP="009C41BB">
      <w:r>
        <w:t>&lt;ESMA_QUESTION_SFDR_41&gt;</w:t>
      </w:r>
    </w:p>
    <w:p w14:paraId="09B21CC4" w14:textId="77777777" w:rsidR="009C41BB" w:rsidRDefault="009C41BB" w:rsidP="009C41BB"/>
    <w:p w14:paraId="110636F7" w14:textId="77777777" w:rsidR="009C41BB" w:rsidRDefault="009C41BB" w:rsidP="009C41BB">
      <w:pPr>
        <w:pStyle w:val="Questionstyle"/>
        <w:numPr>
          <w:ilvl w:val="0"/>
          <w:numId w:val="42"/>
        </w:numPr>
      </w:pPr>
      <w: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Default="009C41BB" w:rsidP="009C41BB">
      <w:r>
        <w:t>&lt;ESMA_QUESTION_SFDR_42&gt;</w:t>
      </w:r>
    </w:p>
    <w:p w14:paraId="1B7F9EC1" w14:textId="77777777" w:rsidR="009C41BB" w:rsidRDefault="009C41BB" w:rsidP="009C41BB">
      <w:permStart w:id="2063756698" w:edGrp="everyone"/>
      <w:r>
        <w:t>TYPE YOUR TEXT HERE</w:t>
      </w:r>
    </w:p>
    <w:permEnd w:id="2063756698"/>
    <w:p w14:paraId="09FA201E" w14:textId="77777777" w:rsidR="009C41BB" w:rsidRDefault="009C41BB" w:rsidP="009C41BB">
      <w:r>
        <w:t>&lt;ESMA_QUESTION_SFDR_42&gt;</w:t>
      </w:r>
    </w:p>
    <w:p w14:paraId="5BAED5BF" w14:textId="77777777" w:rsidR="009C41BB" w:rsidRDefault="009C41BB" w:rsidP="009C41BB"/>
    <w:p w14:paraId="5D4AD8BA" w14:textId="77777777" w:rsidR="009C41BB" w:rsidRDefault="009C41BB" w:rsidP="009C41BB">
      <w:pPr>
        <w:pStyle w:val="Questionstyle"/>
        <w:numPr>
          <w:ilvl w:val="0"/>
          <w:numId w:val="42"/>
        </w:numPr>
      </w:pPr>
      <w:r>
        <w:t>: Do you have any views on the preliminary impact assessments? Can you provide estimates of costs associated with each of the policy options?</w:t>
      </w:r>
    </w:p>
    <w:p w14:paraId="1B693755" w14:textId="77777777" w:rsidR="009C41BB" w:rsidRDefault="009C41BB" w:rsidP="009C41BB">
      <w:r>
        <w:t>&lt;ESMA_QUESTION_SFDR_43&gt;</w:t>
      </w:r>
    </w:p>
    <w:p w14:paraId="2E7C709A" w14:textId="77777777" w:rsidR="009C41BB" w:rsidRDefault="009C41BB" w:rsidP="009C41BB">
      <w:permStart w:id="1679513234" w:edGrp="everyone"/>
      <w:r>
        <w:t>TYPE YOUR TEXT HERE</w:t>
      </w:r>
    </w:p>
    <w:permEnd w:id="1679513234"/>
    <w:p w14:paraId="76F88AAD" w14:textId="77777777" w:rsidR="009C41BB" w:rsidRDefault="009C41BB" w:rsidP="009C41BB">
      <w:r>
        <w:t>&lt;ESMA_QUESTION_SFDR_43&gt;</w:t>
      </w:r>
    </w:p>
    <w:p w14:paraId="37ECFAAC" w14:textId="77777777" w:rsidR="009C41BB" w:rsidRDefault="009C41BB" w:rsidP="009C41BB"/>
    <w:p w14:paraId="19595AA6" w14:textId="77777777" w:rsidR="009C41BB" w:rsidRDefault="009C41BB" w:rsidP="009C41BB"/>
    <w:p w14:paraId="6FB57019"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default" r:id="rId16"/>
      <w:footerReference w:type="default" r:id="rId17"/>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AD859" w14:textId="77777777" w:rsidR="00A75FA2" w:rsidRDefault="00A75FA2" w:rsidP="00707738">
      <w:pPr>
        <w:spacing w:after="0" w:line="240" w:lineRule="auto"/>
      </w:pPr>
      <w:r>
        <w:separator/>
      </w:r>
    </w:p>
  </w:endnote>
  <w:endnote w:type="continuationSeparator" w:id="0">
    <w:p w14:paraId="11ACBC52" w14:textId="77777777" w:rsidR="00A75FA2" w:rsidRDefault="00A75FA2" w:rsidP="00707738">
      <w:pPr>
        <w:spacing w:after="0" w:line="240" w:lineRule="auto"/>
      </w:pPr>
      <w:r>
        <w:continuationSeparator/>
      </w:r>
    </w:p>
  </w:endnote>
  <w:endnote w:type="continuationNotice" w:id="1">
    <w:p w14:paraId="55A895EA" w14:textId="77777777" w:rsidR="00A75FA2" w:rsidRDefault="00A75F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670219"/>
      <w:docPartObj>
        <w:docPartGallery w:val="Page Numbers (Bottom of Page)"/>
        <w:docPartUnique/>
      </w:docPartObj>
    </w:sdtPr>
    <w:sdtEndPr>
      <w:rPr>
        <w:noProof/>
      </w:rPr>
    </w:sdtEndPr>
    <w:sdtContent>
      <w:p w14:paraId="57337071" w14:textId="77777777" w:rsidR="00142894" w:rsidRDefault="00142894">
        <w:pPr>
          <w:pStyle w:val="Footer"/>
          <w:jc w:val="right"/>
        </w:pPr>
        <w:r>
          <w:fldChar w:fldCharType="begin"/>
        </w:r>
        <w:r>
          <w:instrText xml:space="preserve"> PAGE   \* MERGEFORMAT </w:instrText>
        </w:r>
        <w:r>
          <w:fldChar w:fldCharType="separate"/>
        </w:r>
        <w:r w:rsidR="00E827EB">
          <w:rPr>
            <w:noProof/>
          </w:rPr>
          <w:t>3</w:t>
        </w:r>
        <w:r>
          <w:rPr>
            <w:noProof/>
          </w:rPr>
          <w:fldChar w:fldCharType="end"/>
        </w:r>
      </w:p>
    </w:sdtContent>
  </w:sdt>
  <w:p w14:paraId="6B6D8C38" w14:textId="77777777" w:rsidR="008A6C4F" w:rsidRDefault="008A6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EE4C6" w14:textId="77777777" w:rsidR="00A75FA2" w:rsidRDefault="00A75FA2" w:rsidP="00707738">
      <w:pPr>
        <w:spacing w:after="0" w:line="240" w:lineRule="auto"/>
      </w:pPr>
      <w:r>
        <w:separator/>
      </w:r>
    </w:p>
  </w:footnote>
  <w:footnote w:type="continuationSeparator" w:id="0">
    <w:p w14:paraId="52412346" w14:textId="77777777" w:rsidR="00A75FA2" w:rsidRDefault="00A75FA2" w:rsidP="00707738">
      <w:pPr>
        <w:spacing w:after="0" w:line="240" w:lineRule="auto"/>
      </w:pPr>
      <w:r>
        <w:continuationSeparator/>
      </w:r>
    </w:p>
  </w:footnote>
  <w:footnote w:type="continuationNotice" w:id="1">
    <w:p w14:paraId="34180BFD" w14:textId="77777777" w:rsidR="00A75FA2" w:rsidRDefault="00A75FA2">
      <w:pPr>
        <w:spacing w:after="0" w:line="240" w:lineRule="auto"/>
      </w:pPr>
    </w:p>
  </w:footnote>
  <w:footnote w:id="2">
    <w:p w14:paraId="5BF82E71" w14:textId="77777777" w:rsidR="009C41BB" w:rsidRDefault="009C41BB" w:rsidP="009C41BB">
      <w:pPr>
        <w:pStyle w:val="FootnoteText"/>
      </w:pPr>
      <w:r>
        <w:rPr>
          <w:rStyle w:val="FootnoteReference"/>
        </w:rPr>
        <w:footnoteRef/>
      </w:r>
      <w:r>
        <w:t xml:space="preserve"> </w:t>
      </w:r>
      <w:r w:rsidRPr="00010A39">
        <w:t xml:space="preserve">Regulation (EU) 2018/1725 OF THE EUROPEAN PARLIAMENT AND OF THE COUNCIL of 23 October 2018 on the protection of natural persons </w:t>
      </w:r>
      <w:proofErr w:type="gramStart"/>
      <w:r w:rsidRPr="00010A39">
        <w:t>with regard to</w:t>
      </w:r>
      <w:proofErr w:type="gramEnd"/>
      <w:r w:rsidRPr="00010A39">
        <w:t xml:space="preserve"> the processing of personal data by the Union institutions, bodies, offices and agencies and on the free movement of such data, and repealing Regulation (EC) No 45/2001 and Decision No 1247/2002/EC, OJ L 295, 21.11.2018, p. 39.</w:t>
      </w:r>
    </w:p>
  </w:footnote>
  <w:footnote w:id="3">
    <w:p w14:paraId="21F661E5" w14:textId="77777777" w:rsidR="003C1F4A" w:rsidRDefault="003C1F4A">
      <w:pPr>
        <w:pStyle w:val="FootnoteText"/>
      </w:pPr>
      <w:r>
        <w:rPr>
          <w:rStyle w:val="FootnoteReference"/>
        </w:rPr>
        <w:footnoteRef/>
      </w:r>
      <w:r>
        <w:t xml:space="preserve"> </w:t>
      </w:r>
      <w:r w:rsidRPr="003C1F4A">
        <w:t xml:space="preserve">Activities </w:t>
      </w:r>
      <w:proofErr w:type="gramStart"/>
      <w:r w:rsidRPr="003C1F4A">
        <w:t>are considered to be</w:t>
      </w:r>
      <w:proofErr w:type="gramEnd"/>
      <w:r w:rsidRPr="003C1F4A">
        <w:t xml:space="preserve"> located near to biodiversity- sensitive areas if the biodiversity- sensitive area is within the site/operation’s area of influence i.e., the area within which the activities may directly and/or indirectly cause impacts. For some sectors, such as Metals &amp; mining, it is possible for impacts to be felt as far as 70km away (</w:t>
      </w:r>
      <w:proofErr w:type="spellStart"/>
      <w:r w:rsidRPr="003C1F4A">
        <w:t>Sonter</w:t>
      </w:r>
      <w:proofErr w:type="spellEnd"/>
      <w:r w:rsidRPr="003C1F4A">
        <w:t>, L.J., Herrera, D., Barrett, D.J. et al.,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7F85" w14:textId="1A763933" w:rsidR="00161F7C" w:rsidRDefault="00276971">
    <w:pPr>
      <w:pStyle w:val="Header"/>
    </w:pPr>
    <w:r>
      <w:rPr>
        <w:noProof/>
      </w:rPr>
      <mc:AlternateContent>
        <mc:Choice Requires="wpg">
          <w:drawing>
            <wp:anchor distT="0" distB="0" distL="114300" distR="114300" simplePos="0" relativeHeight="251658240"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w:pict>
            <v:group w14:anchorId="48C1D7B4" id="Group 2" o:spid="_x0000_s1026" style="position:absolute;margin-left:0;margin-top:-.05pt;width:424.85pt;height:51.75pt;z-index:251658240;mso-position-horizontal:center;mso-position-horizontal-relative:margin" coordsize="53955,657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41077;top:211;width:12878;height:5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r:id="rId3" o:title="" cropleft="48719f"/>
              </v:shape>
              <v:shape id="Graphic 1" o:spid="_x0000_s1028" type="#_x0000_t75" style="position:absolute;width:38290;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EFE"/>
    <w:multiLevelType w:val="hybridMultilevel"/>
    <w:tmpl w:val="B6E01CC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31DCF"/>
    <w:multiLevelType w:val="hybridMultilevel"/>
    <w:tmpl w:val="6E007C04"/>
    <w:lvl w:ilvl="0" w:tplc="0CF802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E3CA5"/>
    <w:multiLevelType w:val="hybridMultilevel"/>
    <w:tmpl w:val="53D8E2A0"/>
    <w:lvl w:ilvl="0" w:tplc="5E9AC07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2AF283C"/>
    <w:multiLevelType w:val="hybridMultilevel"/>
    <w:tmpl w:val="39C24B90"/>
    <w:lvl w:ilvl="0" w:tplc="69DEDBD0">
      <w:start w:val="8"/>
      <w:numFmt w:val="bullet"/>
      <w:lvlText w:val=""/>
      <w:lvlJc w:val="left"/>
      <w:pPr>
        <w:ind w:left="1080" w:hanging="360"/>
      </w:pPr>
      <w:rPr>
        <w:rFonts w:ascii="Symbol" w:eastAsia="MS PGothic"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315241"/>
    <w:multiLevelType w:val="hybridMultilevel"/>
    <w:tmpl w:val="B66A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F5E37"/>
    <w:multiLevelType w:val="hybridMultilevel"/>
    <w:tmpl w:val="525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F80C1D"/>
    <w:multiLevelType w:val="hybridMultilevel"/>
    <w:tmpl w:val="C47EA1CA"/>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291500"/>
    <w:multiLevelType w:val="hybridMultilevel"/>
    <w:tmpl w:val="CAA0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6913D0"/>
    <w:multiLevelType w:val="hybridMultilevel"/>
    <w:tmpl w:val="8E4E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120BA1"/>
    <w:multiLevelType w:val="hybridMultilevel"/>
    <w:tmpl w:val="52248BEE"/>
    <w:lvl w:ilvl="0" w:tplc="AB7C352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0E42377B"/>
    <w:multiLevelType w:val="hybridMultilevel"/>
    <w:tmpl w:val="4DDC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263CFF"/>
    <w:multiLevelType w:val="hybridMultilevel"/>
    <w:tmpl w:val="95D2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84723"/>
    <w:multiLevelType w:val="hybridMultilevel"/>
    <w:tmpl w:val="347CFE06"/>
    <w:lvl w:ilvl="0" w:tplc="0C0A1DD0">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2319B8"/>
    <w:multiLevelType w:val="hybridMultilevel"/>
    <w:tmpl w:val="BA0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5F0E03"/>
    <w:multiLevelType w:val="hybridMultilevel"/>
    <w:tmpl w:val="7D6AE184"/>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8716285"/>
    <w:multiLevelType w:val="hybridMultilevel"/>
    <w:tmpl w:val="69BCA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DC0C95"/>
    <w:multiLevelType w:val="hybridMultilevel"/>
    <w:tmpl w:val="05307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C8C4E59"/>
    <w:multiLevelType w:val="hybridMultilevel"/>
    <w:tmpl w:val="0E5A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5B74DE"/>
    <w:multiLevelType w:val="hybridMultilevel"/>
    <w:tmpl w:val="81449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DFB507A"/>
    <w:multiLevelType w:val="hybridMultilevel"/>
    <w:tmpl w:val="26BC5E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5C70C54"/>
    <w:multiLevelType w:val="hybridMultilevel"/>
    <w:tmpl w:val="BDE0B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20011E"/>
    <w:multiLevelType w:val="hybridMultilevel"/>
    <w:tmpl w:val="1B480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4833821"/>
    <w:multiLevelType w:val="hybridMultilevel"/>
    <w:tmpl w:val="0C06A872"/>
    <w:lvl w:ilvl="0" w:tplc="31088DBC">
      <w:start w:val="2"/>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3" w15:restartNumberingAfterBreak="0">
    <w:nsid w:val="35204839"/>
    <w:multiLevelType w:val="hybridMultilevel"/>
    <w:tmpl w:val="6EB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2B0AAD"/>
    <w:multiLevelType w:val="hybridMultilevel"/>
    <w:tmpl w:val="11EA7B8A"/>
    <w:lvl w:ilvl="0" w:tplc="DE1201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DE35C7"/>
    <w:multiLevelType w:val="hybridMultilevel"/>
    <w:tmpl w:val="078493DA"/>
    <w:lvl w:ilvl="0" w:tplc="79E82D44">
      <w:start w:val="8"/>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4B2B73B5"/>
    <w:multiLevelType w:val="hybridMultilevel"/>
    <w:tmpl w:val="D32A7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6386450"/>
    <w:multiLevelType w:val="hybridMultilevel"/>
    <w:tmpl w:val="D24C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7B74B40"/>
    <w:multiLevelType w:val="hybridMultilevel"/>
    <w:tmpl w:val="3FFC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DD4FC7"/>
    <w:multiLevelType w:val="hybridMultilevel"/>
    <w:tmpl w:val="83F26BAC"/>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E622A5"/>
    <w:multiLevelType w:val="hybridMultilevel"/>
    <w:tmpl w:val="3EA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D97E07"/>
    <w:multiLevelType w:val="hybridMultilevel"/>
    <w:tmpl w:val="13561B6C"/>
    <w:lvl w:ilvl="0" w:tplc="43A472D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5D4D1CE2"/>
    <w:multiLevelType w:val="hybridMultilevel"/>
    <w:tmpl w:val="9BD0062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5E0F79"/>
    <w:multiLevelType w:val="hybridMultilevel"/>
    <w:tmpl w:val="87DEF1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5F1275B1"/>
    <w:multiLevelType w:val="hybridMultilevel"/>
    <w:tmpl w:val="715C65A4"/>
    <w:lvl w:ilvl="0" w:tplc="AF562A92">
      <w:start w:val="8"/>
      <w:numFmt w:val="bullet"/>
      <w:lvlText w:val=""/>
      <w:lvlJc w:val="left"/>
      <w:pPr>
        <w:ind w:left="720" w:hanging="360"/>
      </w:pPr>
      <w:rPr>
        <w:rFonts w:ascii="Symbol" w:eastAsia="MS PGothic"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7E23D2"/>
    <w:multiLevelType w:val="hybridMultilevel"/>
    <w:tmpl w:val="C912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055972"/>
    <w:multiLevelType w:val="hybridMultilevel"/>
    <w:tmpl w:val="6ADC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B03722"/>
    <w:multiLevelType w:val="hybridMultilevel"/>
    <w:tmpl w:val="7EC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0D66C2"/>
    <w:multiLevelType w:val="hybridMultilevel"/>
    <w:tmpl w:val="7E68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CF730E"/>
    <w:multiLevelType w:val="hybridMultilevel"/>
    <w:tmpl w:val="2C8426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E492C1F"/>
    <w:multiLevelType w:val="hybridMultilevel"/>
    <w:tmpl w:val="53568B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7B2221E5"/>
    <w:multiLevelType w:val="hybridMultilevel"/>
    <w:tmpl w:val="96BAF562"/>
    <w:lvl w:ilvl="0" w:tplc="0D7CA50E">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8522741">
    <w:abstractNumId w:val="23"/>
  </w:num>
  <w:num w:numId="2" w16cid:durableId="1173495345">
    <w:abstractNumId w:val="1"/>
  </w:num>
  <w:num w:numId="3" w16cid:durableId="166870467">
    <w:abstractNumId w:val="7"/>
  </w:num>
  <w:num w:numId="4" w16cid:durableId="1691951035">
    <w:abstractNumId w:val="24"/>
  </w:num>
  <w:num w:numId="5" w16cid:durableId="1011906559">
    <w:abstractNumId w:val="30"/>
  </w:num>
  <w:num w:numId="6" w16cid:durableId="1277104421">
    <w:abstractNumId w:val="32"/>
  </w:num>
  <w:num w:numId="7" w16cid:durableId="242104871">
    <w:abstractNumId w:val="21"/>
  </w:num>
  <w:num w:numId="8" w16cid:durableId="522284696">
    <w:abstractNumId w:val="13"/>
  </w:num>
  <w:num w:numId="9" w16cid:durableId="1250770362">
    <w:abstractNumId w:val="8"/>
  </w:num>
  <w:num w:numId="10" w16cid:durableId="1358701701">
    <w:abstractNumId w:val="38"/>
  </w:num>
  <w:num w:numId="11" w16cid:durableId="1625037795">
    <w:abstractNumId w:val="22"/>
  </w:num>
  <w:num w:numId="12" w16cid:durableId="61487579">
    <w:abstractNumId w:val="43"/>
  </w:num>
  <w:num w:numId="13" w16cid:durableId="856233915">
    <w:abstractNumId w:val="17"/>
  </w:num>
  <w:num w:numId="14" w16cid:durableId="1381858278">
    <w:abstractNumId w:val="36"/>
  </w:num>
  <w:num w:numId="15" w16cid:durableId="402408764">
    <w:abstractNumId w:val="3"/>
  </w:num>
  <w:num w:numId="16" w16cid:durableId="1085760005">
    <w:abstractNumId w:val="29"/>
  </w:num>
  <w:num w:numId="17" w16cid:durableId="633215943">
    <w:abstractNumId w:val="5"/>
  </w:num>
  <w:num w:numId="18" w16cid:durableId="2020691353">
    <w:abstractNumId w:val="26"/>
  </w:num>
  <w:num w:numId="19" w16cid:durableId="1500385072">
    <w:abstractNumId w:val="11"/>
  </w:num>
  <w:num w:numId="20" w16cid:durableId="1520046844">
    <w:abstractNumId w:val="41"/>
  </w:num>
  <w:num w:numId="21" w16cid:durableId="748115910">
    <w:abstractNumId w:val="4"/>
  </w:num>
  <w:num w:numId="22" w16cid:durableId="717703608">
    <w:abstractNumId w:val="37"/>
  </w:num>
  <w:num w:numId="23" w16cid:durableId="600113171">
    <w:abstractNumId w:val="15"/>
  </w:num>
  <w:num w:numId="24" w16cid:durableId="241523878">
    <w:abstractNumId w:val="39"/>
  </w:num>
  <w:num w:numId="25" w16cid:durableId="80297080">
    <w:abstractNumId w:val="10"/>
  </w:num>
  <w:num w:numId="26" w16cid:durableId="576936923">
    <w:abstractNumId w:val="40"/>
  </w:num>
  <w:num w:numId="27" w16cid:durableId="379136238">
    <w:abstractNumId w:val="20"/>
  </w:num>
  <w:num w:numId="28" w16cid:durableId="1234242114">
    <w:abstractNumId w:val="18"/>
  </w:num>
  <w:num w:numId="29" w16cid:durableId="6490979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2865041">
    <w:abstractNumId w:val="16"/>
  </w:num>
  <w:num w:numId="31" w16cid:durableId="2036344500">
    <w:abstractNumId w:val="19"/>
  </w:num>
  <w:num w:numId="32" w16cid:durableId="891308780">
    <w:abstractNumId w:val="28"/>
  </w:num>
  <w:num w:numId="33" w16cid:durableId="2059163146">
    <w:abstractNumId w:val="2"/>
  </w:num>
  <w:num w:numId="34" w16cid:durableId="767845549">
    <w:abstractNumId w:val="12"/>
  </w:num>
  <w:num w:numId="35" w16cid:durableId="1295915667">
    <w:abstractNumId w:val="0"/>
  </w:num>
  <w:num w:numId="36" w16cid:durableId="597906997">
    <w:abstractNumId w:val="34"/>
  </w:num>
  <w:num w:numId="37" w16cid:durableId="860432523">
    <w:abstractNumId w:val="27"/>
  </w:num>
  <w:num w:numId="38" w16cid:durableId="1880386777">
    <w:abstractNumId w:val="25"/>
  </w:num>
  <w:num w:numId="39" w16cid:durableId="140314737">
    <w:abstractNumId w:val="6"/>
  </w:num>
  <w:num w:numId="40" w16cid:durableId="399055937">
    <w:abstractNumId w:val="31"/>
  </w:num>
  <w:num w:numId="41" w16cid:durableId="713895999">
    <w:abstractNumId w:val="14"/>
  </w:num>
  <w:num w:numId="42" w16cid:durableId="1845654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58055373">
    <w:abstractNumId w:val="33"/>
  </w:num>
  <w:num w:numId="44" w16cid:durableId="1824736229">
    <w:abstractNumId w:val="35"/>
  </w:num>
  <w:num w:numId="45" w16cid:durableId="9494332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activeWritingStyle w:appName="MSWord" w:lang="en-DE" w:vendorID="64" w:dllVersion="0" w:nlCheck="1" w:checkStyle="0"/>
  <w:activeWritingStyle w:appName="MSWord" w:lang="fr-FR" w:vendorID="64" w:dllVersion="0" w:nlCheck="1" w:checkStyle="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2BD9"/>
    <w:rsid w:val="00002D0E"/>
    <w:rsid w:val="0000381C"/>
    <w:rsid w:val="00004BCF"/>
    <w:rsid w:val="00005041"/>
    <w:rsid w:val="0000519F"/>
    <w:rsid w:val="00006294"/>
    <w:rsid w:val="000078D3"/>
    <w:rsid w:val="00010643"/>
    <w:rsid w:val="00011399"/>
    <w:rsid w:val="00012092"/>
    <w:rsid w:val="00012894"/>
    <w:rsid w:val="00014682"/>
    <w:rsid w:val="00014D80"/>
    <w:rsid w:val="00014FC1"/>
    <w:rsid w:val="00015A63"/>
    <w:rsid w:val="00017975"/>
    <w:rsid w:val="00017CCB"/>
    <w:rsid w:val="00017E26"/>
    <w:rsid w:val="00020224"/>
    <w:rsid w:val="000210DA"/>
    <w:rsid w:val="00021998"/>
    <w:rsid w:val="0002382B"/>
    <w:rsid w:val="0002610A"/>
    <w:rsid w:val="00027F7B"/>
    <w:rsid w:val="0003054A"/>
    <w:rsid w:val="0003223F"/>
    <w:rsid w:val="000323D3"/>
    <w:rsid w:val="0003264C"/>
    <w:rsid w:val="00034BCA"/>
    <w:rsid w:val="00034CD6"/>
    <w:rsid w:val="0003591B"/>
    <w:rsid w:val="00040F50"/>
    <w:rsid w:val="00041510"/>
    <w:rsid w:val="0004186B"/>
    <w:rsid w:val="000419D7"/>
    <w:rsid w:val="00044BDB"/>
    <w:rsid w:val="0004517F"/>
    <w:rsid w:val="00045DC1"/>
    <w:rsid w:val="00045F93"/>
    <w:rsid w:val="00050C64"/>
    <w:rsid w:val="00051C3B"/>
    <w:rsid w:val="00051D75"/>
    <w:rsid w:val="00051F4B"/>
    <w:rsid w:val="00052966"/>
    <w:rsid w:val="000535B6"/>
    <w:rsid w:val="00054EFC"/>
    <w:rsid w:val="000559B1"/>
    <w:rsid w:val="00055FB8"/>
    <w:rsid w:val="00056C1F"/>
    <w:rsid w:val="000577BD"/>
    <w:rsid w:val="0006019B"/>
    <w:rsid w:val="00060374"/>
    <w:rsid w:val="000608BB"/>
    <w:rsid w:val="00060FFD"/>
    <w:rsid w:val="00061CC5"/>
    <w:rsid w:val="00061ECB"/>
    <w:rsid w:val="00062613"/>
    <w:rsid w:val="000670EC"/>
    <w:rsid w:val="00072418"/>
    <w:rsid w:val="00072A71"/>
    <w:rsid w:val="000733E0"/>
    <w:rsid w:val="00073F2F"/>
    <w:rsid w:val="00074570"/>
    <w:rsid w:val="0007578C"/>
    <w:rsid w:val="00076B4F"/>
    <w:rsid w:val="00081471"/>
    <w:rsid w:val="000831D8"/>
    <w:rsid w:val="00083F33"/>
    <w:rsid w:val="0008493E"/>
    <w:rsid w:val="0008625B"/>
    <w:rsid w:val="00091187"/>
    <w:rsid w:val="000914BE"/>
    <w:rsid w:val="0009209F"/>
    <w:rsid w:val="00093282"/>
    <w:rsid w:val="00094C6B"/>
    <w:rsid w:val="00095CCD"/>
    <w:rsid w:val="00095E45"/>
    <w:rsid w:val="00097757"/>
    <w:rsid w:val="000A0627"/>
    <w:rsid w:val="000A14D4"/>
    <w:rsid w:val="000A23CE"/>
    <w:rsid w:val="000A2DCD"/>
    <w:rsid w:val="000A389E"/>
    <w:rsid w:val="000A47F0"/>
    <w:rsid w:val="000B1B90"/>
    <w:rsid w:val="000B1C49"/>
    <w:rsid w:val="000B2D70"/>
    <w:rsid w:val="000B378A"/>
    <w:rsid w:val="000B44DB"/>
    <w:rsid w:val="000B4672"/>
    <w:rsid w:val="000B5823"/>
    <w:rsid w:val="000B64DA"/>
    <w:rsid w:val="000B6506"/>
    <w:rsid w:val="000C2820"/>
    <w:rsid w:val="000C34DA"/>
    <w:rsid w:val="000C3996"/>
    <w:rsid w:val="000C76A0"/>
    <w:rsid w:val="000D081D"/>
    <w:rsid w:val="000D173C"/>
    <w:rsid w:val="000D274A"/>
    <w:rsid w:val="000D4BD0"/>
    <w:rsid w:val="000D5DA1"/>
    <w:rsid w:val="000E09A3"/>
    <w:rsid w:val="000E0F53"/>
    <w:rsid w:val="000E148B"/>
    <w:rsid w:val="000E162B"/>
    <w:rsid w:val="000E1671"/>
    <w:rsid w:val="000E209D"/>
    <w:rsid w:val="000F0320"/>
    <w:rsid w:val="000F116E"/>
    <w:rsid w:val="000F1C1A"/>
    <w:rsid w:val="000F2312"/>
    <w:rsid w:val="000F2E76"/>
    <w:rsid w:val="000F3513"/>
    <w:rsid w:val="000F48C0"/>
    <w:rsid w:val="000F5DF6"/>
    <w:rsid w:val="001009E1"/>
    <w:rsid w:val="0010295A"/>
    <w:rsid w:val="00103CDF"/>
    <w:rsid w:val="001043B5"/>
    <w:rsid w:val="001068A8"/>
    <w:rsid w:val="00110DC7"/>
    <w:rsid w:val="00111A2F"/>
    <w:rsid w:val="00111EE2"/>
    <w:rsid w:val="00114AE5"/>
    <w:rsid w:val="00115964"/>
    <w:rsid w:val="00116D02"/>
    <w:rsid w:val="00117F89"/>
    <w:rsid w:val="00121F7F"/>
    <w:rsid w:val="00122C81"/>
    <w:rsid w:val="001250B3"/>
    <w:rsid w:val="00125769"/>
    <w:rsid w:val="001275B5"/>
    <w:rsid w:val="001276AF"/>
    <w:rsid w:val="00130308"/>
    <w:rsid w:val="00130FA0"/>
    <w:rsid w:val="0013460E"/>
    <w:rsid w:val="00134EFB"/>
    <w:rsid w:val="0013601B"/>
    <w:rsid w:val="00140EAA"/>
    <w:rsid w:val="001414C8"/>
    <w:rsid w:val="00142894"/>
    <w:rsid w:val="00145AC7"/>
    <w:rsid w:val="001519E0"/>
    <w:rsid w:val="00151DA2"/>
    <w:rsid w:val="00152987"/>
    <w:rsid w:val="00152B70"/>
    <w:rsid w:val="00153F8E"/>
    <w:rsid w:val="00154193"/>
    <w:rsid w:val="001543CD"/>
    <w:rsid w:val="00157759"/>
    <w:rsid w:val="00161F7C"/>
    <w:rsid w:val="0016304C"/>
    <w:rsid w:val="00163CAA"/>
    <w:rsid w:val="001651CD"/>
    <w:rsid w:val="00171CC5"/>
    <w:rsid w:val="00171F53"/>
    <w:rsid w:val="001724CE"/>
    <w:rsid w:val="00172929"/>
    <w:rsid w:val="001732F3"/>
    <w:rsid w:val="0017367A"/>
    <w:rsid w:val="00180B29"/>
    <w:rsid w:val="00184522"/>
    <w:rsid w:val="001845DA"/>
    <w:rsid w:val="001846C3"/>
    <w:rsid w:val="0018499A"/>
    <w:rsid w:val="00184EE6"/>
    <w:rsid w:val="00185016"/>
    <w:rsid w:val="00185CBB"/>
    <w:rsid w:val="00185D7A"/>
    <w:rsid w:val="00185FAB"/>
    <w:rsid w:val="0019098D"/>
    <w:rsid w:val="00193F37"/>
    <w:rsid w:val="0019445C"/>
    <w:rsid w:val="001A3B94"/>
    <w:rsid w:val="001A6646"/>
    <w:rsid w:val="001A7191"/>
    <w:rsid w:val="001A7931"/>
    <w:rsid w:val="001A7C2A"/>
    <w:rsid w:val="001B0A21"/>
    <w:rsid w:val="001B3DF9"/>
    <w:rsid w:val="001B4613"/>
    <w:rsid w:val="001B6F96"/>
    <w:rsid w:val="001B78F3"/>
    <w:rsid w:val="001B7B9B"/>
    <w:rsid w:val="001C0B6C"/>
    <w:rsid w:val="001C0B9E"/>
    <w:rsid w:val="001C2449"/>
    <w:rsid w:val="001C39FE"/>
    <w:rsid w:val="001C71D5"/>
    <w:rsid w:val="001C7760"/>
    <w:rsid w:val="001C78E7"/>
    <w:rsid w:val="001D28D2"/>
    <w:rsid w:val="001D3D71"/>
    <w:rsid w:val="001D3EE5"/>
    <w:rsid w:val="001D5DBD"/>
    <w:rsid w:val="001D6744"/>
    <w:rsid w:val="001D6960"/>
    <w:rsid w:val="001D7267"/>
    <w:rsid w:val="001D741B"/>
    <w:rsid w:val="001D7E6B"/>
    <w:rsid w:val="001E25E8"/>
    <w:rsid w:val="001E419B"/>
    <w:rsid w:val="001E6128"/>
    <w:rsid w:val="001E7466"/>
    <w:rsid w:val="001F049E"/>
    <w:rsid w:val="001F0D95"/>
    <w:rsid w:val="001F0EE1"/>
    <w:rsid w:val="001F130A"/>
    <w:rsid w:val="001F1F4E"/>
    <w:rsid w:val="001F204C"/>
    <w:rsid w:val="001F38E8"/>
    <w:rsid w:val="001F3FCA"/>
    <w:rsid w:val="001F5CFA"/>
    <w:rsid w:val="001F7A65"/>
    <w:rsid w:val="00202261"/>
    <w:rsid w:val="00204003"/>
    <w:rsid w:val="00205962"/>
    <w:rsid w:val="00205AE8"/>
    <w:rsid w:val="00206F76"/>
    <w:rsid w:val="00207ABE"/>
    <w:rsid w:val="0021058D"/>
    <w:rsid w:val="0021224B"/>
    <w:rsid w:val="00214016"/>
    <w:rsid w:val="00220114"/>
    <w:rsid w:val="00220C42"/>
    <w:rsid w:val="00221B34"/>
    <w:rsid w:val="0022333D"/>
    <w:rsid w:val="0022392F"/>
    <w:rsid w:val="00223C1A"/>
    <w:rsid w:val="00225DCC"/>
    <w:rsid w:val="002275C7"/>
    <w:rsid w:val="00230475"/>
    <w:rsid w:val="00230846"/>
    <w:rsid w:val="00230D55"/>
    <w:rsid w:val="00233A42"/>
    <w:rsid w:val="002372FB"/>
    <w:rsid w:val="00237826"/>
    <w:rsid w:val="00237F7D"/>
    <w:rsid w:val="002406BE"/>
    <w:rsid w:val="002435C8"/>
    <w:rsid w:val="00243BB5"/>
    <w:rsid w:val="00244DC1"/>
    <w:rsid w:val="002460CE"/>
    <w:rsid w:val="0024677A"/>
    <w:rsid w:val="00247364"/>
    <w:rsid w:val="00250338"/>
    <w:rsid w:val="0025034E"/>
    <w:rsid w:val="00251F67"/>
    <w:rsid w:val="00253135"/>
    <w:rsid w:val="00254757"/>
    <w:rsid w:val="002554C6"/>
    <w:rsid w:val="00256770"/>
    <w:rsid w:val="00257E5D"/>
    <w:rsid w:val="002623F6"/>
    <w:rsid w:val="00262BC4"/>
    <w:rsid w:val="00263177"/>
    <w:rsid w:val="00270481"/>
    <w:rsid w:val="0027095D"/>
    <w:rsid w:val="002724C2"/>
    <w:rsid w:val="0027308F"/>
    <w:rsid w:val="00273B0F"/>
    <w:rsid w:val="002742CC"/>
    <w:rsid w:val="00275CAD"/>
    <w:rsid w:val="00276971"/>
    <w:rsid w:val="00276D48"/>
    <w:rsid w:val="002813DB"/>
    <w:rsid w:val="00281EC6"/>
    <w:rsid w:val="00283AE6"/>
    <w:rsid w:val="00285AAD"/>
    <w:rsid w:val="00286684"/>
    <w:rsid w:val="002871A2"/>
    <w:rsid w:val="0029044B"/>
    <w:rsid w:val="00294F4A"/>
    <w:rsid w:val="00297997"/>
    <w:rsid w:val="002A3A96"/>
    <w:rsid w:val="002A4237"/>
    <w:rsid w:val="002A52F1"/>
    <w:rsid w:val="002B6AF2"/>
    <w:rsid w:val="002B7CAB"/>
    <w:rsid w:val="002C5816"/>
    <w:rsid w:val="002C6DB7"/>
    <w:rsid w:val="002C7D06"/>
    <w:rsid w:val="002D1271"/>
    <w:rsid w:val="002D2AF8"/>
    <w:rsid w:val="002D4E1F"/>
    <w:rsid w:val="002D6035"/>
    <w:rsid w:val="002D609E"/>
    <w:rsid w:val="002D6230"/>
    <w:rsid w:val="002D6DE0"/>
    <w:rsid w:val="002D7006"/>
    <w:rsid w:val="002D7454"/>
    <w:rsid w:val="002E18B7"/>
    <w:rsid w:val="002E2619"/>
    <w:rsid w:val="002E3A1C"/>
    <w:rsid w:val="002E3B45"/>
    <w:rsid w:val="002E552F"/>
    <w:rsid w:val="002F16EA"/>
    <w:rsid w:val="002F37D9"/>
    <w:rsid w:val="002F49D1"/>
    <w:rsid w:val="002F545F"/>
    <w:rsid w:val="002F5D06"/>
    <w:rsid w:val="002F6A5D"/>
    <w:rsid w:val="002F6DAD"/>
    <w:rsid w:val="0030106B"/>
    <w:rsid w:val="00302124"/>
    <w:rsid w:val="0030468D"/>
    <w:rsid w:val="00304BA4"/>
    <w:rsid w:val="00306553"/>
    <w:rsid w:val="003065F3"/>
    <w:rsid w:val="00306795"/>
    <w:rsid w:val="00310EEC"/>
    <w:rsid w:val="00311609"/>
    <w:rsid w:val="003118A8"/>
    <w:rsid w:val="00312973"/>
    <w:rsid w:val="00312A95"/>
    <w:rsid w:val="00314878"/>
    <w:rsid w:val="003149D4"/>
    <w:rsid w:val="00314A34"/>
    <w:rsid w:val="003152DF"/>
    <w:rsid w:val="003169AC"/>
    <w:rsid w:val="003202F6"/>
    <w:rsid w:val="003231B7"/>
    <w:rsid w:val="00326F7D"/>
    <w:rsid w:val="00330775"/>
    <w:rsid w:val="00330F6D"/>
    <w:rsid w:val="003363F4"/>
    <w:rsid w:val="0034021B"/>
    <w:rsid w:val="00341A52"/>
    <w:rsid w:val="00341DC8"/>
    <w:rsid w:val="003450BC"/>
    <w:rsid w:val="003458EC"/>
    <w:rsid w:val="00345E2B"/>
    <w:rsid w:val="0034665F"/>
    <w:rsid w:val="003478C9"/>
    <w:rsid w:val="00351678"/>
    <w:rsid w:val="00351724"/>
    <w:rsid w:val="00352F26"/>
    <w:rsid w:val="00354021"/>
    <w:rsid w:val="00354046"/>
    <w:rsid w:val="0035675F"/>
    <w:rsid w:val="00356CA0"/>
    <w:rsid w:val="00362582"/>
    <w:rsid w:val="003635DC"/>
    <w:rsid w:val="003643E0"/>
    <w:rsid w:val="003653C8"/>
    <w:rsid w:val="003661A6"/>
    <w:rsid w:val="00367B0A"/>
    <w:rsid w:val="00367CD1"/>
    <w:rsid w:val="00367F99"/>
    <w:rsid w:val="003713E2"/>
    <w:rsid w:val="003718B2"/>
    <w:rsid w:val="0037316F"/>
    <w:rsid w:val="00376212"/>
    <w:rsid w:val="003768AF"/>
    <w:rsid w:val="00377F18"/>
    <w:rsid w:val="003802C9"/>
    <w:rsid w:val="00380BED"/>
    <w:rsid w:val="00384600"/>
    <w:rsid w:val="00384678"/>
    <w:rsid w:val="00390232"/>
    <w:rsid w:val="00391785"/>
    <w:rsid w:val="00391C7B"/>
    <w:rsid w:val="00397767"/>
    <w:rsid w:val="00397AF5"/>
    <w:rsid w:val="003A45D5"/>
    <w:rsid w:val="003A5FB5"/>
    <w:rsid w:val="003A61D4"/>
    <w:rsid w:val="003A6AE1"/>
    <w:rsid w:val="003A6BE0"/>
    <w:rsid w:val="003A758F"/>
    <w:rsid w:val="003B02A0"/>
    <w:rsid w:val="003B2A90"/>
    <w:rsid w:val="003B4577"/>
    <w:rsid w:val="003B7881"/>
    <w:rsid w:val="003C0B83"/>
    <w:rsid w:val="003C1F4A"/>
    <w:rsid w:val="003C3243"/>
    <w:rsid w:val="003C34DE"/>
    <w:rsid w:val="003C4184"/>
    <w:rsid w:val="003C42D8"/>
    <w:rsid w:val="003C43A8"/>
    <w:rsid w:val="003C58CA"/>
    <w:rsid w:val="003C6B59"/>
    <w:rsid w:val="003D0E27"/>
    <w:rsid w:val="003D2755"/>
    <w:rsid w:val="003D3AF4"/>
    <w:rsid w:val="003D6985"/>
    <w:rsid w:val="003E094E"/>
    <w:rsid w:val="003E3CD5"/>
    <w:rsid w:val="003E6A9E"/>
    <w:rsid w:val="003E6C62"/>
    <w:rsid w:val="003E75B9"/>
    <w:rsid w:val="003E7FD7"/>
    <w:rsid w:val="003F00E2"/>
    <w:rsid w:val="003F3691"/>
    <w:rsid w:val="003F6D3C"/>
    <w:rsid w:val="003F7573"/>
    <w:rsid w:val="003F7CE4"/>
    <w:rsid w:val="003F7DF6"/>
    <w:rsid w:val="00400D2F"/>
    <w:rsid w:val="0040187D"/>
    <w:rsid w:val="00401B7C"/>
    <w:rsid w:val="00404090"/>
    <w:rsid w:val="004048EF"/>
    <w:rsid w:val="00405967"/>
    <w:rsid w:val="0040688A"/>
    <w:rsid w:val="0040759A"/>
    <w:rsid w:val="00412F27"/>
    <w:rsid w:val="004151B3"/>
    <w:rsid w:val="00415CAC"/>
    <w:rsid w:val="00420313"/>
    <w:rsid w:val="0042112E"/>
    <w:rsid w:val="004221B2"/>
    <w:rsid w:val="00422AB6"/>
    <w:rsid w:val="00423475"/>
    <w:rsid w:val="00423C2C"/>
    <w:rsid w:val="00423DE4"/>
    <w:rsid w:val="00424609"/>
    <w:rsid w:val="004253C7"/>
    <w:rsid w:val="0042593C"/>
    <w:rsid w:val="00425C62"/>
    <w:rsid w:val="00426F1B"/>
    <w:rsid w:val="0042737E"/>
    <w:rsid w:val="0043036A"/>
    <w:rsid w:val="0043054B"/>
    <w:rsid w:val="004312A6"/>
    <w:rsid w:val="00431360"/>
    <w:rsid w:val="004354C6"/>
    <w:rsid w:val="00435862"/>
    <w:rsid w:val="00435B8B"/>
    <w:rsid w:val="004367EA"/>
    <w:rsid w:val="00436CF3"/>
    <w:rsid w:val="004379A0"/>
    <w:rsid w:val="00440841"/>
    <w:rsid w:val="004415A2"/>
    <w:rsid w:val="00441C01"/>
    <w:rsid w:val="00446733"/>
    <w:rsid w:val="00447626"/>
    <w:rsid w:val="00452FA3"/>
    <w:rsid w:val="004535C6"/>
    <w:rsid w:val="00454488"/>
    <w:rsid w:val="0045475E"/>
    <w:rsid w:val="00454809"/>
    <w:rsid w:val="00454BF0"/>
    <w:rsid w:val="004567D1"/>
    <w:rsid w:val="00463478"/>
    <w:rsid w:val="004666A4"/>
    <w:rsid w:val="004678B2"/>
    <w:rsid w:val="00473535"/>
    <w:rsid w:val="00473C6D"/>
    <w:rsid w:val="0047433B"/>
    <w:rsid w:val="00476C6C"/>
    <w:rsid w:val="00476EF6"/>
    <w:rsid w:val="00481135"/>
    <w:rsid w:val="0048489F"/>
    <w:rsid w:val="004879B9"/>
    <w:rsid w:val="004904E4"/>
    <w:rsid w:val="004916CB"/>
    <w:rsid w:val="004933D4"/>
    <w:rsid w:val="0049373C"/>
    <w:rsid w:val="004957D4"/>
    <w:rsid w:val="00495A99"/>
    <w:rsid w:val="00496D11"/>
    <w:rsid w:val="004970A6"/>
    <w:rsid w:val="004A03C4"/>
    <w:rsid w:val="004A05E0"/>
    <w:rsid w:val="004A3E05"/>
    <w:rsid w:val="004A415A"/>
    <w:rsid w:val="004A4EB1"/>
    <w:rsid w:val="004A76D1"/>
    <w:rsid w:val="004A7D73"/>
    <w:rsid w:val="004B03A3"/>
    <w:rsid w:val="004B23ED"/>
    <w:rsid w:val="004B7CF4"/>
    <w:rsid w:val="004C1D42"/>
    <w:rsid w:val="004C35E8"/>
    <w:rsid w:val="004C43A3"/>
    <w:rsid w:val="004C4E78"/>
    <w:rsid w:val="004C5139"/>
    <w:rsid w:val="004C7662"/>
    <w:rsid w:val="004C79BD"/>
    <w:rsid w:val="004D088D"/>
    <w:rsid w:val="004D0D19"/>
    <w:rsid w:val="004D22F3"/>
    <w:rsid w:val="004D41F6"/>
    <w:rsid w:val="004D42A0"/>
    <w:rsid w:val="004D4970"/>
    <w:rsid w:val="004D4AF2"/>
    <w:rsid w:val="004D588A"/>
    <w:rsid w:val="004D5890"/>
    <w:rsid w:val="004E212E"/>
    <w:rsid w:val="004E25E8"/>
    <w:rsid w:val="004E494E"/>
    <w:rsid w:val="004E4C99"/>
    <w:rsid w:val="004E513B"/>
    <w:rsid w:val="004E5CE6"/>
    <w:rsid w:val="004F0049"/>
    <w:rsid w:val="004F42FC"/>
    <w:rsid w:val="004F4B2B"/>
    <w:rsid w:val="004F4BEB"/>
    <w:rsid w:val="004F586D"/>
    <w:rsid w:val="004F6D56"/>
    <w:rsid w:val="00500A65"/>
    <w:rsid w:val="00503D9B"/>
    <w:rsid w:val="005040AE"/>
    <w:rsid w:val="00504812"/>
    <w:rsid w:val="005072BC"/>
    <w:rsid w:val="005077DE"/>
    <w:rsid w:val="00507F10"/>
    <w:rsid w:val="00510588"/>
    <w:rsid w:val="00514995"/>
    <w:rsid w:val="00514C90"/>
    <w:rsid w:val="00515F4D"/>
    <w:rsid w:val="00517747"/>
    <w:rsid w:val="0051785F"/>
    <w:rsid w:val="005204E8"/>
    <w:rsid w:val="00523379"/>
    <w:rsid w:val="005234B9"/>
    <w:rsid w:val="00523756"/>
    <w:rsid w:val="005237C8"/>
    <w:rsid w:val="005239A4"/>
    <w:rsid w:val="00526261"/>
    <w:rsid w:val="00526B2E"/>
    <w:rsid w:val="00526FAE"/>
    <w:rsid w:val="00531DBA"/>
    <w:rsid w:val="00531E66"/>
    <w:rsid w:val="00532831"/>
    <w:rsid w:val="005343F5"/>
    <w:rsid w:val="00534E5F"/>
    <w:rsid w:val="005375B9"/>
    <w:rsid w:val="00537723"/>
    <w:rsid w:val="00537DC3"/>
    <w:rsid w:val="0054143E"/>
    <w:rsid w:val="005418F4"/>
    <w:rsid w:val="00542EC9"/>
    <w:rsid w:val="0054375F"/>
    <w:rsid w:val="00544090"/>
    <w:rsid w:val="0054452A"/>
    <w:rsid w:val="005448BC"/>
    <w:rsid w:val="00544A57"/>
    <w:rsid w:val="00545F9E"/>
    <w:rsid w:val="00550083"/>
    <w:rsid w:val="00551BBA"/>
    <w:rsid w:val="005539D6"/>
    <w:rsid w:val="005542F6"/>
    <w:rsid w:val="0055743E"/>
    <w:rsid w:val="00560224"/>
    <w:rsid w:val="0056088A"/>
    <w:rsid w:val="00561AE7"/>
    <w:rsid w:val="00562C26"/>
    <w:rsid w:val="00563B47"/>
    <w:rsid w:val="0056423C"/>
    <w:rsid w:val="005701F1"/>
    <w:rsid w:val="00571000"/>
    <w:rsid w:val="00571C29"/>
    <w:rsid w:val="00575074"/>
    <w:rsid w:val="005779BF"/>
    <w:rsid w:val="00580B01"/>
    <w:rsid w:val="00584255"/>
    <w:rsid w:val="005842D4"/>
    <w:rsid w:val="00584F5F"/>
    <w:rsid w:val="0058673E"/>
    <w:rsid w:val="005927C1"/>
    <w:rsid w:val="005943E6"/>
    <w:rsid w:val="00594DEE"/>
    <w:rsid w:val="00594F0B"/>
    <w:rsid w:val="005954D5"/>
    <w:rsid w:val="005A00EE"/>
    <w:rsid w:val="005A09F6"/>
    <w:rsid w:val="005A14CA"/>
    <w:rsid w:val="005A1677"/>
    <w:rsid w:val="005A19EB"/>
    <w:rsid w:val="005A22E8"/>
    <w:rsid w:val="005A2F72"/>
    <w:rsid w:val="005A4590"/>
    <w:rsid w:val="005A469A"/>
    <w:rsid w:val="005A494B"/>
    <w:rsid w:val="005A52A6"/>
    <w:rsid w:val="005A61AC"/>
    <w:rsid w:val="005A74E7"/>
    <w:rsid w:val="005B6CD1"/>
    <w:rsid w:val="005B7150"/>
    <w:rsid w:val="005C068C"/>
    <w:rsid w:val="005C1B6F"/>
    <w:rsid w:val="005C1CB4"/>
    <w:rsid w:val="005C2DDB"/>
    <w:rsid w:val="005C58CB"/>
    <w:rsid w:val="005C5EC5"/>
    <w:rsid w:val="005C6084"/>
    <w:rsid w:val="005D0BE0"/>
    <w:rsid w:val="005D136B"/>
    <w:rsid w:val="005D13F5"/>
    <w:rsid w:val="005D1485"/>
    <w:rsid w:val="005D15BD"/>
    <w:rsid w:val="005D2E5E"/>
    <w:rsid w:val="005D35BE"/>
    <w:rsid w:val="005D610D"/>
    <w:rsid w:val="005E01AE"/>
    <w:rsid w:val="005E1188"/>
    <w:rsid w:val="005E26AC"/>
    <w:rsid w:val="005E31CA"/>
    <w:rsid w:val="005E5548"/>
    <w:rsid w:val="005E67FA"/>
    <w:rsid w:val="005E7CFE"/>
    <w:rsid w:val="005F053A"/>
    <w:rsid w:val="005F2030"/>
    <w:rsid w:val="005F3295"/>
    <w:rsid w:val="005F75B1"/>
    <w:rsid w:val="005F780B"/>
    <w:rsid w:val="0060301F"/>
    <w:rsid w:val="00606D3D"/>
    <w:rsid w:val="0060784F"/>
    <w:rsid w:val="006110E8"/>
    <w:rsid w:val="00615606"/>
    <w:rsid w:val="0061617E"/>
    <w:rsid w:val="00617D1E"/>
    <w:rsid w:val="00620231"/>
    <w:rsid w:val="006203E8"/>
    <w:rsid w:val="006225D4"/>
    <w:rsid w:val="00622EFB"/>
    <w:rsid w:val="0062470F"/>
    <w:rsid w:val="006248E6"/>
    <w:rsid w:val="00624A1C"/>
    <w:rsid w:val="0062587F"/>
    <w:rsid w:val="00625B61"/>
    <w:rsid w:val="00626633"/>
    <w:rsid w:val="00632955"/>
    <w:rsid w:val="00633B2F"/>
    <w:rsid w:val="00633F49"/>
    <w:rsid w:val="0063709B"/>
    <w:rsid w:val="006370F6"/>
    <w:rsid w:val="00637A2D"/>
    <w:rsid w:val="00637DDA"/>
    <w:rsid w:val="00643134"/>
    <w:rsid w:val="00643F8E"/>
    <w:rsid w:val="00644E37"/>
    <w:rsid w:val="00646EC1"/>
    <w:rsid w:val="00647BF8"/>
    <w:rsid w:val="00656701"/>
    <w:rsid w:val="00656753"/>
    <w:rsid w:val="00657D98"/>
    <w:rsid w:val="00657F93"/>
    <w:rsid w:val="00661297"/>
    <w:rsid w:val="006615D7"/>
    <w:rsid w:val="00663C49"/>
    <w:rsid w:val="00663F03"/>
    <w:rsid w:val="0066538F"/>
    <w:rsid w:val="0066761D"/>
    <w:rsid w:val="00671DC9"/>
    <w:rsid w:val="006727C3"/>
    <w:rsid w:val="00672A40"/>
    <w:rsid w:val="00673304"/>
    <w:rsid w:val="00676169"/>
    <w:rsid w:val="006769D9"/>
    <w:rsid w:val="00677B95"/>
    <w:rsid w:val="00677CA7"/>
    <w:rsid w:val="00677FC6"/>
    <w:rsid w:val="00680C27"/>
    <w:rsid w:val="006822CF"/>
    <w:rsid w:val="00682F93"/>
    <w:rsid w:val="006830F3"/>
    <w:rsid w:val="00683352"/>
    <w:rsid w:val="00683781"/>
    <w:rsid w:val="00683DD4"/>
    <w:rsid w:val="00684098"/>
    <w:rsid w:val="00685E64"/>
    <w:rsid w:val="006860EB"/>
    <w:rsid w:val="00687BAA"/>
    <w:rsid w:val="006905AA"/>
    <w:rsid w:val="00692152"/>
    <w:rsid w:val="006929EA"/>
    <w:rsid w:val="00693B5E"/>
    <w:rsid w:val="00694939"/>
    <w:rsid w:val="00694B6C"/>
    <w:rsid w:val="0069515A"/>
    <w:rsid w:val="00696C5B"/>
    <w:rsid w:val="00697256"/>
    <w:rsid w:val="0069788F"/>
    <w:rsid w:val="006A0940"/>
    <w:rsid w:val="006A23E6"/>
    <w:rsid w:val="006A56A1"/>
    <w:rsid w:val="006A57C8"/>
    <w:rsid w:val="006A595C"/>
    <w:rsid w:val="006A5AAC"/>
    <w:rsid w:val="006A6429"/>
    <w:rsid w:val="006B052A"/>
    <w:rsid w:val="006B095A"/>
    <w:rsid w:val="006B3515"/>
    <w:rsid w:val="006B4444"/>
    <w:rsid w:val="006B656A"/>
    <w:rsid w:val="006B70B0"/>
    <w:rsid w:val="006C1248"/>
    <w:rsid w:val="006C4483"/>
    <w:rsid w:val="006C4FB1"/>
    <w:rsid w:val="006C523F"/>
    <w:rsid w:val="006C642C"/>
    <w:rsid w:val="006C7898"/>
    <w:rsid w:val="006C7A13"/>
    <w:rsid w:val="006D3572"/>
    <w:rsid w:val="006D4637"/>
    <w:rsid w:val="006D5390"/>
    <w:rsid w:val="006D609F"/>
    <w:rsid w:val="006D7A3A"/>
    <w:rsid w:val="006E05CD"/>
    <w:rsid w:val="006E2139"/>
    <w:rsid w:val="006E31A4"/>
    <w:rsid w:val="006E53F3"/>
    <w:rsid w:val="006E54F5"/>
    <w:rsid w:val="006E66B2"/>
    <w:rsid w:val="006E6CA3"/>
    <w:rsid w:val="006F1C44"/>
    <w:rsid w:val="006F1EEE"/>
    <w:rsid w:val="006F1F9C"/>
    <w:rsid w:val="006F3F02"/>
    <w:rsid w:val="006F5051"/>
    <w:rsid w:val="006F5542"/>
    <w:rsid w:val="006F6FE7"/>
    <w:rsid w:val="006F7D5E"/>
    <w:rsid w:val="00700704"/>
    <w:rsid w:val="00700DF8"/>
    <w:rsid w:val="00700FF9"/>
    <w:rsid w:val="00702433"/>
    <w:rsid w:val="00704643"/>
    <w:rsid w:val="00704813"/>
    <w:rsid w:val="00704FE8"/>
    <w:rsid w:val="0070560B"/>
    <w:rsid w:val="007064EE"/>
    <w:rsid w:val="00706AA9"/>
    <w:rsid w:val="00707738"/>
    <w:rsid w:val="00710360"/>
    <w:rsid w:val="00710682"/>
    <w:rsid w:val="0071268A"/>
    <w:rsid w:val="007130B0"/>
    <w:rsid w:val="00714637"/>
    <w:rsid w:val="00714D3E"/>
    <w:rsid w:val="00714FEA"/>
    <w:rsid w:val="0071508A"/>
    <w:rsid w:val="00721ECF"/>
    <w:rsid w:val="00721F96"/>
    <w:rsid w:val="00722336"/>
    <w:rsid w:val="00724DAA"/>
    <w:rsid w:val="00726DD9"/>
    <w:rsid w:val="007317EE"/>
    <w:rsid w:val="00733747"/>
    <w:rsid w:val="00733B83"/>
    <w:rsid w:val="00734D9D"/>
    <w:rsid w:val="00740B9B"/>
    <w:rsid w:val="0074179A"/>
    <w:rsid w:val="00745400"/>
    <w:rsid w:val="00745A34"/>
    <w:rsid w:val="00746039"/>
    <w:rsid w:val="007477AD"/>
    <w:rsid w:val="007509CE"/>
    <w:rsid w:val="007526CF"/>
    <w:rsid w:val="0075328B"/>
    <w:rsid w:val="00753B77"/>
    <w:rsid w:val="0075487C"/>
    <w:rsid w:val="00754C2E"/>
    <w:rsid w:val="00754F1C"/>
    <w:rsid w:val="00755641"/>
    <w:rsid w:val="007567A3"/>
    <w:rsid w:val="00756F09"/>
    <w:rsid w:val="00757681"/>
    <w:rsid w:val="00757E92"/>
    <w:rsid w:val="0076021C"/>
    <w:rsid w:val="0076163D"/>
    <w:rsid w:val="00762B89"/>
    <w:rsid w:val="00764085"/>
    <w:rsid w:val="0076533E"/>
    <w:rsid w:val="00767FAE"/>
    <w:rsid w:val="00770FD9"/>
    <w:rsid w:val="0077619B"/>
    <w:rsid w:val="00776608"/>
    <w:rsid w:val="007766BD"/>
    <w:rsid w:val="00776B13"/>
    <w:rsid w:val="00777F6A"/>
    <w:rsid w:val="00781361"/>
    <w:rsid w:val="007817BA"/>
    <w:rsid w:val="0078422B"/>
    <w:rsid w:val="0078616F"/>
    <w:rsid w:val="007875CD"/>
    <w:rsid w:val="0079065E"/>
    <w:rsid w:val="00794AC7"/>
    <w:rsid w:val="007976F0"/>
    <w:rsid w:val="007A09F7"/>
    <w:rsid w:val="007A0F18"/>
    <w:rsid w:val="007A140C"/>
    <w:rsid w:val="007A1D4E"/>
    <w:rsid w:val="007A5215"/>
    <w:rsid w:val="007A5DB4"/>
    <w:rsid w:val="007A75C7"/>
    <w:rsid w:val="007B094F"/>
    <w:rsid w:val="007B1EE9"/>
    <w:rsid w:val="007B2568"/>
    <w:rsid w:val="007B26BB"/>
    <w:rsid w:val="007B338E"/>
    <w:rsid w:val="007B4C9B"/>
    <w:rsid w:val="007B53D4"/>
    <w:rsid w:val="007B58FA"/>
    <w:rsid w:val="007B59DF"/>
    <w:rsid w:val="007B6D83"/>
    <w:rsid w:val="007B6FE8"/>
    <w:rsid w:val="007B70CC"/>
    <w:rsid w:val="007C0FBC"/>
    <w:rsid w:val="007C1241"/>
    <w:rsid w:val="007C1A92"/>
    <w:rsid w:val="007C3375"/>
    <w:rsid w:val="007C4BA8"/>
    <w:rsid w:val="007C54C1"/>
    <w:rsid w:val="007D1F5E"/>
    <w:rsid w:val="007D32A7"/>
    <w:rsid w:val="007D4841"/>
    <w:rsid w:val="007D51DE"/>
    <w:rsid w:val="007D5797"/>
    <w:rsid w:val="007D655B"/>
    <w:rsid w:val="007D656F"/>
    <w:rsid w:val="007D765D"/>
    <w:rsid w:val="007D7D6A"/>
    <w:rsid w:val="007E09ED"/>
    <w:rsid w:val="007E28F2"/>
    <w:rsid w:val="007E666B"/>
    <w:rsid w:val="007F0870"/>
    <w:rsid w:val="007F0986"/>
    <w:rsid w:val="007F5081"/>
    <w:rsid w:val="007F5298"/>
    <w:rsid w:val="007F7205"/>
    <w:rsid w:val="007F7EEB"/>
    <w:rsid w:val="008002E0"/>
    <w:rsid w:val="0080143F"/>
    <w:rsid w:val="00803112"/>
    <w:rsid w:val="0080408D"/>
    <w:rsid w:val="008057FF"/>
    <w:rsid w:val="00805E66"/>
    <w:rsid w:val="00806B00"/>
    <w:rsid w:val="008073E8"/>
    <w:rsid w:val="00807C0E"/>
    <w:rsid w:val="00811675"/>
    <w:rsid w:val="00812D47"/>
    <w:rsid w:val="00814259"/>
    <w:rsid w:val="008171AA"/>
    <w:rsid w:val="008202B3"/>
    <w:rsid w:val="0082073B"/>
    <w:rsid w:val="00820FB0"/>
    <w:rsid w:val="0082512C"/>
    <w:rsid w:val="00830536"/>
    <w:rsid w:val="00831197"/>
    <w:rsid w:val="00831CD3"/>
    <w:rsid w:val="00833CF1"/>
    <w:rsid w:val="008409D8"/>
    <w:rsid w:val="00841231"/>
    <w:rsid w:val="00841C9C"/>
    <w:rsid w:val="00843BD9"/>
    <w:rsid w:val="00844083"/>
    <w:rsid w:val="0084415D"/>
    <w:rsid w:val="008462FC"/>
    <w:rsid w:val="00850751"/>
    <w:rsid w:val="00852C6B"/>
    <w:rsid w:val="00853E06"/>
    <w:rsid w:val="00855F28"/>
    <w:rsid w:val="00856495"/>
    <w:rsid w:val="008569CD"/>
    <w:rsid w:val="008640F8"/>
    <w:rsid w:val="00865338"/>
    <w:rsid w:val="008661AE"/>
    <w:rsid w:val="00867E33"/>
    <w:rsid w:val="008719FE"/>
    <w:rsid w:val="008732EA"/>
    <w:rsid w:val="00873AA5"/>
    <w:rsid w:val="008752AA"/>
    <w:rsid w:val="00875FB6"/>
    <w:rsid w:val="0088170A"/>
    <w:rsid w:val="008833F0"/>
    <w:rsid w:val="008836D6"/>
    <w:rsid w:val="00883EB8"/>
    <w:rsid w:val="008858E1"/>
    <w:rsid w:val="0088596C"/>
    <w:rsid w:val="0088693B"/>
    <w:rsid w:val="0088732A"/>
    <w:rsid w:val="008A1318"/>
    <w:rsid w:val="008A3A46"/>
    <w:rsid w:val="008A4900"/>
    <w:rsid w:val="008A625B"/>
    <w:rsid w:val="008A62FE"/>
    <w:rsid w:val="008A6C4F"/>
    <w:rsid w:val="008A70F0"/>
    <w:rsid w:val="008B3621"/>
    <w:rsid w:val="008B3F2E"/>
    <w:rsid w:val="008B5E48"/>
    <w:rsid w:val="008C0CD1"/>
    <w:rsid w:val="008C28CC"/>
    <w:rsid w:val="008C3EE4"/>
    <w:rsid w:val="008C4DA3"/>
    <w:rsid w:val="008C5F42"/>
    <w:rsid w:val="008C6CED"/>
    <w:rsid w:val="008C7273"/>
    <w:rsid w:val="008C754D"/>
    <w:rsid w:val="008D0372"/>
    <w:rsid w:val="008D4F7C"/>
    <w:rsid w:val="008D5779"/>
    <w:rsid w:val="008D5CFA"/>
    <w:rsid w:val="008D64C2"/>
    <w:rsid w:val="008D6593"/>
    <w:rsid w:val="008D7B2D"/>
    <w:rsid w:val="008E15FA"/>
    <w:rsid w:val="008E38F0"/>
    <w:rsid w:val="008E3D4B"/>
    <w:rsid w:val="008E6AC7"/>
    <w:rsid w:val="008E70C8"/>
    <w:rsid w:val="008F031E"/>
    <w:rsid w:val="008F034A"/>
    <w:rsid w:val="008F1040"/>
    <w:rsid w:val="008F133F"/>
    <w:rsid w:val="008F1B4C"/>
    <w:rsid w:val="008F1D85"/>
    <w:rsid w:val="008F326A"/>
    <w:rsid w:val="008F4472"/>
    <w:rsid w:val="008F4A11"/>
    <w:rsid w:val="008F59FC"/>
    <w:rsid w:val="008F616F"/>
    <w:rsid w:val="008F6E6F"/>
    <w:rsid w:val="00900567"/>
    <w:rsid w:val="00900B75"/>
    <w:rsid w:val="00900E61"/>
    <w:rsid w:val="009011C8"/>
    <w:rsid w:val="00901C5A"/>
    <w:rsid w:val="0090216D"/>
    <w:rsid w:val="00904222"/>
    <w:rsid w:val="009059A0"/>
    <w:rsid w:val="00905E44"/>
    <w:rsid w:val="00912242"/>
    <w:rsid w:val="0091244E"/>
    <w:rsid w:val="00912623"/>
    <w:rsid w:val="009139A3"/>
    <w:rsid w:val="0091430E"/>
    <w:rsid w:val="00914500"/>
    <w:rsid w:val="00915AB2"/>
    <w:rsid w:val="00915B9C"/>
    <w:rsid w:val="00916517"/>
    <w:rsid w:val="009236C7"/>
    <w:rsid w:val="00923DDC"/>
    <w:rsid w:val="00923EDB"/>
    <w:rsid w:val="00924181"/>
    <w:rsid w:val="00924ADE"/>
    <w:rsid w:val="009256F5"/>
    <w:rsid w:val="00925DDA"/>
    <w:rsid w:val="00926FED"/>
    <w:rsid w:val="00927231"/>
    <w:rsid w:val="0093007F"/>
    <w:rsid w:val="00936132"/>
    <w:rsid w:val="00937307"/>
    <w:rsid w:val="0093779B"/>
    <w:rsid w:val="0094111F"/>
    <w:rsid w:val="009424AD"/>
    <w:rsid w:val="0094494F"/>
    <w:rsid w:val="00944AD6"/>
    <w:rsid w:val="00946285"/>
    <w:rsid w:val="0095140E"/>
    <w:rsid w:val="009525E3"/>
    <w:rsid w:val="00953864"/>
    <w:rsid w:val="0095451A"/>
    <w:rsid w:val="00954FFB"/>
    <w:rsid w:val="00955632"/>
    <w:rsid w:val="00957F57"/>
    <w:rsid w:val="009604A0"/>
    <w:rsid w:val="009624B4"/>
    <w:rsid w:val="00962745"/>
    <w:rsid w:val="00962CF5"/>
    <w:rsid w:val="00965447"/>
    <w:rsid w:val="00965995"/>
    <w:rsid w:val="0096626E"/>
    <w:rsid w:val="009706BB"/>
    <w:rsid w:val="00970C96"/>
    <w:rsid w:val="009712AE"/>
    <w:rsid w:val="00971D94"/>
    <w:rsid w:val="009744F2"/>
    <w:rsid w:val="00975140"/>
    <w:rsid w:val="00975CCF"/>
    <w:rsid w:val="009773FC"/>
    <w:rsid w:val="00982B6A"/>
    <w:rsid w:val="00983E12"/>
    <w:rsid w:val="0098439F"/>
    <w:rsid w:val="00984BE6"/>
    <w:rsid w:val="0098679C"/>
    <w:rsid w:val="009905EF"/>
    <w:rsid w:val="00992820"/>
    <w:rsid w:val="00993E49"/>
    <w:rsid w:val="00994DA0"/>
    <w:rsid w:val="009A1850"/>
    <w:rsid w:val="009A2509"/>
    <w:rsid w:val="009A2622"/>
    <w:rsid w:val="009A29A9"/>
    <w:rsid w:val="009A3551"/>
    <w:rsid w:val="009A4AD5"/>
    <w:rsid w:val="009A4B25"/>
    <w:rsid w:val="009A56EC"/>
    <w:rsid w:val="009A6579"/>
    <w:rsid w:val="009A65FD"/>
    <w:rsid w:val="009A7D59"/>
    <w:rsid w:val="009B0613"/>
    <w:rsid w:val="009B0E34"/>
    <w:rsid w:val="009B271D"/>
    <w:rsid w:val="009B31FD"/>
    <w:rsid w:val="009B37E5"/>
    <w:rsid w:val="009B4F2A"/>
    <w:rsid w:val="009B6DF6"/>
    <w:rsid w:val="009B6E02"/>
    <w:rsid w:val="009C08AC"/>
    <w:rsid w:val="009C0B9C"/>
    <w:rsid w:val="009C0C3E"/>
    <w:rsid w:val="009C18AD"/>
    <w:rsid w:val="009C1FDA"/>
    <w:rsid w:val="009C3A96"/>
    <w:rsid w:val="009C41BB"/>
    <w:rsid w:val="009C50B0"/>
    <w:rsid w:val="009D47B6"/>
    <w:rsid w:val="009D48A7"/>
    <w:rsid w:val="009D5692"/>
    <w:rsid w:val="009E035B"/>
    <w:rsid w:val="009E0FA9"/>
    <w:rsid w:val="009E545A"/>
    <w:rsid w:val="009E6E64"/>
    <w:rsid w:val="009E7CF6"/>
    <w:rsid w:val="009F0CD6"/>
    <w:rsid w:val="009F1C88"/>
    <w:rsid w:val="009F1DFD"/>
    <w:rsid w:val="009F3D64"/>
    <w:rsid w:val="009F4FA5"/>
    <w:rsid w:val="009F5660"/>
    <w:rsid w:val="00A017EB"/>
    <w:rsid w:val="00A02A9C"/>
    <w:rsid w:val="00A02EF2"/>
    <w:rsid w:val="00A0337B"/>
    <w:rsid w:val="00A05373"/>
    <w:rsid w:val="00A0770D"/>
    <w:rsid w:val="00A11293"/>
    <w:rsid w:val="00A11D13"/>
    <w:rsid w:val="00A13872"/>
    <w:rsid w:val="00A15416"/>
    <w:rsid w:val="00A15F68"/>
    <w:rsid w:val="00A17913"/>
    <w:rsid w:val="00A20B8C"/>
    <w:rsid w:val="00A2572D"/>
    <w:rsid w:val="00A26050"/>
    <w:rsid w:val="00A27407"/>
    <w:rsid w:val="00A279CF"/>
    <w:rsid w:val="00A30BDC"/>
    <w:rsid w:val="00A30C51"/>
    <w:rsid w:val="00A34A5D"/>
    <w:rsid w:val="00A34D81"/>
    <w:rsid w:val="00A34D86"/>
    <w:rsid w:val="00A35174"/>
    <w:rsid w:val="00A37BEC"/>
    <w:rsid w:val="00A403D9"/>
    <w:rsid w:val="00A409B8"/>
    <w:rsid w:val="00A41717"/>
    <w:rsid w:val="00A41B24"/>
    <w:rsid w:val="00A41B8D"/>
    <w:rsid w:val="00A423ED"/>
    <w:rsid w:val="00A42E6B"/>
    <w:rsid w:val="00A43398"/>
    <w:rsid w:val="00A443ED"/>
    <w:rsid w:val="00A465AA"/>
    <w:rsid w:val="00A466B1"/>
    <w:rsid w:val="00A509B8"/>
    <w:rsid w:val="00A520DD"/>
    <w:rsid w:val="00A54C12"/>
    <w:rsid w:val="00A54E20"/>
    <w:rsid w:val="00A54E3D"/>
    <w:rsid w:val="00A5693A"/>
    <w:rsid w:val="00A62138"/>
    <w:rsid w:val="00A71E84"/>
    <w:rsid w:val="00A73E4E"/>
    <w:rsid w:val="00A75FA2"/>
    <w:rsid w:val="00A773FB"/>
    <w:rsid w:val="00A8089C"/>
    <w:rsid w:val="00A808DB"/>
    <w:rsid w:val="00A80C70"/>
    <w:rsid w:val="00A80FCD"/>
    <w:rsid w:val="00A822CD"/>
    <w:rsid w:val="00A8348C"/>
    <w:rsid w:val="00A83ED5"/>
    <w:rsid w:val="00A84385"/>
    <w:rsid w:val="00A85389"/>
    <w:rsid w:val="00A8600D"/>
    <w:rsid w:val="00A8695F"/>
    <w:rsid w:val="00A872BB"/>
    <w:rsid w:val="00A9023A"/>
    <w:rsid w:val="00A92500"/>
    <w:rsid w:val="00A92F2E"/>
    <w:rsid w:val="00A94E8C"/>
    <w:rsid w:val="00AA0D82"/>
    <w:rsid w:val="00AA1967"/>
    <w:rsid w:val="00AA3011"/>
    <w:rsid w:val="00AA3589"/>
    <w:rsid w:val="00AA40EB"/>
    <w:rsid w:val="00AA4DF4"/>
    <w:rsid w:val="00AA5041"/>
    <w:rsid w:val="00AA7786"/>
    <w:rsid w:val="00AB0622"/>
    <w:rsid w:val="00AB1537"/>
    <w:rsid w:val="00AB4E10"/>
    <w:rsid w:val="00AB676D"/>
    <w:rsid w:val="00AC3B99"/>
    <w:rsid w:val="00AC4997"/>
    <w:rsid w:val="00AC581D"/>
    <w:rsid w:val="00AC61DA"/>
    <w:rsid w:val="00AD1D92"/>
    <w:rsid w:val="00AD2088"/>
    <w:rsid w:val="00AD2439"/>
    <w:rsid w:val="00AD24D2"/>
    <w:rsid w:val="00AD32BC"/>
    <w:rsid w:val="00AD3633"/>
    <w:rsid w:val="00AD3EEC"/>
    <w:rsid w:val="00AD4F5B"/>
    <w:rsid w:val="00AD5DC0"/>
    <w:rsid w:val="00AD69A3"/>
    <w:rsid w:val="00AD6C14"/>
    <w:rsid w:val="00AE16A2"/>
    <w:rsid w:val="00AE2A8B"/>
    <w:rsid w:val="00AE2BEA"/>
    <w:rsid w:val="00AE2F73"/>
    <w:rsid w:val="00AE3958"/>
    <w:rsid w:val="00AE48EE"/>
    <w:rsid w:val="00AE653F"/>
    <w:rsid w:val="00AE6A16"/>
    <w:rsid w:val="00AE779B"/>
    <w:rsid w:val="00AF0623"/>
    <w:rsid w:val="00AF247C"/>
    <w:rsid w:val="00AF2DF7"/>
    <w:rsid w:val="00AF67F1"/>
    <w:rsid w:val="00AF7348"/>
    <w:rsid w:val="00B00142"/>
    <w:rsid w:val="00B013DD"/>
    <w:rsid w:val="00B023CC"/>
    <w:rsid w:val="00B04229"/>
    <w:rsid w:val="00B049F7"/>
    <w:rsid w:val="00B0621B"/>
    <w:rsid w:val="00B067E8"/>
    <w:rsid w:val="00B073CC"/>
    <w:rsid w:val="00B13548"/>
    <w:rsid w:val="00B14E19"/>
    <w:rsid w:val="00B150DB"/>
    <w:rsid w:val="00B15CE6"/>
    <w:rsid w:val="00B216E7"/>
    <w:rsid w:val="00B2293E"/>
    <w:rsid w:val="00B2323A"/>
    <w:rsid w:val="00B2344E"/>
    <w:rsid w:val="00B26885"/>
    <w:rsid w:val="00B31E1B"/>
    <w:rsid w:val="00B32330"/>
    <w:rsid w:val="00B329F8"/>
    <w:rsid w:val="00B32FA4"/>
    <w:rsid w:val="00B42C9F"/>
    <w:rsid w:val="00B4557B"/>
    <w:rsid w:val="00B4705A"/>
    <w:rsid w:val="00B53150"/>
    <w:rsid w:val="00B54016"/>
    <w:rsid w:val="00B55321"/>
    <w:rsid w:val="00B55B02"/>
    <w:rsid w:val="00B55EEB"/>
    <w:rsid w:val="00B56BF8"/>
    <w:rsid w:val="00B60A46"/>
    <w:rsid w:val="00B61205"/>
    <w:rsid w:val="00B62912"/>
    <w:rsid w:val="00B6376E"/>
    <w:rsid w:val="00B63E25"/>
    <w:rsid w:val="00B64791"/>
    <w:rsid w:val="00B66A6F"/>
    <w:rsid w:val="00B70360"/>
    <w:rsid w:val="00B73C83"/>
    <w:rsid w:val="00B767FA"/>
    <w:rsid w:val="00B77426"/>
    <w:rsid w:val="00B80B73"/>
    <w:rsid w:val="00B83951"/>
    <w:rsid w:val="00B847FA"/>
    <w:rsid w:val="00B8619B"/>
    <w:rsid w:val="00B9019E"/>
    <w:rsid w:val="00B911B8"/>
    <w:rsid w:val="00B91640"/>
    <w:rsid w:val="00B93E4A"/>
    <w:rsid w:val="00B95F6B"/>
    <w:rsid w:val="00B9720A"/>
    <w:rsid w:val="00BA02A0"/>
    <w:rsid w:val="00BA0488"/>
    <w:rsid w:val="00BA3D80"/>
    <w:rsid w:val="00BA4024"/>
    <w:rsid w:val="00BA60BB"/>
    <w:rsid w:val="00BA7FEB"/>
    <w:rsid w:val="00BB0DA5"/>
    <w:rsid w:val="00BB19BC"/>
    <w:rsid w:val="00BB1BBB"/>
    <w:rsid w:val="00BB250D"/>
    <w:rsid w:val="00BB2C9E"/>
    <w:rsid w:val="00BB3433"/>
    <w:rsid w:val="00BB34AA"/>
    <w:rsid w:val="00BB4325"/>
    <w:rsid w:val="00BB6547"/>
    <w:rsid w:val="00BB751F"/>
    <w:rsid w:val="00BB75BE"/>
    <w:rsid w:val="00BC2A65"/>
    <w:rsid w:val="00BC3352"/>
    <w:rsid w:val="00BC678A"/>
    <w:rsid w:val="00BC705F"/>
    <w:rsid w:val="00BC7AE8"/>
    <w:rsid w:val="00BC7FEF"/>
    <w:rsid w:val="00BD0114"/>
    <w:rsid w:val="00BD1C7B"/>
    <w:rsid w:val="00BD57D2"/>
    <w:rsid w:val="00BD6737"/>
    <w:rsid w:val="00BD7ECE"/>
    <w:rsid w:val="00BE3997"/>
    <w:rsid w:val="00BE4416"/>
    <w:rsid w:val="00BE46D1"/>
    <w:rsid w:val="00BE5499"/>
    <w:rsid w:val="00BE5623"/>
    <w:rsid w:val="00BE6794"/>
    <w:rsid w:val="00BE6AC4"/>
    <w:rsid w:val="00BE777F"/>
    <w:rsid w:val="00BE79CD"/>
    <w:rsid w:val="00BF1308"/>
    <w:rsid w:val="00BF3201"/>
    <w:rsid w:val="00BF3433"/>
    <w:rsid w:val="00BF4812"/>
    <w:rsid w:val="00BF4A3D"/>
    <w:rsid w:val="00BF4AEB"/>
    <w:rsid w:val="00BF5BCA"/>
    <w:rsid w:val="00BF60C3"/>
    <w:rsid w:val="00C036D3"/>
    <w:rsid w:val="00C03E79"/>
    <w:rsid w:val="00C06824"/>
    <w:rsid w:val="00C11311"/>
    <w:rsid w:val="00C16FE3"/>
    <w:rsid w:val="00C2027E"/>
    <w:rsid w:val="00C206BA"/>
    <w:rsid w:val="00C21777"/>
    <w:rsid w:val="00C21A1E"/>
    <w:rsid w:val="00C22CD6"/>
    <w:rsid w:val="00C232E4"/>
    <w:rsid w:val="00C23A67"/>
    <w:rsid w:val="00C24FB8"/>
    <w:rsid w:val="00C25FC7"/>
    <w:rsid w:val="00C27973"/>
    <w:rsid w:val="00C30B7A"/>
    <w:rsid w:val="00C31686"/>
    <w:rsid w:val="00C3248B"/>
    <w:rsid w:val="00C328BC"/>
    <w:rsid w:val="00C3516A"/>
    <w:rsid w:val="00C36F65"/>
    <w:rsid w:val="00C36FE1"/>
    <w:rsid w:val="00C37190"/>
    <w:rsid w:val="00C37AE1"/>
    <w:rsid w:val="00C4155A"/>
    <w:rsid w:val="00C421FE"/>
    <w:rsid w:val="00C429C1"/>
    <w:rsid w:val="00C433C0"/>
    <w:rsid w:val="00C4427C"/>
    <w:rsid w:val="00C44401"/>
    <w:rsid w:val="00C45713"/>
    <w:rsid w:val="00C45BE2"/>
    <w:rsid w:val="00C45EF5"/>
    <w:rsid w:val="00C4618C"/>
    <w:rsid w:val="00C46D3E"/>
    <w:rsid w:val="00C47814"/>
    <w:rsid w:val="00C502B6"/>
    <w:rsid w:val="00C52105"/>
    <w:rsid w:val="00C52159"/>
    <w:rsid w:val="00C536C6"/>
    <w:rsid w:val="00C578D1"/>
    <w:rsid w:val="00C57ADF"/>
    <w:rsid w:val="00C6132C"/>
    <w:rsid w:val="00C62050"/>
    <w:rsid w:val="00C641CC"/>
    <w:rsid w:val="00C66FDA"/>
    <w:rsid w:val="00C67260"/>
    <w:rsid w:val="00C702A7"/>
    <w:rsid w:val="00C70364"/>
    <w:rsid w:val="00C70884"/>
    <w:rsid w:val="00C728F3"/>
    <w:rsid w:val="00C72F30"/>
    <w:rsid w:val="00C733E6"/>
    <w:rsid w:val="00C767F9"/>
    <w:rsid w:val="00C77323"/>
    <w:rsid w:val="00C800E4"/>
    <w:rsid w:val="00C80A49"/>
    <w:rsid w:val="00C8199E"/>
    <w:rsid w:val="00C82141"/>
    <w:rsid w:val="00C830DE"/>
    <w:rsid w:val="00C84A02"/>
    <w:rsid w:val="00C905FA"/>
    <w:rsid w:val="00C91E56"/>
    <w:rsid w:val="00C936AF"/>
    <w:rsid w:val="00C94533"/>
    <w:rsid w:val="00C95666"/>
    <w:rsid w:val="00C95BE9"/>
    <w:rsid w:val="00CA1322"/>
    <w:rsid w:val="00CA1644"/>
    <w:rsid w:val="00CA2CF6"/>
    <w:rsid w:val="00CA2EC0"/>
    <w:rsid w:val="00CA4703"/>
    <w:rsid w:val="00CA5826"/>
    <w:rsid w:val="00CA6685"/>
    <w:rsid w:val="00CB1755"/>
    <w:rsid w:val="00CB1A39"/>
    <w:rsid w:val="00CB250F"/>
    <w:rsid w:val="00CB299B"/>
    <w:rsid w:val="00CB5319"/>
    <w:rsid w:val="00CB53B6"/>
    <w:rsid w:val="00CB65B3"/>
    <w:rsid w:val="00CB66DC"/>
    <w:rsid w:val="00CB789F"/>
    <w:rsid w:val="00CC270C"/>
    <w:rsid w:val="00CC5015"/>
    <w:rsid w:val="00CC5BD6"/>
    <w:rsid w:val="00CC740F"/>
    <w:rsid w:val="00CD48AF"/>
    <w:rsid w:val="00CD7391"/>
    <w:rsid w:val="00CE260A"/>
    <w:rsid w:val="00CE28D5"/>
    <w:rsid w:val="00CE39E2"/>
    <w:rsid w:val="00CE618F"/>
    <w:rsid w:val="00CF0CE5"/>
    <w:rsid w:val="00CF1D8A"/>
    <w:rsid w:val="00CF372A"/>
    <w:rsid w:val="00CF3A31"/>
    <w:rsid w:val="00CF4230"/>
    <w:rsid w:val="00CF45ED"/>
    <w:rsid w:val="00CF6129"/>
    <w:rsid w:val="00D00BA4"/>
    <w:rsid w:val="00D00F60"/>
    <w:rsid w:val="00D010BF"/>
    <w:rsid w:val="00D01230"/>
    <w:rsid w:val="00D02063"/>
    <w:rsid w:val="00D050F1"/>
    <w:rsid w:val="00D0607B"/>
    <w:rsid w:val="00D1325D"/>
    <w:rsid w:val="00D144F9"/>
    <w:rsid w:val="00D14EF0"/>
    <w:rsid w:val="00D1594B"/>
    <w:rsid w:val="00D16555"/>
    <w:rsid w:val="00D1752E"/>
    <w:rsid w:val="00D1763F"/>
    <w:rsid w:val="00D179A2"/>
    <w:rsid w:val="00D2102F"/>
    <w:rsid w:val="00D21915"/>
    <w:rsid w:val="00D22AA8"/>
    <w:rsid w:val="00D242F1"/>
    <w:rsid w:val="00D243EB"/>
    <w:rsid w:val="00D255F8"/>
    <w:rsid w:val="00D265EA"/>
    <w:rsid w:val="00D2745E"/>
    <w:rsid w:val="00D32AD1"/>
    <w:rsid w:val="00D32E53"/>
    <w:rsid w:val="00D3374F"/>
    <w:rsid w:val="00D338E5"/>
    <w:rsid w:val="00D34BA7"/>
    <w:rsid w:val="00D36C8C"/>
    <w:rsid w:val="00D36E67"/>
    <w:rsid w:val="00D37034"/>
    <w:rsid w:val="00D42D22"/>
    <w:rsid w:val="00D44A37"/>
    <w:rsid w:val="00D51661"/>
    <w:rsid w:val="00D57985"/>
    <w:rsid w:val="00D601D8"/>
    <w:rsid w:val="00D625B6"/>
    <w:rsid w:val="00D64526"/>
    <w:rsid w:val="00D65090"/>
    <w:rsid w:val="00D65BE4"/>
    <w:rsid w:val="00D6662D"/>
    <w:rsid w:val="00D669AC"/>
    <w:rsid w:val="00D671D2"/>
    <w:rsid w:val="00D67246"/>
    <w:rsid w:val="00D711D8"/>
    <w:rsid w:val="00D723E9"/>
    <w:rsid w:val="00D75CA8"/>
    <w:rsid w:val="00D77B76"/>
    <w:rsid w:val="00D81C73"/>
    <w:rsid w:val="00D82D32"/>
    <w:rsid w:val="00D83170"/>
    <w:rsid w:val="00D8367C"/>
    <w:rsid w:val="00D84293"/>
    <w:rsid w:val="00D85CD6"/>
    <w:rsid w:val="00D904F8"/>
    <w:rsid w:val="00D91440"/>
    <w:rsid w:val="00D92A85"/>
    <w:rsid w:val="00D92EB8"/>
    <w:rsid w:val="00D953C7"/>
    <w:rsid w:val="00D95C65"/>
    <w:rsid w:val="00DA0134"/>
    <w:rsid w:val="00DA343D"/>
    <w:rsid w:val="00DA3482"/>
    <w:rsid w:val="00DA461A"/>
    <w:rsid w:val="00DA546B"/>
    <w:rsid w:val="00DB2253"/>
    <w:rsid w:val="00DB2D57"/>
    <w:rsid w:val="00DB3CC7"/>
    <w:rsid w:val="00DC0197"/>
    <w:rsid w:val="00DC4356"/>
    <w:rsid w:val="00DC7BFE"/>
    <w:rsid w:val="00DD1E52"/>
    <w:rsid w:val="00DD4200"/>
    <w:rsid w:val="00DD45A9"/>
    <w:rsid w:val="00DD6C64"/>
    <w:rsid w:val="00DD72E6"/>
    <w:rsid w:val="00DD7F25"/>
    <w:rsid w:val="00DE2362"/>
    <w:rsid w:val="00DE238B"/>
    <w:rsid w:val="00DE49E6"/>
    <w:rsid w:val="00DE5467"/>
    <w:rsid w:val="00DE6185"/>
    <w:rsid w:val="00DE6C37"/>
    <w:rsid w:val="00DE7778"/>
    <w:rsid w:val="00DF25C0"/>
    <w:rsid w:val="00DF37C6"/>
    <w:rsid w:val="00DF3E01"/>
    <w:rsid w:val="00DF6920"/>
    <w:rsid w:val="00E00516"/>
    <w:rsid w:val="00E02A2C"/>
    <w:rsid w:val="00E05480"/>
    <w:rsid w:val="00E05EF4"/>
    <w:rsid w:val="00E066C8"/>
    <w:rsid w:val="00E06CEF"/>
    <w:rsid w:val="00E076A7"/>
    <w:rsid w:val="00E1024B"/>
    <w:rsid w:val="00E118E1"/>
    <w:rsid w:val="00E14891"/>
    <w:rsid w:val="00E16240"/>
    <w:rsid w:val="00E1752C"/>
    <w:rsid w:val="00E22CDC"/>
    <w:rsid w:val="00E23ADF"/>
    <w:rsid w:val="00E25B0B"/>
    <w:rsid w:val="00E27162"/>
    <w:rsid w:val="00E27E3E"/>
    <w:rsid w:val="00E31454"/>
    <w:rsid w:val="00E32295"/>
    <w:rsid w:val="00E33074"/>
    <w:rsid w:val="00E33D90"/>
    <w:rsid w:val="00E34B27"/>
    <w:rsid w:val="00E3533D"/>
    <w:rsid w:val="00E4033D"/>
    <w:rsid w:val="00E41F5E"/>
    <w:rsid w:val="00E4289F"/>
    <w:rsid w:val="00E42969"/>
    <w:rsid w:val="00E451FD"/>
    <w:rsid w:val="00E459A3"/>
    <w:rsid w:val="00E50375"/>
    <w:rsid w:val="00E50CA5"/>
    <w:rsid w:val="00E5361E"/>
    <w:rsid w:val="00E54F56"/>
    <w:rsid w:val="00E55896"/>
    <w:rsid w:val="00E57C4C"/>
    <w:rsid w:val="00E57E3F"/>
    <w:rsid w:val="00E601C2"/>
    <w:rsid w:val="00E602AE"/>
    <w:rsid w:val="00E62551"/>
    <w:rsid w:val="00E65663"/>
    <w:rsid w:val="00E65C88"/>
    <w:rsid w:val="00E679A9"/>
    <w:rsid w:val="00E71ACB"/>
    <w:rsid w:val="00E72AA1"/>
    <w:rsid w:val="00E7310B"/>
    <w:rsid w:val="00E742E0"/>
    <w:rsid w:val="00E81148"/>
    <w:rsid w:val="00E827EB"/>
    <w:rsid w:val="00E82F67"/>
    <w:rsid w:val="00E84BB2"/>
    <w:rsid w:val="00E87D26"/>
    <w:rsid w:val="00E90368"/>
    <w:rsid w:val="00E90515"/>
    <w:rsid w:val="00E9189B"/>
    <w:rsid w:val="00E91A26"/>
    <w:rsid w:val="00E94684"/>
    <w:rsid w:val="00E94D4E"/>
    <w:rsid w:val="00E95285"/>
    <w:rsid w:val="00E972E1"/>
    <w:rsid w:val="00EA0662"/>
    <w:rsid w:val="00EA0738"/>
    <w:rsid w:val="00EA1644"/>
    <w:rsid w:val="00EA1B30"/>
    <w:rsid w:val="00EA2B02"/>
    <w:rsid w:val="00EA372E"/>
    <w:rsid w:val="00EA4C58"/>
    <w:rsid w:val="00EA4CA3"/>
    <w:rsid w:val="00EA64B1"/>
    <w:rsid w:val="00EA7761"/>
    <w:rsid w:val="00EB0062"/>
    <w:rsid w:val="00EB1448"/>
    <w:rsid w:val="00EB2F3C"/>
    <w:rsid w:val="00EB3631"/>
    <w:rsid w:val="00EB3981"/>
    <w:rsid w:val="00EB4721"/>
    <w:rsid w:val="00EB4FC4"/>
    <w:rsid w:val="00EB5788"/>
    <w:rsid w:val="00EB63D6"/>
    <w:rsid w:val="00EB6F0F"/>
    <w:rsid w:val="00EB7A1A"/>
    <w:rsid w:val="00EC1573"/>
    <w:rsid w:val="00EC1ED4"/>
    <w:rsid w:val="00EC393B"/>
    <w:rsid w:val="00EC432D"/>
    <w:rsid w:val="00EC4D0E"/>
    <w:rsid w:val="00EC5699"/>
    <w:rsid w:val="00ED36BD"/>
    <w:rsid w:val="00ED4420"/>
    <w:rsid w:val="00EE033E"/>
    <w:rsid w:val="00EE1EEC"/>
    <w:rsid w:val="00EE5FCA"/>
    <w:rsid w:val="00EE607F"/>
    <w:rsid w:val="00EE6889"/>
    <w:rsid w:val="00EE692C"/>
    <w:rsid w:val="00EF1C52"/>
    <w:rsid w:val="00EF1CB9"/>
    <w:rsid w:val="00EF28EA"/>
    <w:rsid w:val="00EF3528"/>
    <w:rsid w:val="00EF3BCF"/>
    <w:rsid w:val="00EF524C"/>
    <w:rsid w:val="00EF5255"/>
    <w:rsid w:val="00EF55D4"/>
    <w:rsid w:val="00EF5D6A"/>
    <w:rsid w:val="00F001CD"/>
    <w:rsid w:val="00F00963"/>
    <w:rsid w:val="00F0225F"/>
    <w:rsid w:val="00F02D78"/>
    <w:rsid w:val="00F02F98"/>
    <w:rsid w:val="00F03390"/>
    <w:rsid w:val="00F04655"/>
    <w:rsid w:val="00F04A66"/>
    <w:rsid w:val="00F06436"/>
    <w:rsid w:val="00F07316"/>
    <w:rsid w:val="00F07CD8"/>
    <w:rsid w:val="00F11863"/>
    <w:rsid w:val="00F11A29"/>
    <w:rsid w:val="00F12B80"/>
    <w:rsid w:val="00F142E3"/>
    <w:rsid w:val="00F14369"/>
    <w:rsid w:val="00F15936"/>
    <w:rsid w:val="00F16AFC"/>
    <w:rsid w:val="00F2033E"/>
    <w:rsid w:val="00F203A6"/>
    <w:rsid w:val="00F20E0E"/>
    <w:rsid w:val="00F22352"/>
    <w:rsid w:val="00F22DC2"/>
    <w:rsid w:val="00F241F4"/>
    <w:rsid w:val="00F2442C"/>
    <w:rsid w:val="00F278BA"/>
    <w:rsid w:val="00F3341C"/>
    <w:rsid w:val="00F34C4D"/>
    <w:rsid w:val="00F34F2C"/>
    <w:rsid w:val="00F36817"/>
    <w:rsid w:val="00F40444"/>
    <w:rsid w:val="00F4329B"/>
    <w:rsid w:val="00F435CD"/>
    <w:rsid w:val="00F4469F"/>
    <w:rsid w:val="00F44D5C"/>
    <w:rsid w:val="00F455DC"/>
    <w:rsid w:val="00F528C8"/>
    <w:rsid w:val="00F533AE"/>
    <w:rsid w:val="00F60ABC"/>
    <w:rsid w:val="00F61CC8"/>
    <w:rsid w:val="00F634A4"/>
    <w:rsid w:val="00F63BBC"/>
    <w:rsid w:val="00F63F39"/>
    <w:rsid w:val="00F65CBF"/>
    <w:rsid w:val="00F714DB"/>
    <w:rsid w:val="00F72562"/>
    <w:rsid w:val="00F74076"/>
    <w:rsid w:val="00F75823"/>
    <w:rsid w:val="00F76315"/>
    <w:rsid w:val="00F7785F"/>
    <w:rsid w:val="00F80196"/>
    <w:rsid w:val="00F8055A"/>
    <w:rsid w:val="00F8214B"/>
    <w:rsid w:val="00F871C8"/>
    <w:rsid w:val="00F87743"/>
    <w:rsid w:val="00F90DA1"/>
    <w:rsid w:val="00F91BA1"/>
    <w:rsid w:val="00F9382E"/>
    <w:rsid w:val="00F94191"/>
    <w:rsid w:val="00F94B5B"/>
    <w:rsid w:val="00F966F6"/>
    <w:rsid w:val="00F97BE6"/>
    <w:rsid w:val="00FA2209"/>
    <w:rsid w:val="00FA2704"/>
    <w:rsid w:val="00FA360E"/>
    <w:rsid w:val="00FA49EE"/>
    <w:rsid w:val="00FA6060"/>
    <w:rsid w:val="00FA7132"/>
    <w:rsid w:val="00FA7397"/>
    <w:rsid w:val="00FB16B4"/>
    <w:rsid w:val="00FB1970"/>
    <w:rsid w:val="00FB207D"/>
    <w:rsid w:val="00FB2E54"/>
    <w:rsid w:val="00FB7F5C"/>
    <w:rsid w:val="00FC0A38"/>
    <w:rsid w:val="00FC1519"/>
    <w:rsid w:val="00FC154E"/>
    <w:rsid w:val="00FC15E9"/>
    <w:rsid w:val="00FC51D6"/>
    <w:rsid w:val="00FC5221"/>
    <w:rsid w:val="00FC53C2"/>
    <w:rsid w:val="00FC5D67"/>
    <w:rsid w:val="00FC70BE"/>
    <w:rsid w:val="00FD08D0"/>
    <w:rsid w:val="00FD1BCF"/>
    <w:rsid w:val="00FD262D"/>
    <w:rsid w:val="00FD3A82"/>
    <w:rsid w:val="00FD40C3"/>
    <w:rsid w:val="00FD650A"/>
    <w:rsid w:val="00FD65EC"/>
    <w:rsid w:val="00FE1727"/>
    <w:rsid w:val="00FE19E2"/>
    <w:rsid w:val="00FE26B2"/>
    <w:rsid w:val="00FE273D"/>
    <w:rsid w:val="00FE3EF4"/>
    <w:rsid w:val="00FE62C5"/>
    <w:rsid w:val="00FE74CC"/>
    <w:rsid w:val="00FF052F"/>
    <w:rsid w:val="00FF1034"/>
    <w:rsid w:val="00FF1332"/>
    <w:rsid w:val="00FF26B8"/>
    <w:rsid w:val="00FF4980"/>
    <w:rsid w:val="00FF4A47"/>
    <w:rsid w:val="00FF59F6"/>
    <w:rsid w:val="00FF787C"/>
    <w:rsid w:val="00FF7F2F"/>
    <w:rsid w:val="02E1C5C6"/>
    <w:rsid w:val="279FB398"/>
    <w:rsid w:val="29E80CF9"/>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F3E28FEB-A454-456F-91D6-56F3E48A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738"/>
  </w:style>
  <w:style w:type="paragraph" w:styleId="Footer">
    <w:name w:val="footer"/>
    <w:basedOn w:val="Normal"/>
    <w:link w:val="FooterChar"/>
    <w:uiPriority w:val="99"/>
    <w:unhideWhenUsed/>
    <w:rsid w:val="00707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738"/>
  </w:style>
  <w:style w:type="paragraph" w:styleId="BalloonText">
    <w:name w:val="Balloon Text"/>
    <w:basedOn w:val="Normal"/>
    <w:link w:val="BalloonTextChar"/>
    <w:uiPriority w:val="99"/>
    <w:semiHidden/>
    <w:unhideWhenUsed/>
    <w:rsid w:val="00707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38"/>
    <w:rPr>
      <w:rFonts w:ascii="Tahoma" w:hAnsi="Tahoma" w:cs="Tahoma"/>
      <w:sz w:val="16"/>
      <w:szCs w:val="16"/>
    </w:rPr>
  </w:style>
  <w:style w:type="table" w:styleId="TableGrid">
    <w:name w:val="Table Grid"/>
    <w:basedOn w:val="Table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1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F7C"/>
    <w:rPr>
      <w:sz w:val="20"/>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basedOn w:val="DefaultParagraphFon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ListParagraph">
    <w:name w:val="List Paragraph"/>
    <w:aliases w:val="Paragraphe EI,Paragraphe de liste1,EC,List Paragraph_Sections,Dot pt,List Paragraph1,Colorful List - Accent 11,No Spacing1,List Paragraph Char Char Char,Indicator Text,Numbered Para 1,Bullet 1,F5 List Paragraph,Bullet Points,OBC Bullet,3"/>
    <w:basedOn w:val="Normal"/>
    <w:link w:val="ListParagraphChar"/>
    <w:uiPriority w:val="34"/>
    <w:qFormat/>
    <w:rsid w:val="008057FF"/>
    <w:pPr>
      <w:ind w:left="720"/>
      <w:contextualSpacing/>
    </w:pPr>
  </w:style>
  <w:style w:type="character" w:styleId="CommentReference">
    <w:name w:val="annotation reference"/>
    <w:basedOn w:val="DefaultParagraphFont"/>
    <w:uiPriority w:val="99"/>
    <w:semiHidden/>
    <w:unhideWhenUsed/>
    <w:rsid w:val="009A3551"/>
    <w:rPr>
      <w:sz w:val="16"/>
      <w:szCs w:val="16"/>
    </w:rPr>
  </w:style>
  <w:style w:type="paragraph" w:styleId="CommentText">
    <w:name w:val="annotation text"/>
    <w:basedOn w:val="Normal"/>
    <w:link w:val="CommentTextChar"/>
    <w:uiPriority w:val="99"/>
    <w:unhideWhenUsed/>
    <w:rsid w:val="009A3551"/>
    <w:pPr>
      <w:spacing w:line="240" w:lineRule="auto"/>
    </w:pPr>
    <w:rPr>
      <w:sz w:val="20"/>
      <w:szCs w:val="20"/>
    </w:rPr>
  </w:style>
  <w:style w:type="character" w:customStyle="1" w:styleId="CommentTextChar">
    <w:name w:val="Comment Text Char"/>
    <w:basedOn w:val="DefaultParagraphFont"/>
    <w:link w:val="CommentText"/>
    <w:uiPriority w:val="99"/>
    <w:rsid w:val="009A3551"/>
    <w:rPr>
      <w:sz w:val="20"/>
      <w:szCs w:val="20"/>
    </w:rPr>
  </w:style>
  <w:style w:type="paragraph" w:styleId="CommentSubject">
    <w:name w:val="annotation subject"/>
    <w:basedOn w:val="CommentText"/>
    <w:next w:val="CommentText"/>
    <w:link w:val="CommentSubjectChar"/>
    <w:uiPriority w:val="99"/>
    <w:semiHidden/>
    <w:unhideWhenUsed/>
    <w:rsid w:val="009A3551"/>
    <w:rPr>
      <w:b/>
      <w:bCs/>
    </w:rPr>
  </w:style>
  <w:style w:type="character" w:customStyle="1" w:styleId="CommentSubjectChar">
    <w:name w:val="Comment Subject Char"/>
    <w:basedOn w:val="CommentTextChar"/>
    <w:link w:val="CommentSubject"/>
    <w:uiPriority w:val="99"/>
    <w:semiHidden/>
    <w:rsid w:val="009A3551"/>
    <w:rPr>
      <w:b/>
      <w:bCs/>
      <w:sz w:val="20"/>
      <w:szCs w:val="20"/>
    </w:rPr>
  </w:style>
  <w:style w:type="paragraph" w:styleId="NormalWeb">
    <w:name w:val="Normal (Web)"/>
    <w:basedOn w:val="Normal"/>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Paragraphe EI Char,Paragraphe de liste1 Char,EC Char,List Paragraph_Sections Char,Dot pt Char,List Paragraph1 Char,Colorful List - Accent 11 Char,No Spacing1 Char,List Paragraph Char Char Char Char,Indicator Text Char,Bullet 1 Char"/>
    <w:basedOn w:val="DefaultParagraphFont"/>
    <w:link w:val="ListParagraph"/>
    <w:uiPriority w:val="34"/>
    <w:qFormat/>
    <w:locked/>
    <w:rsid w:val="00D36E67"/>
  </w:style>
  <w:style w:type="paragraph" w:styleId="Title">
    <w:name w:val="Title"/>
    <w:basedOn w:val="Normal"/>
    <w:next w:val="Normal"/>
    <w:link w:val="TitleChar"/>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evision">
    <w:name w:val="Revision"/>
    <w:hidden/>
    <w:uiPriority w:val="99"/>
    <w:semiHidden/>
    <w:rsid w:val="00D1763F"/>
    <w:pPr>
      <w:spacing w:after="0" w:line="240" w:lineRule="auto"/>
    </w:pPr>
  </w:style>
  <w:style w:type="character" w:styleId="FollowedHyperlink">
    <w:name w:val="FollowedHyperlink"/>
    <w:basedOn w:val="DefaultParagraphFon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DefaultParagraphFon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DefaultParagraphFon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DefaultParagraphFont"/>
    <w:link w:val="HeaderFoot"/>
    <w:rsid w:val="005418F4"/>
    <w:rPr>
      <w:rFonts w:ascii="Arial" w:eastAsiaTheme="minorEastAsia" w:hAnsi="Arial" w:cs="Arial"/>
      <w:color w:val="001B4F"/>
      <w:sz w:val="16"/>
      <w:szCs w:val="16"/>
    </w:rPr>
  </w:style>
  <w:style w:type="character" w:styleId="UnresolvedMention">
    <w:name w:val="Unresolved Mention"/>
    <w:basedOn w:val="DefaultParagraphFont"/>
    <w:uiPriority w:val="99"/>
    <w:semiHidden/>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AE48EE"/>
    <w:pPr>
      <w:spacing w:after="250"/>
      <w:contextualSpacing/>
      <w:jc w:val="both"/>
    </w:pPr>
    <w:rPr>
      <w:rFonts w:ascii="Arial" w:eastAsiaTheme="minorEastAsia" w:hAnsi="Arial" w:cs="Arial"/>
      <w:b/>
      <w:lang w:val="en-US"/>
    </w:rPr>
  </w:style>
  <w:style w:type="character" w:customStyle="1" w:styleId="QuestionstyleChar">
    <w:name w:val="Question style Char"/>
    <w:basedOn w:val="DefaultParagraphFont"/>
    <w:link w:val="Questionstyle"/>
    <w:rsid w:val="00AE48EE"/>
    <w:rPr>
      <w:rFonts w:ascii="Arial" w:eastAsiaTheme="minorEastAsia" w:hAnsi="Arial" w:cs="Arial"/>
      <w:b/>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 w:type="character" w:styleId="Mention">
    <w:name w:val="Mention"/>
    <w:basedOn w:val="DefaultParagraphFont"/>
    <w:uiPriority w:val="99"/>
    <w:unhideWhenUsed/>
    <w:rsid w:val="00AE16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65290560">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34974494">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309991677">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02113096">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317223094">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529947548">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7266419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iopa.europa.eu/Pages/Links/Legal-notice.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ba.europa.eu/legal-not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ma.europa.eu"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ma.europa.eu/legal-notic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DC9C54989AC478F466B431284A55B" ma:contentTypeVersion="17" ma:contentTypeDescription="Create a new document." ma:contentTypeScope="" ma:versionID="4b8670a59279d64fc9d99440d32060b2">
  <xsd:schema xmlns:xsd="http://www.w3.org/2001/XMLSchema" xmlns:xs="http://www.w3.org/2001/XMLSchema" xmlns:p="http://schemas.microsoft.com/office/2006/metadata/properties" xmlns:ns1="http://schemas.microsoft.com/sharepoint/v3" xmlns:ns2="3d57f608-8600-4fb6-a8dd-0a08e237b0f0" xmlns:ns3="a6b03df4-19ba-413a-9b5e-2388a59103ad" targetNamespace="http://schemas.microsoft.com/office/2006/metadata/properties" ma:root="true" ma:fieldsID="0795e528f050cfcf276c655882c8ce20" ns1:_="" ns2:_="" ns3:_="">
    <xsd:import namespace="http://schemas.microsoft.com/sharepoint/v3"/>
    <xsd:import namespace="3d57f608-8600-4fb6-a8dd-0a08e237b0f0"/>
    <xsd:import namespace="a6b03df4-19ba-413a-9b5e-2388a59103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57f608-8600-4fb6-a8dd-0a08e237b0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7800a4d-6b75-4023-8f7b-3ccf3fa91e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b03df4-19ba-413a-9b5e-2388a59103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43384a2-e9e5-4cd5-8d4d-63dfe2486080}" ma:internalName="TaxCatchAll" ma:showField="CatchAllData" ma:web="a6b03df4-19ba-413a-9b5e-2388a5910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6b03df4-19ba-413a-9b5e-2388a59103ad" xsi:nil="true"/>
    <_ip_UnifiedCompliancePolicyUIAction xmlns="http://schemas.microsoft.com/sharepoint/v3" xsi:nil="true"/>
    <_ip_UnifiedCompliancePolicyProperties xmlns="http://schemas.microsoft.com/sharepoint/v3" xsi:nil="true"/>
    <lcf76f155ced4ddcb4097134ff3c332f xmlns="3d57f608-8600-4fb6-a8dd-0a08e237b0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AE6879-BCEF-4A14-B935-F6F2AE36C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57f608-8600-4fb6-a8dd-0a08e237b0f0"/>
    <ds:schemaRef ds:uri="a6b03df4-19ba-413a-9b5e-2388a5910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customXml/itemProps3.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4.xml><?xml version="1.0" encoding="utf-8"?>
<ds:datastoreItem xmlns:ds="http://schemas.openxmlformats.org/officeDocument/2006/customXml" ds:itemID="{298AAAF1-38A1-4F65-AD56-B9BB84E00524}">
  <ds:schemaRefs>
    <ds:schemaRef ds:uri="3d57f608-8600-4fb6-a8dd-0a08e237b0f0"/>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purl.org/dc/elements/1.1/"/>
    <ds:schemaRef ds:uri="http://schemas.openxmlformats.org/package/2006/metadata/core-properties"/>
    <ds:schemaRef ds:uri="a6b03df4-19ba-413a-9b5e-2388a59103ad"/>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JC ESAs letter 2023</Template>
  <TotalTime>1</TotalTime>
  <Pages>21</Pages>
  <Words>5613</Words>
  <Characters>31997</Characters>
  <Application>Microsoft Office Word</Application>
  <DocSecurity>0</DocSecurity>
  <Lines>266</Lines>
  <Paragraphs>75</Paragraphs>
  <ScaleCrop>false</ScaleCrop>
  <Company>HP</Company>
  <LinksUpToDate>false</LinksUpToDate>
  <CharactersWithSpaces>37535</CharactersWithSpaces>
  <SharedDoc>false</SharedDoc>
  <HLinks>
    <vt:vector size="24" baseType="variant">
      <vt:variant>
        <vt:i4>7864440</vt:i4>
      </vt:variant>
      <vt:variant>
        <vt:i4>9</vt:i4>
      </vt:variant>
      <vt:variant>
        <vt:i4>0</vt:i4>
      </vt:variant>
      <vt:variant>
        <vt:i4>5</vt:i4>
      </vt:variant>
      <vt:variant>
        <vt:lpwstr>https://www.esma.europa.eu/legal-notice</vt:lpwstr>
      </vt:variant>
      <vt:variant>
        <vt:lpwstr/>
      </vt:variant>
      <vt:variant>
        <vt:i4>4849729</vt:i4>
      </vt:variant>
      <vt:variant>
        <vt:i4>6</vt:i4>
      </vt:variant>
      <vt:variant>
        <vt:i4>0</vt:i4>
      </vt:variant>
      <vt:variant>
        <vt:i4>5</vt:i4>
      </vt:variant>
      <vt:variant>
        <vt:lpwstr>https://eiopa.europa.eu/Pages/Links/Legal-notice.aspx</vt:lpwstr>
      </vt:variant>
      <vt:variant>
        <vt:lpwstr/>
      </vt:variant>
      <vt:variant>
        <vt:i4>851970</vt:i4>
      </vt:variant>
      <vt:variant>
        <vt:i4>3</vt:i4>
      </vt:variant>
      <vt:variant>
        <vt:i4>0</vt:i4>
      </vt:variant>
      <vt:variant>
        <vt:i4>5</vt:i4>
      </vt:variant>
      <vt:variant>
        <vt:lpwstr>http://www.eba.europa.eu/legal-notice</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Helene Procoudine Gorsky</cp:lastModifiedBy>
  <cp:revision>2</cp:revision>
  <cp:lastPrinted>2022-02-14T13:26:00Z</cp:lastPrinted>
  <dcterms:created xsi:type="dcterms:W3CDTF">2023-07-03T12:43:00Z</dcterms:created>
  <dcterms:modified xsi:type="dcterms:W3CDTF">2023-07-03T12:43:00Z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0x010100D94DC9C54989AC478F466B431284A55B</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y fmtid="{D5CDD505-2E9C-101B-9397-08002B2CF9AE}" pid="32" name="MediaServiceImageTags">
    <vt:lpwstr/>
  </property>
</Properties>
</file>