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Reply form</w:t>
      </w:r>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and in particular on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respond to the question stat</w:t>
      </w:r>
      <w:r w:rsidR="590A19A6" w:rsidRPr="279FB398">
        <w:rPr>
          <w:rFonts w:ascii="Arial" w:eastAsiaTheme="minorEastAsia" w:hAnsi="Arial" w:cs="Arial"/>
          <w:color w:val="1A1A1A"/>
        </w:rPr>
        <w:t>e</w:t>
      </w:r>
      <w:r w:rsidRPr="279FB398">
        <w:rPr>
          <w:rFonts w:ascii="Arial" w:eastAsiaTheme="minorEastAsia" w:hAnsi="Arial" w:cs="Arial"/>
          <w:color w:val="1A1A1A"/>
        </w:rPr>
        <w:t>d;</w:t>
      </w:r>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indicate the specific question to which the comment relates;</w:t>
      </w:r>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 order to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_1&gt;. Your response to each question has to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2"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The protection of individuals with regard to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3" w:history="1">
        <w:r w:rsidRPr="00905E44">
          <w:rPr>
            <w:rStyle w:val="Hipercze"/>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4" w:history="1">
        <w:r w:rsidRPr="00905E44">
          <w:rPr>
            <w:rStyle w:val="Hipercze"/>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5" w:history="1">
        <w:r w:rsidRPr="00905E44">
          <w:rPr>
            <w:rStyle w:val="Hipercze"/>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Content>
            <w:tc>
              <w:tcPr>
                <w:tcW w:w="5595" w:type="dxa"/>
                <w:shd w:val="clear" w:color="auto" w:fill="auto"/>
                <w:vAlign w:val="center"/>
              </w:tcPr>
              <w:p w14:paraId="2D662032" w14:textId="5572EB37" w:rsidR="005418F4" w:rsidRPr="005418F4" w:rsidRDefault="00A84624" w:rsidP="005418F4">
                <w:pPr>
                  <w:spacing w:after="250"/>
                  <w:rPr>
                    <w:rFonts w:ascii="Arial" w:eastAsiaTheme="minorEastAsia" w:hAnsi="Arial" w:cs="Arial"/>
                    <w:color w:val="808080"/>
                    <w:szCs w:val="20"/>
                  </w:rPr>
                </w:pPr>
                <w:r>
                  <w:rPr>
                    <w:rFonts w:ascii="Arial" w:eastAsiaTheme="minorEastAsia" w:hAnsi="Arial" w:cs="Arial"/>
                    <w:color w:val="808080"/>
                    <w:szCs w:val="20"/>
                  </w:rPr>
                  <w:t>European Financial Congress</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2FB939E4" w:rsidR="005418F4" w:rsidRPr="005418F4" w:rsidRDefault="00000000"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A84624">
                  <w:rPr>
                    <w:rFonts w:ascii="Arial" w:eastAsiaTheme="minorEastAsia" w:hAnsi="Arial" w:cs="Arial"/>
                    <w:color w:val="1A1A1A" w:themeColor="background1" w:themeShade="1A"/>
                    <w:szCs w:val="20"/>
                  </w:rPr>
                  <w:t>Other Financial service providers</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0"/>
              <w14:checkedState w14:val="2612" w14:font="MS Gothic"/>
              <w14:uncheckedState w14:val="2610" w14:font="MS Gothic"/>
            </w14:checkbox>
          </w:sdtPr>
          <w:sdtContent>
            <w:tc>
              <w:tcPr>
                <w:tcW w:w="5595" w:type="dxa"/>
                <w:shd w:val="clear" w:color="auto" w:fill="auto"/>
                <w:vAlign w:val="center"/>
              </w:tcPr>
              <w:p w14:paraId="67C0DEAE" w14:textId="0A29502F" w:rsidR="005418F4" w:rsidRPr="005418F4" w:rsidRDefault="00A84624"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763C0ACF" w14:textId="64ED5CAF" w:rsidR="005418F4" w:rsidRPr="005418F4" w:rsidRDefault="00A84624"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Poland</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41BB">
      <w:pPr>
        <w:pStyle w:val="Questionstyle"/>
        <w:numPr>
          <w:ilvl w:val="0"/>
          <w:numId w:val="4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5929778" w:edGrp="everyone"/>
      <w:permEnd w:id="5929778"/>
    </w:p>
    <w:p w14:paraId="4A55641A" w14:textId="1DFE558D" w:rsidR="009C41BB" w:rsidRDefault="009C41BB" w:rsidP="009C41BB">
      <w:permStart w:id="1348034591" w:edGrp="everyone"/>
      <w:r>
        <w:t>TYPE YOUR TEXT HERE</w:t>
      </w:r>
    </w:p>
    <w:permEnd w:id="1348034591"/>
    <w:p w14:paraId="48EE2711" w14:textId="77777777" w:rsidR="009C41BB" w:rsidRDefault="009C41BB" w:rsidP="009C41BB">
      <w:r>
        <w:t>&lt;ESMA_QUESTION_SFDR_1&gt;</w:t>
      </w:r>
    </w:p>
    <w:p w14:paraId="735D870C" w14:textId="77777777" w:rsidR="009C41BB" w:rsidRDefault="009C41BB" w:rsidP="009C41BB"/>
    <w:p w14:paraId="6612C953" w14:textId="77777777" w:rsidR="009C41BB" w:rsidRDefault="009C41BB" w:rsidP="009C41BB">
      <w:pPr>
        <w:pStyle w:val="Questionstyle"/>
        <w:numPr>
          <w:ilvl w:val="0"/>
          <w:numId w:val="4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2FF56595" w14:textId="77777777" w:rsidR="009C41BB" w:rsidRDefault="009C41BB" w:rsidP="009C41BB">
      <w:permStart w:id="1140268191" w:edGrp="everyone"/>
      <w:r>
        <w:t>TYPE YOUR TEXT HERE</w:t>
      </w:r>
    </w:p>
    <w:permEnd w:id="1140268191"/>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rsidP="009C41BB">
      <w:pPr>
        <w:pStyle w:val="Questionstyle"/>
        <w:numPr>
          <w:ilvl w:val="0"/>
          <w:numId w:val="42"/>
        </w:numPr>
      </w:pPr>
      <w:bookmarkStart w:id="2" w:name="_Hlk131609830"/>
      <w:r>
        <w:t xml:space="preserve">: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w:t>
      </w:r>
      <w:r>
        <w:lastRenderedPageBreak/>
        <w:t>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040088C5" w14:textId="77777777" w:rsidR="009C41BB" w:rsidRDefault="009C41BB" w:rsidP="009C41BB">
      <w:permStart w:id="1930569352" w:edGrp="everyone"/>
      <w:r>
        <w:t>TYPE YOUR TEXT HERE</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9C41BB">
      <w:pPr>
        <w:pStyle w:val="Questionstyle"/>
        <w:numPr>
          <w:ilvl w:val="0"/>
          <w:numId w:val="42"/>
        </w:numPr>
      </w:pPr>
      <w:bookmarkStart w:id="3" w:name="_Hlk131609831"/>
      <w:r>
        <w:t>: Would you recommend any other social indicator or adjust any of the ones proposed?</w:t>
      </w:r>
    </w:p>
    <w:bookmarkEnd w:id="3"/>
    <w:p w14:paraId="6BC5AA32" w14:textId="77777777" w:rsidR="009C41BB" w:rsidRDefault="009C41BB" w:rsidP="009C41BB">
      <w:r>
        <w:t>&lt;ESMA_QUESTION_SFDR_4&gt;</w:t>
      </w:r>
    </w:p>
    <w:p w14:paraId="191F2CF6" w14:textId="77777777" w:rsidR="009C41BB" w:rsidRDefault="009C41BB" w:rsidP="009C41BB">
      <w:permStart w:id="2056993415" w:edGrp="everyone"/>
      <w:r>
        <w:t>TYPE YOUR TEXT HERE</w:t>
      </w:r>
    </w:p>
    <w:permEnd w:id="2056993415"/>
    <w:p w14:paraId="5C0CA950" w14:textId="77777777" w:rsidR="009C41BB" w:rsidRDefault="009C41BB" w:rsidP="009C41BB">
      <w:r>
        <w:t>&lt;ESMA_QUESTION_SFDR_4&gt;</w:t>
      </w:r>
    </w:p>
    <w:p w14:paraId="6CC85AFF" w14:textId="77777777" w:rsidR="009C41BB" w:rsidRDefault="009C41BB" w:rsidP="009C41BB"/>
    <w:p w14:paraId="5D57C8EB" w14:textId="77777777" w:rsidR="009C41BB" w:rsidRDefault="009C41BB" w:rsidP="009C41BB">
      <w:pPr>
        <w:pStyle w:val="Questionstyle"/>
        <w:numPr>
          <w:ilvl w:val="0"/>
          <w:numId w:val="42"/>
        </w:numPr>
      </w:pPr>
      <w:bookmarkStart w:id="4" w:name="_Hlk131609833"/>
      <w:r>
        <w:t>: Do you agree with the changes proposed to the existing mandatory and opt-in social indicators in Annex I, Table I and III (i.e.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7100C321" w14:textId="77777777" w:rsidR="009C41BB" w:rsidRDefault="009C41BB" w:rsidP="009C41BB">
      <w:permStart w:id="452221127" w:edGrp="everyone"/>
      <w:r>
        <w:t>TYPE YOUR TEXT HERE</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9C41BB">
      <w:pPr>
        <w:pStyle w:val="Questionstyle"/>
        <w:numPr>
          <w:ilvl w:val="0"/>
          <w:numId w:val="42"/>
        </w:numPr>
      </w:pPr>
      <w:bookmarkStart w:id="5" w:name="_Hlk131609834"/>
      <w:r>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13CBEF29" w14:textId="77777777" w:rsidR="009C41BB" w:rsidRDefault="009C41BB" w:rsidP="009C41BB">
      <w:permStart w:id="887372501" w:edGrp="everyone"/>
      <w:r>
        <w:t>TYPE YOUR TEXT HERE</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C41BB">
      <w:pPr>
        <w:pStyle w:val="Questionstyle"/>
        <w:numPr>
          <w:ilvl w:val="0"/>
          <w:numId w:val="42"/>
        </w:numPr>
      </w:pPr>
      <w:bookmarkStart w:id="6" w:name="_Hlk131609836"/>
      <w:r>
        <w:t xml:space="preserve">: For real estate assets, do you see any merit in adjusting the definition of PAI indicator 22 of Table 1 in order to align it with the EU Taxonomy criteria </w:t>
      </w:r>
      <w:r>
        <w:lastRenderedPageBreak/>
        <w:t>applicable to the DNSH of the climate change mitigation objective under the climate change adaptation objective?</w:t>
      </w:r>
    </w:p>
    <w:bookmarkEnd w:id="6"/>
    <w:p w14:paraId="7DF73432" w14:textId="77777777" w:rsidR="009C41BB" w:rsidRDefault="009C41BB" w:rsidP="009C41BB">
      <w:r>
        <w:t>&lt;ESMA_QUESTION_SFDR_7&gt;</w:t>
      </w:r>
    </w:p>
    <w:p w14:paraId="0F9A5495" w14:textId="77777777" w:rsidR="009C41BB" w:rsidRDefault="009C41BB" w:rsidP="009C41BB">
      <w:permStart w:id="1335120249" w:edGrp="everyone"/>
      <w:r>
        <w:t>TYPE YOUR TEXT HERE</w:t>
      </w:r>
    </w:p>
    <w:permEnd w:id="1335120249"/>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rsidP="009C41BB">
      <w:pPr>
        <w:pStyle w:val="Questionstyle"/>
        <w:numPr>
          <w:ilvl w:val="0"/>
          <w:numId w:val="42"/>
        </w:numPr>
      </w:pPr>
      <w:bookmarkStart w:id="7" w:name="_Hlk131609837"/>
      <w:r>
        <w:t>: Do you see any challenges in the interaction between the definition ‘enterprise value’ and ‘current value of investment’ for the calculation of the PAI indicators?</w:t>
      </w:r>
    </w:p>
    <w:bookmarkEnd w:id="7"/>
    <w:p w14:paraId="0563F3C0" w14:textId="77777777" w:rsidR="009C41BB" w:rsidRDefault="009C41BB" w:rsidP="009C41BB">
      <w:r>
        <w:t>&lt;ESMA_QUESTION_SFDR_8&gt;</w:t>
      </w:r>
    </w:p>
    <w:p w14:paraId="668ACE9C" w14:textId="77777777" w:rsidR="009C41BB" w:rsidRDefault="009C41BB" w:rsidP="009C41BB">
      <w:permStart w:id="1288714632" w:edGrp="everyone"/>
      <w:r>
        <w:t>TYPE YOUR TEXT HERE</w:t>
      </w:r>
    </w:p>
    <w:permEnd w:id="1288714632"/>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9C41BB">
      <w:pPr>
        <w:pStyle w:val="Questionstyle"/>
        <w:numPr>
          <w:ilvl w:val="0"/>
          <w:numId w:val="42"/>
        </w:numPr>
      </w:pPr>
      <w:bookmarkStart w:id="8" w:name="_Hlk131609838"/>
      <w:r>
        <w:t xml:space="preserve">: Do you have any comments or proposed adjustments to the new formulae suggested in Annex I?  </w:t>
      </w:r>
    </w:p>
    <w:bookmarkEnd w:id="8"/>
    <w:p w14:paraId="37D6FAC5" w14:textId="77777777" w:rsidR="009C41BB" w:rsidRDefault="009C41BB" w:rsidP="009C41BB">
      <w:r>
        <w:t>&lt;ESMA_QUESTION_SFDR_9&gt;</w:t>
      </w:r>
    </w:p>
    <w:p w14:paraId="4F4DE381" w14:textId="77777777" w:rsidR="00A84624" w:rsidRPr="00A84624" w:rsidRDefault="00A84624" w:rsidP="00A84624">
      <w:pPr>
        <w:spacing w:after="160"/>
        <w:rPr>
          <w:rFonts w:ascii="PT Sans" w:eastAsia="Calibri" w:hAnsi="PT Sans" w:cs="Calibri"/>
          <w:color w:val="002060"/>
          <w:kern w:val="2"/>
          <w:sz w:val="24"/>
          <w:szCs w:val="24"/>
          <w:lang w:val="en-US"/>
        </w:rPr>
      </w:pPr>
      <w:permStart w:id="2059607147" w:edGrp="everyone"/>
      <w:r w:rsidRPr="00A84624">
        <w:rPr>
          <w:rFonts w:ascii="PT Sans" w:eastAsia="Calibri" w:hAnsi="PT Sans" w:cs="Calibri"/>
          <w:color w:val="002060"/>
          <w:kern w:val="2"/>
          <w:sz w:val="24"/>
          <w:szCs w:val="24"/>
          <w:lang w:val="en-US"/>
        </w:rPr>
        <w:t>In principle, the ESAs’ changes to the Annex 1 formulas are reasonable in our view. These formulas, as presented, should not raise interpretive concerns for the FMP.  Some specific comments below:</w:t>
      </w:r>
    </w:p>
    <w:p w14:paraId="7A1DBB34" w14:textId="77777777" w:rsidR="00A84624" w:rsidRPr="00A84624" w:rsidRDefault="00A84624" w:rsidP="00A84624">
      <w:pPr>
        <w:spacing w:after="160"/>
        <w:rPr>
          <w:rFonts w:ascii="PT Sans" w:eastAsia="Calibri" w:hAnsi="PT Sans" w:cs="Calibri"/>
          <w:color w:val="002060"/>
          <w:kern w:val="2"/>
          <w:sz w:val="24"/>
          <w:szCs w:val="24"/>
          <w:lang w:val="en-US"/>
        </w:rPr>
      </w:pPr>
      <w:r w:rsidRPr="00A84624">
        <w:rPr>
          <w:rFonts w:ascii="PT Sans" w:eastAsia="Calibri" w:hAnsi="PT Sans" w:cs="Calibri"/>
          <w:color w:val="002060"/>
          <w:kern w:val="2"/>
          <w:sz w:val="24"/>
          <w:szCs w:val="24"/>
          <w:lang w:val="en-US"/>
        </w:rPr>
        <w:t>- formula (6) p. 82 in the name remove the word "production"</w:t>
      </w:r>
    </w:p>
    <w:p w14:paraId="61A3B6F2" w14:textId="77777777" w:rsidR="00A84624" w:rsidRPr="00A84624" w:rsidRDefault="00A84624" w:rsidP="00A84624">
      <w:pPr>
        <w:spacing w:after="160"/>
        <w:rPr>
          <w:rFonts w:ascii="PT Sans" w:eastAsia="Calibri" w:hAnsi="PT Sans" w:cs="Calibri"/>
          <w:color w:val="002060"/>
          <w:kern w:val="2"/>
          <w:sz w:val="24"/>
          <w:szCs w:val="24"/>
          <w:lang w:val="en-US"/>
        </w:rPr>
      </w:pPr>
      <w:r w:rsidRPr="00A84624">
        <w:rPr>
          <w:rFonts w:ascii="PT Sans" w:eastAsia="Calibri" w:hAnsi="PT Sans" w:cs="Calibri"/>
          <w:color w:val="002060"/>
          <w:kern w:val="2"/>
          <w:sz w:val="24"/>
          <w:szCs w:val="24"/>
          <w:lang w:val="en-US"/>
        </w:rPr>
        <w:t xml:space="preserve">- formula (13) p. 85, Gender Pay Gap. </w:t>
      </w:r>
    </w:p>
    <w:p w14:paraId="60AE41E5" w14:textId="77777777" w:rsidR="00A84624" w:rsidRPr="00A84624" w:rsidRDefault="00A84624" w:rsidP="00A84624">
      <w:pPr>
        <w:spacing w:after="160"/>
        <w:rPr>
          <w:rFonts w:ascii="PT Sans" w:eastAsia="Calibri" w:hAnsi="PT Sans" w:cs="Calibri"/>
          <w:color w:val="002060"/>
          <w:kern w:val="2"/>
          <w:sz w:val="24"/>
          <w:szCs w:val="24"/>
          <w:lang w:val="en-US"/>
        </w:rPr>
      </w:pPr>
      <w:r w:rsidRPr="00A84624">
        <w:rPr>
          <w:rFonts w:ascii="PT Sans" w:eastAsia="Calibri" w:hAnsi="PT Sans" w:cs="Calibri"/>
          <w:color w:val="002060"/>
          <w:kern w:val="2"/>
          <w:sz w:val="24"/>
          <w:szCs w:val="24"/>
          <w:lang w:val="en-US"/>
        </w:rPr>
        <w:t>Instead of max{0,formula] insert ABS(formula) to capture inequality when women earn more than men</w:t>
      </w:r>
    </w:p>
    <w:p w14:paraId="1822E22F" w14:textId="77777777" w:rsidR="00A84624" w:rsidRPr="00A84624" w:rsidRDefault="00A84624" w:rsidP="00A84624">
      <w:pPr>
        <w:spacing w:after="160"/>
        <w:rPr>
          <w:rFonts w:ascii="PT Sans" w:eastAsia="Calibri" w:hAnsi="PT Sans" w:cs="Calibri"/>
          <w:color w:val="002060"/>
          <w:kern w:val="2"/>
          <w:sz w:val="24"/>
          <w:szCs w:val="24"/>
          <w:lang w:val="en-US"/>
        </w:rPr>
      </w:pPr>
      <w:r w:rsidRPr="00A84624">
        <w:rPr>
          <w:rFonts w:ascii="PT Sans" w:eastAsia="Calibri" w:hAnsi="PT Sans" w:cs="Calibri"/>
          <w:color w:val="002060"/>
          <w:kern w:val="2"/>
          <w:sz w:val="24"/>
          <w:szCs w:val="24"/>
          <w:lang w:val="en-US"/>
        </w:rPr>
        <w:t>- formula (19) p. 87 'share of employees earning less than the adequate wage' - and definition on p. 78 Since the definition refers to ESRS, and there it is broad "in line with applicable benchmarks" the scope of the definition can be expanded or changed to be more explicit " in line with local minimum wage regulations"</w:t>
      </w:r>
    </w:p>
    <w:p w14:paraId="0D4BDF72" w14:textId="77777777" w:rsidR="00A84624" w:rsidRPr="00A84624" w:rsidRDefault="00A84624" w:rsidP="00A84624">
      <w:pPr>
        <w:spacing w:after="160"/>
        <w:rPr>
          <w:rFonts w:ascii="PT Sans" w:eastAsia="Calibri" w:hAnsi="PT Sans" w:cs="Calibri"/>
          <w:color w:val="002060"/>
          <w:kern w:val="2"/>
          <w:sz w:val="24"/>
          <w:szCs w:val="24"/>
          <w:lang w:val="en-US"/>
        </w:rPr>
      </w:pPr>
      <w:r w:rsidRPr="00A84624">
        <w:rPr>
          <w:rFonts w:ascii="PT Sans" w:eastAsia="Calibri" w:hAnsi="PT Sans" w:cs="Calibri"/>
          <w:color w:val="002060"/>
          <w:kern w:val="2"/>
          <w:sz w:val="24"/>
          <w:szCs w:val="24"/>
          <w:lang w:val="en-US"/>
        </w:rPr>
        <w:t>- formula (36) p. 92 introduce a denominator of "total generated waste in company i" into the formula to get a relative indicator</w:t>
      </w:r>
    </w:p>
    <w:p w14:paraId="32C7DEFF" w14:textId="77777777" w:rsidR="00A84624" w:rsidRPr="00A84624" w:rsidRDefault="00A84624" w:rsidP="00A84624">
      <w:pPr>
        <w:spacing w:after="160"/>
        <w:rPr>
          <w:rFonts w:ascii="PT Sans" w:eastAsia="Calibri" w:hAnsi="PT Sans" w:cs="Calibri"/>
          <w:color w:val="002060"/>
          <w:kern w:val="2"/>
          <w:sz w:val="24"/>
          <w:szCs w:val="24"/>
          <w:lang w:val="en-US"/>
        </w:rPr>
      </w:pPr>
      <w:r w:rsidRPr="00A84624">
        <w:rPr>
          <w:rFonts w:ascii="PT Sans" w:eastAsia="Calibri" w:hAnsi="PT Sans" w:cs="Calibri"/>
          <w:color w:val="002060"/>
          <w:kern w:val="2"/>
          <w:sz w:val="24"/>
          <w:szCs w:val="24"/>
          <w:lang w:val="en-US"/>
        </w:rPr>
        <w:t xml:space="preserve">- formula (47) p. 95 'rate of recordable work-related injuries' indicates that dividing by revenue is not needed. We suggest deleting the denominator, i.e., revenue in </w:t>
      </w:r>
      <w:proofErr w:type="spellStart"/>
      <w:r w:rsidRPr="00A84624">
        <w:rPr>
          <w:rFonts w:ascii="PT Sans" w:eastAsia="Calibri" w:hAnsi="PT Sans" w:cs="Calibri"/>
          <w:color w:val="002060"/>
          <w:kern w:val="2"/>
          <w:sz w:val="24"/>
          <w:szCs w:val="24"/>
          <w:lang w:val="en-US"/>
        </w:rPr>
        <w:t>Meuro</w:t>
      </w:r>
      <w:proofErr w:type="spellEnd"/>
      <w:r w:rsidRPr="00A84624">
        <w:rPr>
          <w:rFonts w:ascii="PT Sans" w:eastAsia="Calibri" w:hAnsi="PT Sans" w:cs="Calibri"/>
          <w:color w:val="002060"/>
          <w:kern w:val="2"/>
          <w:sz w:val="24"/>
          <w:szCs w:val="24"/>
          <w:lang w:val="en-US"/>
        </w:rPr>
        <w:t>.</w:t>
      </w:r>
    </w:p>
    <w:permEnd w:id="2059607147"/>
    <w:p w14:paraId="548D5BC4" w14:textId="77777777" w:rsidR="009C41BB" w:rsidRDefault="009C41BB" w:rsidP="009C41BB">
      <w:r>
        <w:lastRenderedPageBreak/>
        <w:t>&lt;ESMA_QUESTION_SFDR_9&gt;</w:t>
      </w:r>
    </w:p>
    <w:p w14:paraId="4E0660C5" w14:textId="77777777" w:rsidR="009C41BB" w:rsidRDefault="009C41BB" w:rsidP="009C41BB"/>
    <w:p w14:paraId="65BB34FD" w14:textId="77777777" w:rsidR="009C41BB" w:rsidRDefault="009C41BB" w:rsidP="009C41BB">
      <w:pPr>
        <w:pStyle w:val="Questionstyle"/>
        <w:numPr>
          <w:ilvl w:val="0"/>
          <w:numId w:val="42"/>
        </w:numPr>
      </w:pPr>
      <w:bookmarkStart w:id="9"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Default="009C41BB" w:rsidP="009C41BB">
      <w:r>
        <w:t>&lt;ESMA_QUESTION_SFDR_10&gt;</w:t>
      </w:r>
    </w:p>
    <w:p w14:paraId="5DF9E223" w14:textId="77777777" w:rsidR="00A84624" w:rsidRPr="00A84624" w:rsidRDefault="00A84624" w:rsidP="00A84624">
      <w:pPr>
        <w:spacing w:after="160"/>
        <w:rPr>
          <w:rFonts w:ascii="PT Sans" w:eastAsia="Calibri" w:hAnsi="PT Sans" w:cs="Calibri"/>
          <w:color w:val="002060"/>
          <w:kern w:val="2"/>
          <w:sz w:val="24"/>
          <w:szCs w:val="24"/>
          <w:lang w:val="en-US"/>
        </w:rPr>
      </w:pPr>
      <w:permStart w:id="1591695117" w:edGrp="everyone"/>
      <w:r w:rsidRPr="00A84624">
        <w:rPr>
          <w:rFonts w:ascii="PT Sans" w:eastAsia="Calibri" w:hAnsi="PT Sans" w:cs="Calibri"/>
          <w:color w:val="002060"/>
          <w:kern w:val="2"/>
          <w:sz w:val="24"/>
          <w:szCs w:val="24"/>
          <w:lang w:val="en-US"/>
        </w:rPr>
        <w:t>We have no comments</w:t>
      </w:r>
    </w:p>
    <w:permEnd w:id="1591695117"/>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rsidP="009C41BB">
      <w:pPr>
        <w:pStyle w:val="Questionstyle"/>
        <w:numPr>
          <w:ilvl w:val="0"/>
          <w:numId w:val="42"/>
        </w:numPr>
      </w:pPr>
      <w:bookmarkStart w:id="10" w:name="_Hlk131609841"/>
      <w:r>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C41BB">
      <w:r>
        <w:t>&lt;ESMA_QUESTION_SFDR_11&gt;</w:t>
      </w:r>
    </w:p>
    <w:p w14:paraId="6638B110" w14:textId="77777777" w:rsidR="00A84624" w:rsidRPr="00A84624" w:rsidRDefault="00A84624" w:rsidP="00A84624">
      <w:pPr>
        <w:spacing w:after="160"/>
        <w:rPr>
          <w:rFonts w:ascii="PT Sans" w:eastAsia="Calibri" w:hAnsi="PT Sans" w:cs="Calibri"/>
          <w:color w:val="002060"/>
          <w:kern w:val="2"/>
          <w:sz w:val="24"/>
          <w:szCs w:val="24"/>
          <w:lang w:val="en-US"/>
        </w:rPr>
      </w:pPr>
      <w:permStart w:id="1653823566" w:edGrp="everyone"/>
      <w:r w:rsidRPr="00A84624">
        <w:rPr>
          <w:rFonts w:ascii="PT Sans" w:eastAsia="Calibri" w:hAnsi="PT Sans" w:cs="Calibri"/>
          <w:color w:val="002060"/>
          <w:kern w:val="2"/>
          <w:sz w:val="24"/>
          <w:szCs w:val="24"/>
          <w:lang w:val="en-US"/>
        </w:rPr>
        <w:t>Showing the share of investments where financial market participants rely on information obtained directly from investee companies is a good practice. Such a solution should be considered appropriate, among other things, due to the potential difficulty of obtaining data, particularly from smaller entities. We have no comments.</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9C41BB">
      <w:pPr>
        <w:pStyle w:val="Questionstyle"/>
        <w:numPr>
          <w:ilvl w:val="0"/>
          <w:numId w:val="4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070CBD69" w14:textId="77777777" w:rsidR="009C41BB" w:rsidRDefault="009C41BB" w:rsidP="009C41BB">
      <w:permStart w:id="684359195" w:edGrp="everyone"/>
      <w:r>
        <w:t>TYPE YOUR TEXT HERE</w:t>
      </w:r>
    </w:p>
    <w:permEnd w:id="684359195"/>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Default="009C41BB" w:rsidP="009C41BB">
      <w:pPr>
        <w:pStyle w:val="Questionstyle"/>
        <w:numPr>
          <w:ilvl w:val="0"/>
          <w:numId w:val="4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lastRenderedPageBreak/>
        <w:t>&lt;ESMA_QUESTION_SFDR_13&gt;</w:t>
      </w:r>
    </w:p>
    <w:p w14:paraId="446EDA40" w14:textId="77777777" w:rsidR="00A84624" w:rsidRPr="00A84624" w:rsidRDefault="00A84624" w:rsidP="00A84624">
      <w:pPr>
        <w:spacing w:after="160"/>
        <w:rPr>
          <w:rFonts w:ascii="PT Sans" w:eastAsia="Calibri" w:hAnsi="PT Sans" w:cs="Calibri"/>
          <w:color w:val="002060"/>
          <w:kern w:val="2"/>
          <w:sz w:val="24"/>
          <w:szCs w:val="24"/>
          <w:lang w:val="en-US"/>
        </w:rPr>
      </w:pPr>
      <w:permStart w:id="1426525783" w:edGrp="everyone"/>
      <w:r w:rsidRPr="00A84624">
        <w:rPr>
          <w:rFonts w:ascii="PT Sans" w:eastAsia="Calibri" w:hAnsi="PT Sans" w:cs="Calibri"/>
          <w:color w:val="002060"/>
          <w:kern w:val="2"/>
          <w:sz w:val="24"/>
          <w:szCs w:val="24"/>
          <w:lang w:val="en-US"/>
        </w:rPr>
        <w:t>The proposed solution is pragmatic and conservative. The use of publicly available data (e.g., public reports of companies) is a good approach, and another solution - such as mandatory acquisition of data from companies, especially smaller entities - could raise significant difficulties in market practice.</w:t>
      </w:r>
    </w:p>
    <w:permEnd w:id="1426525783"/>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rsidP="009C41BB">
      <w:pPr>
        <w:pStyle w:val="Questionstyle"/>
        <w:numPr>
          <w:ilvl w:val="0"/>
          <w:numId w:val="42"/>
        </w:numPr>
      </w:pPr>
      <w:r>
        <w:t>: Do you agree with the proposed treatment of derivatives in the PAI indicators or would you suggest any other method?</w:t>
      </w:r>
    </w:p>
    <w:p w14:paraId="215D6F18" w14:textId="77777777" w:rsidR="009C41BB" w:rsidRDefault="009C41BB" w:rsidP="009C41BB">
      <w:r>
        <w:t>&lt;ESMA_QUESTION_SFDR_14&gt;</w:t>
      </w:r>
    </w:p>
    <w:p w14:paraId="453EA2F4" w14:textId="77777777" w:rsidR="00A84624" w:rsidRDefault="00A84624" w:rsidP="00A84624">
      <w:pPr>
        <w:spacing w:after="160"/>
        <w:rPr>
          <w:rFonts w:ascii="PT Sans" w:eastAsia="Calibri" w:hAnsi="PT Sans" w:cs="Calibri"/>
          <w:color w:val="002060"/>
          <w:kern w:val="2"/>
          <w:sz w:val="24"/>
          <w:szCs w:val="24"/>
          <w:lang w:val="en-US"/>
        </w:rPr>
      </w:pPr>
      <w:permStart w:id="1609050593" w:edGrp="everyone"/>
      <w:r w:rsidRPr="00A84624">
        <w:rPr>
          <w:rFonts w:ascii="PT Sans" w:eastAsia="Calibri" w:hAnsi="PT Sans" w:cs="Calibri"/>
          <w:color w:val="002060"/>
          <w:kern w:val="2"/>
          <w:sz w:val="24"/>
          <w:szCs w:val="24"/>
          <w:lang w:val="en-US"/>
        </w:rPr>
        <w:t>We agree with the proposed approach that excluding derivatives is possible if they do not lead to a physical investment in the underlying instrument. The netting of  instruments at the single counterparty level (limited to positive values) is consistent with accepted market practice in other reporting processes. It would be useful for the ESAs to provide examples of derivative transactions.</w:t>
      </w:r>
    </w:p>
    <w:permEnd w:id="1609050593"/>
    <w:p w14:paraId="5AA8268C" w14:textId="2D4182AB" w:rsidR="009C41BB" w:rsidRDefault="009C41BB" w:rsidP="00A84624">
      <w:pPr>
        <w:spacing w:after="160"/>
      </w:pPr>
      <w:r>
        <w:t>&lt;ESMA_QUESTION_SFDR_14&gt;</w:t>
      </w:r>
    </w:p>
    <w:p w14:paraId="7FDBC0BE" w14:textId="77777777" w:rsidR="009C41BB" w:rsidRDefault="009C41BB" w:rsidP="009C41BB"/>
    <w:p w14:paraId="2C7E2AD7" w14:textId="77777777" w:rsidR="009C41BB" w:rsidRDefault="009C41BB" w:rsidP="009C41BB">
      <w:pPr>
        <w:pStyle w:val="Questionstyle"/>
        <w:numPr>
          <w:ilvl w:val="0"/>
          <w:numId w:val="42"/>
        </w:numPr>
      </w:pPr>
      <w:r>
        <w:t xml:space="preserve">: What are your views with regard to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14A8C247" w14:textId="12E0FDC8" w:rsidR="009C41BB" w:rsidRPr="00A84624" w:rsidRDefault="00A84624" w:rsidP="00A84624">
      <w:pPr>
        <w:spacing w:after="160"/>
        <w:rPr>
          <w:rFonts w:ascii="PT Sans" w:eastAsia="Calibri" w:hAnsi="PT Sans" w:cs="Calibri"/>
          <w:color w:val="002060"/>
          <w:kern w:val="2"/>
          <w:sz w:val="24"/>
          <w:szCs w:val="24"/>
          <w:lang w:val="en-US"/>
        </w:rPr>
      </w:pPr>
      <w:permStart w:id="8979202" w:edGrp="everyone"/>
      <w:r w:rsidRPr="00A84624">
        <w:rPr>
          <w:rFonts w:ascii="PT Sans" w:eastAsia="Calibri" w:hAnsi="PT Sans" w:cs="Calibri"/>
          <w:color w:val="002060"/>
          <w:kern w:val="2"/>
          <w:sz w:val="24"/>
          <w:szCs w:val="24"/>
          <w:lang w:val="en-US"/>
        </w:rPr>
        <w:t>Currently, derivative exposures are outside the scope of analysis. This situation generates an increased risk of greenwashing. The inclusion of derivatives in analyses linked to the degree of compliance with the Taxonomy of Underlying Instruments is an important element that should be included in regulations. Such analysis is likely, however, to be complex and demanding for financial institutions.</w:t>
      </w:r>
    </w:p>
    <w:permEnd w:id="8979202"/>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9C41BB">
      <w:pPr>
        <w:pStyle w:val="Questionstyle"/>
        <w:numPr>
          <w:ilvl w:val="0"/>
          <w:numId w:val="4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lastRenderedPageBreak/>
        <w:t>&lt;ESMA_QUESTION_SFDR_16&gt;</w:t>
      </w:r>
    </w:p>
    <w:p w14:paraId="2C945B68" w14:textId="77777777" w:rsidR="00A84624" w:rsidRPr="00A84624" w:rsidRDefault="00A84624" w:rsidP="00A84624">
      <w:pPr>
        <w:spacing w:after="160"/>
        <w:rPr>
          <w:rFonts w:ascii="PT Sans" w:eastAsia="Calibri" w:hAnsi="PT Sans" w:cs="Calibri"/>
          <w:color w:val="002060"/>
          <w:kern w:val="2"/>
          <w:sz w:val="24"/>
          <w:szCs w:val="24"/>
          <w:lang w:val="en-US"/>
        </w:rPr>
      </w:pPr>
      <w:permStart w:id="1228814638" w:edGrp="everyone"/>
      <w:r w:rsidRPr="00A84624">
        <w:rPr>
          <w:rFonts w:ascii="PT Sans" w:eastAsia="Calibri" w:hAnsi="PT Sans" w:cs="Calibri"/>
          <w:color w:val="002060"/>
          <w:kern w:val="2"/>
          <w:sz w:val="24"/>
          <w:szCs w:val="24"/>
          <w:lang w:val="en-US"/>
        </w:rPr>
        <w:t>It is not necessary to expand the scope of Article 17 par. 1(g) to asset classes other than equity or sovereign exposures. Expanding the scope would perhaps allow for a more comprehensive assessment of adverse sustainability impacts in different types of investments. It would ensure that a broader range of investments, such as fixed income, derivatives or alternative investments, would be subject to sustainability considerations and disclosure requirements.  However, expanding the range of assets subject to Article 17(1)(G) would increase the compliance burden on market participants, as they would have to collect, analyze and disclose sustainability-related data for a wider range of asset classes. This would result in additional costs and administrative burdens, especially for smaller or less affluent market participants. At the current stage of market development and data collection, analysis and disclosure practices, such an expansion is not justified.</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9C41BB">
      <w:pPr>
        <w:pStyle w:val="Questionstyle"/>
        <w:numPr>
          <w:ilvl w:val="0"/>
          <w:numId w:val="42"/>
        </w:numPr>
      </w:pPr>
      <w:r>
        <w:t>: Do you agree with the ESAs’ assessment of the DNSH framework under SFDR?</w:t>
      </w:r>
    </w:p>
    <w:p w14:paraId="4F8008B2" w14:textId="77777777" w:rsidR="009C41BB" w:rsidRDefault="009C41BB" w:rsidP="009C41BB">
      <w:r>
        <w:t>&lt;ESMA_QUESTION_SFDR_17&gt;</w:t>
      </w:r>
    </w:p>
    <w:p w14:paraId="7DDA6D60" w14:textId="77777777" w:rsidR="009C41BB" w:rsidRDefault="009C41BB" w:rsidP="009C41BB">
      <w:permStart w:id="791154279" w:edGrp="everyone"/>
      <w:r>
        <w:t>TYPE YOUR TEXT HERE</w:t>
      </w:r>
    </w:p>
    <w:permEnd w:id="791154279"/>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rsidP="009C41BB">
      <w:pPr>
        <w:pStyle w:val="Questionstyle"/>
        <w:numPr>
          <w:ilvl w:val="0"/>
          <w:numId w:val="42"/>
        </w:numPr>
      </w:pPr>
      <w:r>
        <w:t>: With regard to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t>&lt;ESMA_QUESTION_SFDR_18&gt;</w:t>
      </w:r>
    </w:p>
    <w:p w14:paraId="6BBD22C7" w14:textId="2548A63A" w:rsidR="009C41BB" w:rsidRPr="00A84624" w:rsidRDefault="00A84624" w:rsidP="00A84624">
      <w:pPr>
        <w:spacing w:after="160"/>
        <w:rPr>
          <w:rFonts w:ascii="PT Sans" w:eastAsia="Calibri" w:hAnsi="PT Sans" w:cs="Calibri"/>
          <w:color w:val="002060"/>
          <w:kern w:val="2"/>
          <w:sz w:val="24"/>
          <w:szCs w:val="24"/>
          <w:lang w:val="en-US"/>
        </w:rPr>
      </w:pPr>
      <w:permStart w:id="984368250" w:edGrp="everyone"/>
      <w:r w:rsidRPr="00A84624">
        <w:rPr>
          <w:rFonts w:ascii="PT Sans" w:eastAsia="Calibri" w:hAnsi="PT Sans" w:cs="Calibri"/>
          <w:color w:val="002060"/>
          <w:kern w:val="2"/>
          <w:sz w:val="24"/>
          <w:szCs w:val="24"/>
          <w:lang w:val="en-US"/>
        </w:rPr>
        <w:t>Currently, investors have limited ability to compare financial products and to assess how the DNSH rule has been addressed by FMPs. Environmental PAI indicators should be required to disclose the thresholds used to develop DNSH tests. Published thresholds would allow a degree of comparability across financial products. Stretching the implementation of quantitative PAI indicators over time period should be considered.</w:t>
      </w:r>
    </w:p>
    <w:permEnd w:id="984368250"/>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9C41BB">
      <w:pPr>
        <w:pStyle w:val="Questionstyle"/>
        <w:numPr>
          <w:ilvl w:val="0"/>
          <w:numId w:val="42"/>
        </w:numPr>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78C93EB3" w14:textId="12E52341" w:rsidR="009C41BB" w:rsidRPr="00A84624" w:rsidRDefault="00A84624" w:rsidP="00A84624">
      <w:pPr>
        <w:spacing w:after="160"/>
        <w:rPr>
          <w:rFonts w:ascii="PT Sans" w:eastAsia="Calibri" w:hAnsi="PT Sans" w:cs="Calibri"/>
          <w:color w:val="002060"/>
          <w:kern w:val="2"/>
          <w:sz w:val="24"/>
          <w:szCs w:val="24"/>
          <w:lang w:val="en-US"/>
        </w:rPr>
      </w:pPr>
      <w:permStart w:id="403253184" w:edGrp="everyone"/>
      <w:r w:rsidRPr="00A84624">
        <w:rPr>
          <w:rFonts w:ascii="PT Sans" w:eastAsia="Calibri" w:hAnsi="PT Sans" w:cs="Calibri"/>
          <w:color w:val="002060"/>
          <w:kern w:val="2"/>
          <w:sz w:val="24"/>
          <w:szCs w:val="24"/>
          <w:lang w:val="en-US"/>
        </w:rPr>
        <w:t>Given the challenges encountered in  accessing data and the lack of a uniform methodology, this approach may make sense. This option further simplifies compliance for a company engaged in taxonomy-compliant activities.</w:t>
      </w:r>
    </w:p>
    <w:permEnd w:id="403253184"/>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rsidP="009C41BB">
      <w:pPr>
        <w:pStyle w:val="Questionstyle"/>
        <w:numPr>
          <w:ilvl w:val="0"/>
          <w:numId w:val="42"/>
        </w:numPr>
      </w:pPr>
      <w:r>
        <w:t>: Do you agree with the longer term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01E16D6A" w14:textId="77777777" w:rsidR="009C41BB" w:rsidRDefault="009C41BB" w:rsidP="009C41BB">
      <w:permStart w:id="10765956" w:edGrp="everyone"/>
      <w:r>
        <w:t>TYPE YOUR TEXT HERE</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9C41BB">
      <w:pPr>
        <w:pStyle w:val="Questionstyle"/>
        <w:numPr>
          <w:ilvl w:val="0"/>
          <w:numId w:val="4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53C2FE28" w14:textId="77777777" w:rsidR="009C41BB" w:rsidRDefault="009C41BB" w:rsidP="009C41BB">
      <w:permStart w:id="1098926409" w:edGrp="everyone"/>
      <w:r>
        <w:t>TYPE YOUR TEXT HERE</w:t>
      </w: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rsidP="009C41BB">
      <w:pPr>
        <w:pStyle w:val="Questionstyle"/>
        <w:numPr>
          <w:ilvl w:val="0"/>
          <w:numId w:val="4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6D5BB63B" w14:textId="13BE2DD2" w:rsidR="009C41BB" w:rsidRPr="00E83811" w:rsidRDefault="00E83811" w:rsidP="00E83811">
      <w:pPr>
        <w:spacing w:after="160"/>
        <w:rPr>
          <w:rFonts w:ascii="PT Sans" w:eastAsia="Calibri" w:hAnsi="PT Sans" w:cs="Calibri"/>
          <w:color w:val="002060"/>
          <w:kern w:val="2"/>
          <w:sz w:val="24"/>
          <w:szCs w:val="24"/>
          <w:lang w:val="en-US"/>
        </w:rPr>
      </w:pPr>
      <w:permStart w:id="2084635173" w:edGrp="everyone"/>
      <w:r w:rsidRPr="00E83811">
        <w:rPr>
          <w:rFonts w:ascii="PT Sans" w:eastAsia="Calibri" w:hAnsi="PT Sans" w:cs="Calibri"/>
          <w:color w:val="002060"/>
          <w:kern w:val="2"/>
          <w:sz w:val="24"/>
          <w:szCs w:val="24"/>
          <w:lang w:val="en-US"/>
        </w:rPr>
        <w:t xml:space="preserve">Generally,  we agree with this opinion, but the current scope of reporting is significant, and it will be possible to assess possible challenges with implementation as obligated entities gain experience in this area. Sustainability disclosure requirements for the </w:t>
      </w:r>
      <w:r w:rsidRPr="00E83811">
        <w:rPr>
          <w:rFonts w:ascii="PT Sans" w:eastAsia="Calibri" w:hAnsi="PT Sans" w:cs="Calibri"/>
          <w:color w:val="002060"/>
          <w:kern w:val="2"/>
          <w:sz w:val="24"/>
          <w:szCs w:val="24"/>
          <w:lang w:val="en-US"/>
        </w:rPr>
        <w:lastRenderedPageBreak/>
        <w:t>financial market and non-financial entities are needed and advisable, but the obligations should be implemented gradually and less haphazardly, allowing obligated entities to gradually prepare and implement processes for collecting the necessary data.</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9C41BB">
      <w:pPr>
        <w:pStyle w:val="Questionstyle"/>
        <w:numPr>
          <w:ilvl w:val="0"/>
          <w:numId w:val="4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04342CA" w14:textId="77777777" w:rsidR="00E83811" w:rsidRPr="00E83811" w:rsidRDefault="00E83811" w:rsidP="00E83811">
      <w:pPr>
        <w:spacing w:after="160"/>
        <w:rPr>
          <w:rFonts w:ascii="PT Sans" w:eastAsia="Calibri" w:hAnsi="PT Sans" w:cs="Calibri"/>
          <w:color w:val="002060"/>
          <w:kern w:val="2"/>
          <w:sz w:val="24"/>
          <w:szCs w:val="24"/>
          <w:lang w:val="en-US"/>
        </w:rPr>
      </w:pPr>
      <w:permStart w:id="762907966" w:edGrp="everyone"/>
      <w:r w:rsidRPr="00E83811">
        <w:rPr>
          <w:rFonts w:ascii="PT Sans" w:eastAsia="Calibri" w:hAnsi="PT Sans" w:cs="Calibri"/>
          <w:color w:val="002060"/>
          <w:kern w:val="2"/>
          <w:sz w:val="24"/>
          <w:szCs w:val="24"/>
          <w:lang w:val="en-US"/>
        </w:rPr>
        <w:t>The proposed approach of hyperlinking to benchmark disclosures for products that have GHG emission reductions as an investment objective under Article 9(3) of the SFDR is appropriate. Such an action can allow easy access to more detailed and comprehensive information, ensure the brevity and focus of its own disclosure documents, and allow access to the most up-to-date benchmark test disclosures</w:t>
      </w:r>
    </w:p>
    <w:p w14:paraId="6E5D944F" w14:textId="34C7CBAB" w:rsidR="009C41BB" w:rsidRPr="00E83811" w:rsidRDefault="00E83811" w:rsidP="00E83811">
      <w:pPr>
        <w:spacing w:after="160"/>
        <w:rPr>
          <w:rFonts w:ascii="PT Sans" w:eastAsia="Calibri" w:hAnsi="PT Sans" w:cs="Calibri"/>
          <w:color w:val="002060"/>
          <w:kern w:val="2"/>
          <w:sz w:val="24"/>
          <w:szCs w:val="24"/>
          <w:lang w:val="en-US"/>
        </w:rPr>
      </w:pPr>
      <w:r w:rsidRPr="00E83811">
        <w:rPr>
          <w:rFonts w:ascii="PT Sans" w:eastAsia="Calibri" w:hAnsi="PT Sans" w:cs="Calibri"/>
          <w:color w:val="002060"/>
          <w:kern w:val="2"/>
          <w:sz w:val="24"/>
          <w:szCs w:val="24"/>
          <w:lang w:val="en-US"/>
        </w:rPr>
        <w:t>Since the right balance between providing concise information and offering comprehensive disclosures is crucial, the use of a hyperlink can help achieve such a balance.</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rsidP="009C41BB">
      <w:pPr>
        <w:pStyle w:val="Questionstyle"/>
        <w:numPr>
          <w:ilvl w:val="0"/>
          <w:numId w:val="4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2C9CFD87" w14:textId="588BCA97" w:rsidR="009C41BB" w:rsidRDefault="00E83811" w:rsidP="009C41BB">
      <w:permStart w:id="1536640680" w:edGrp="everyone"/>
      <w:r w:rsidRPr="00E83811">
        <w:rPr>
          <w:rFonts w:ascii="PT Sans" w:eastAsia="Calibri" w:hAnsi="PT Sans" w:cs="Calibri"/>
          <w:color w:val="002060"/>
          <w:kern w:val="2"/>
          <w:sz w:val="24"/>
          <w:szCs w:val="24"/>
          <w:lang w:val="en-US"/>
        </w:rPr>
        <w:t>The distinction is as absolutely reasonable and allows for insightful monitoring of the levels of achieved reductions in financed emissions. It can be useful to investors and actionable by financial market participants</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9C41BB">
      <w:pPr>
        <w:pStyle w:val="Questionstyle"/>
        <w:numPr>
          <w:ilvl w:val="0"/>
          <w:numId w:val="4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17831788" w14:textId="3AC4DAEF" w:rsidR="009C41BB" w:rsidRPr="00E83811" w:rsidRDefault="00E83811" w:rsidP="00E83811">
      <w:pPr>
        <w:spacing w:after="160"/>
        <w:rPr>
          <w:rFonts w:ascii="PT Sans" w:eastAsia="Calibri" w:hAnsi="PT Sans" w:cs="Calibri"/>
          <w:color w:val="002060"/>
          <w:kern w:val="2"/>
          <w:sz w:val="24"/>
          <w:szCs w:val="24"/>
          <w:lang w:val="en-US"/>
        </w:rPr>
      </w:pPr>
      <w:permStart w:id="1824523423" w:edGrp="everyone"/>
      <w:r w:rsidRPr="00E83811">
        <w:rPr>
          <w:rFonts w:ascii="PT Sans" w:eastAsia="Calibri" w:hAnsi="PT Sans" w:cs="Calibri"/>
          <w:color w:val="002060"/>
          <w:kern w:val="2"/>
          <w:sz w:val="24"/>
          <w:szCs w:val="24"/>
          <w:lang w:val="en-US"/>
        </w:rPr>
        <w:t>Overall, this would be very useful. The ability to assess the degree of alignment of the product target with the Paris Agreement is limited and subject to a high level of estimation. The problem is data and different and changing methodologies. In addition, reducing product assessment to a single indicator can be misleading.</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9C41BB">
      <w:pPr>
        <w:pStyle w:val="Questionstyle"/>
        <w:numPr>
          <w:ilvl w:val="0"/>
          <w:numId w:val="4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8793778" w14:textId="44A186C5" w:rsidR="009C41BB" w:rsidRPr="00E83811" w:rsidRDefault="00E83811" w:rsidP="00E83811">
      <w:pPr>
        <w:spacing w:after="160"/>
        <w:rPr>
          <w:rFonts w:ascii="PT Sans" w:eastAsia="Calibri" w:hAnsi="PT Sans" w:cs="Calibri"/>
          <w:color w:val="002060"/>
          <w:kern w:val="2"/>
          <w:sz w:val="24"/>
          <w:szCs w:val="24"/>
          <w:lang w:val="en-US"/>
        </w:rPr>
      </w:pPr>
      <w:permStart w:id="1572164812" w:edGrp="everyone"/>
      <w:r w:rsidRPr="00E83811">
        <w:rPr>
          <w:rFonts w:ascii="PT Sans" w:eastAsia="Calibri" w:hAnsi="PT Sans" w:cs="Calibri"/>
          <w:color w:val="002060"/>
          <w:kern w:val="2"/>
          <w:sz w:val="24"/>
          <w:szCs w:val="24"/>
          <w:lang w:val="en-US"/>
        </w:rPr>
        <w:t>We agree with this approach. The requirement  that the target be calculated on the basis of all investments of a financial product allows for full consideration of the impact of all assets on sustainability and emission reduction goals. It also contributes to greater reliability and consistency in financial reporting.</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9C41BB">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t>&lt;ESMA_QUESTION_SFDR_27&gt;</w:t>
      </w:r>
    </w:p>
    <w:p w14:paraId="141B039C" w14:textId="77777777" w:rsidR="00E83811" w:rsidRPr="00E83811" w:rsidRDefault="00E83811" w:rsidP="00E83811">
      <w:pPr>
        <w:spacing w:after="160"/>
        <w:rPr>
          <w:rFonts w:ascii="PT Sans" w:eastAsia="Calibri" w:hAnsi="PT Sans" w:cs="Calibri"/>
          <w:color w:val="002060"/>
          <w:kern w:val="2"/>
          <w:sz w:val="24"/>
          <w:szCs w:val="24"/>
          <w:lang w:val="en-US"/>
        </w:rPr>
      </w:pPr>
      <w:permStart w:id="324808106" w:edGrp="everyone"/>
      <w:r w:rsidRPr="00E83811">
        <w:rPr>
          <w:rFonts w:ascii="PT Sans" w:eastAsia="Calibri" w:hAnsi="PT Sans" w:cs="Calibri"/>
          <w:color w:val="002060"/>
          <w:kern w:val="2"/>
          <w:sz w:val="24"/>
          <w:szCs w:val="24"/>
          <w:lang w:val="en-US"/>
        </w:rPr>
        <w:lastRenderedPageBreak/>
        <w:t>From the perspective of the market, comparability of approaches is very important. Therefore, it seems right to identify one common approach, convergent for all market participants. The PCAF methodology is an increasingly widely used approach, constantly evolving, internally consistent, with reasonable assumptions.</w:t>
      </w:r>
    </w:p>
    <w:p w14:paraId="6B662BE5" w14:textId="77777777" w:rsidR="00E83811" w:rsidRPr="00E83811" w:rsidRDefault="00E83811" w:rsidP="00E83811">
      <w:pPr>
        <w:spacing w:after="160"/>
        <w:rPr>
          <w:rFonts w:ascii="PT Sans" w:eastAsia="Calibri" w:hAnsi="PT Sans" w:cs="Calibri"/>
          <w:color w:val="002060"/>
          <w:kern w:val="2"/>
          <w:sz w:val="24"/>
          <w:szCs w:val="24"/>
          <w:lang w:val="en-US"/>
        </w:rPr>
      </w:pPr>
      <w:r w:rsidRPr="00E83811">
        <w:rPr>
          <w:rFonts w:ascii="PT Sans" w:eastAsia="Calibri" w:hAnsi="PT Sans" w:cs="Calibri"/>
          <w:color w:val="002060"/>
          <w:kern w:val="2"/>
          <w:sz w:val="24"/>
          <w:szCs w:val="24"/>
          <w:lang w:val="en-US"/>
        </w:rPr>
        <w:t>Requiring FMPs to use the PCAF standard when measuring emissions and setting GHG reduction targets will reduce the burden of evaluating, comparing and aggregating investment product claims. Increased transparency and comparability will contribute to a level playing field and the proliferation of these investment products in the market.</w:t>
      </w:r>
    </w:p>
    <w:permEnd w:id="324808106"/>
    <w:p w14:paraId="0E6910F8" w14:textId="77777777" w:rsidR="009C41BB" w:rsidRDefault="009C41BB" w:rsidP="009C41BB">
      <w:r>
        <w:t>&lt;ESMA_QUESTION_SFDR_27&gt;</w:t>
      </w:r>
    </w:p>
    <w:p w14:paraId="6FBCA7B9" w14:textId="77777777" w:rsidR="009C41BB" w:rsidRDefault="009C41BB" w:rsidP="009C41BB"/>
    <w:p w14:paraId="337B55CD" w14:textId="77777777" w:rsidR="009C41BB" w:rsidRDefault="009C41BB" w:rsidP="009C41BB">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5065BB69" w14:textId="77777777" w:rsidR="00E83811" w:rsidRPr="00E83811" w:rsidRDefault="00E83811" w:rsidP="00E83811">
      <w:pPr>
        <w:spacing w:after="160"/>
        <w:rPr>
          <w:rFonts w:ascii="PT Sans" w:eastAsia="Calibri" w:hAnsi="PT Sans" w:cs="Calibri"/>
          <w:color w:val="002060"/>
          <w:kern w:val="2"/>
          <w:sz w:val="24"/>
          <w:szCs w:val="24"/>
          <w:lang w:val="en-US"/>
        </w:rPr>
      </w:pPr>
      <w:permStart w:id="1690654287" w:edGrp="everyone"/>
      <w:r w:rsidRPr="00E83811">
        <w:rPr>
          <w:rFonts w:ascii="PT Sans" w:eastAsia="Calibri" w:hAnsi="PT Sans" w:cs="Calibri"/>
          <w:color w:val="002060"/>
          <w:kern w:val="2"/>
          <w:sz w:val="24"/>
          <w:szCs w:val="24"/>
          <w:lang w:val="en-US"/>
        </w:rPr>
        <w:t>Disclosure of GHG reduction targets at the product level should reflect gross GHG emissions from investments, while emission allowances should be accounted for separately and should not be treated as a means to achieve GHG reduction targets.</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9C41BB">
      <w:pPr>
        <w:pStyle w:val="Questionstyle"/>
        <w:numPr>
          <w:ilvl w:val="0"/>
          <w:numId w:val="42"/>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620028E1" w14:textId="77777777" w:rsidR="00E83811" w:rsidRPr="00E83811" w:rsidRDefault="00E83811" w:rsidP="00E83811">
      <w:pPr>
        <w:spacing w:after="160"/>
        <w:rPr>
          <w:rFonts w:ascii="PT Sans" w:eastAsia="Calibri" w:hAnsi="PT Sans" w:cs="Calibri"/>
          <w:color w:val="002060"/>
          <w:kern w:val="2"/>
          <w:sz w:val="24"/>
          <w:szCs w:val="24"/>
          <w:lang w:val="en-US"/>
        </w:rPr>
      </w:pPr>
      <w:permStart w:id="811147857" w:edGrp="everyone"/>
      <w:r w:rsidRPr="00E83811">
        <w:rPr>
          <w:rFonts w:ascii="PT Sans" w:eastAsia="Calibri" w:hAnsi="PT Sans" w:cs="Calibri"/>
          <w:color w:val="002060"/>
          <w:kern w:val="2"/>
          <w:sz w:val="24"/>
          <w:szCs w:val="24"/>
          <w:lang w:val="en-US"/>
        </w:rPr>
        <w:t>Targets should be set only at the product level - based on the product's investment policy and disclosures to investors. There should be no targets at the entity level for the financial market participant. From the customer's perspective, the amount of disclosures is already large and such additional information is unlikely to matter to the customer. After all, the customer invests in one particular product, not in the FMP as a company.</w:t>
      </w:r>
    </w:p>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9C41BB">
      <w:pPr>
        <w:pStyle w:val="Questionstyle"/>
        <w:numPr>
          <w:ilvl w:val="0"/>
          <w:numId w:val="42"/>
        </w:numPr>
      </w:pPr>
      <w:r>
        <w:lastRenderedPageBreak/>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0032ED2A" w14:textId="77777777" w:rsidR="009C41BB" w:rsidRDefault="009C41BB" w:rsidP="009C41BB">
      <w:permStart w:id="1542225393" w:edGrp="everyone"/>
      <w:r>
        <w:t>TYPE YOUR TEXT HERE</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9C41BB">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4A991AED" w14:textId="77777777" w:rsidR="009C41BB" w:rsidRDefault="009C41BB" w:rsidP="009C41BB">
      <w:permStart w:id="782583199" w:edGrp="everyone"/>
      <w:r>
        <w:t>TYPE YOUR TEXT HERE</w:t>
      </w: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9C41BB">
      <w:pPr>
        <w:pStyle w:val="Questionstyle"/>
        <w:numPr>
          <w:ilvl w:val="0"/>
          <w:numId w:val="42"/>
        </w:numPr>
      </w:pPr>
      <w:r>
        <w:t>: Do you have any suggestion on how to further simplify or enhance the legibility of the current templates?</w:t>
      </w:r>
    </w:p>
    <w:p w14:paraId="484B5EB7" w14:textId="77777777" w:rsidR="009C41BB" w:rsidRDefault="009C41BB" w:rsidP="009C41BB">
      <w:r>
        <w:t>&lt;ESMA_QUESTION_SFDR_32&gt;</w:t>
      </w:r>
    </w:p>
    <w:p w14:paraId="0E7D78E9" w14:textId="77777777" w:rsidR="009C41BB" w:rsidRDefault="009C41BB" w:rsidP="009C41BB">
      <w:permStart w:id="1403335001" w:edGrp="everyone"/>
      <w:r>
        <w:t>TYPE YOUR TEXT HERE</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C41BB">
      <w:pPr>
        <w:pStyle w:val="Questionstyle"/>
        <w:numPr>
          <w:ilvl w:val="0"/>
          <w:numId w:val="4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4623C717" w14:textId="77777777" w:rsidR="009C41BB" w:rsidRDefault="009C41BB" w:rsidP="009C41BB">
      <w:permStart w:id="1422073065" w:edGrp="everyone"/>
      <w:r>
        <w:t>TYPE YOUR TEXT HERE</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C41BB">
      <w:pPr>
        <w:pStyle w:val="Questionstyle"/>
        <w:numPr>
          <w:ilvl w:val="0"/>
          <w:numId w:val="4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4F58A46C" w14:textId="77777777" w:rsidR="009C41BB" w:rsidRDefault="009C41BB" w:rsidP="009C41BB">
      <w:permStart w:id="335090742" w:edGrp="everyone"/>
      <w:r>
        <w:t>TYPE YOUR TEXT HERE</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9C41BB">
      <w:pPr>
        <w:pStyle w:val="Questionstyle"/>
        <w:numPr>
          <w:ilvl w:val="0"/>
          <w:numId w:val="42"/>
        </w:numPr>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77777777" w:rsidR="009C41BB" w:rsidRDefault="009C41BB" w:rsidP="009C41BB">
      <w:permStart w:id="1624927821" w:edGrp="everyone"/>
      <w:r>
        <w:t>TYPE YOUR TEXT HERE</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9C41BB">
      <w:pPr>
        <w:pStyle w:val="Questionstyle"/>
        <w:numPr>
          <w:ilvl w:val="0"/>
          <w:numId w:val="42"/>
        </w:numPr>
      </w:pPr>
      <w:r>
        <w:t>: Do you have any feedback with regard to the potential criteria for estimates?</w:t>
      </w:r>
    </w:p>
    <w:p w14:paraId="5BB9BA92" w14:textId="77777777" w:rsidR="009C41BB" w:rsidRDefault="009C41BB" w:rsidP="009C41BB">
      <w:r>
        <w:t>&lt;ESMA_QUESTION_SFDR_36&gt;</w:t>
      </w:r>
    </w:p>
    <w:p w14:paraId="7EDB1F81" w14:textId="77777777" w:rsidR="00E83811" w:rsidRPr="00E83811" w:rsidRDefault="00E83811" w:rsidP="00E83811">
      <w:pPr>
        <w:spacing w:after="160"/>
        <w:rPr>
          <w:rFonts w:ascii="PT Sans" w:eastAsia="Calibri" w:hAnsi="PT Sans" w:cs="Calibri"/>
          <w:color w:val="002060"/>
          <w:kern w:val="2"/>
          <w:sz w:val="24"/>
          <w:szCs w:val="24"/>
          <w:lang w:val="en-US"/>
        </w:rPr>
      </w:pPr>
      <w:permStart w:id="1338527016" w:edGrp="everyone"/>
      <w:r w:rsidRPr="00E83811">
        <w:rPr>
          <w:rFonts w:ascii="PT Sans" w:eastAsia="Calibri" w:hAnsi="PT Sans" w:cs="Calibri"/>
          <w:color w:val="002060"/>
          <w:kern w:val="2"/>
          <w:sz w:val="24"/>
          <w:szCs w:val="24"/>
          <w:lang w:val="en-US"/>
        </w:rPr>
        <w:t>The criteria seem reasonable. However, assuming that the estimates will be based, at least for an extended period of time, on information that is not publicly available and thus non-standardized, without proper practice in this area a comprehensive assessment of their usefulness is not possible. The use of information from reputable suppliers should be permitted. It will not always be possible to clearly verify on one's own whether the source of the information is a given entity. The disclosure should clearly state the proportion of investments where the FMP is based on estimates rather than taxonomic disclosures published by the investee company itself.</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9C41BB">
      <w:pPr>
        <w:pStyle w:val="Questionstyle"/>
        <w:numPr>
          <w:ilvl w:val="0"/>
          <w:numId w:val="4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3602AE0C" w14:textId="77777777" w:rsidR="00E83811" w:rsidRPr="00E83811" w:rsidRDefault="00E83811" w:rsidP="00E83811">
      <w:pPr>
        <w:spacing w:after="160"/>
        <w:rPr>
          <w:rFonts w:ascii="PT Sans" w:eastAsia="Calibri" w:hAnsi="PT Sans" w:cs="Calibri"/>
          <w:color w:val="002060"/>
          <w:kern w:val="2"/>
          <w:sz w:val="24"/>
          <w:szCs w:val="24"/>
          <w:lang w:val="en-US"/>
        </w:rPr>
      </w:pPr>
      <w:permStart w:id="1477927507" w:edGrp="everyone"/>
      <w:r w:rsidRPr="00E83811">
        <w:rPr>
          <w:rFonts w:ascii="PT Sans" w:eastAsia="Calibri" w:hAnsi="PT Sans" w:cs="Calibri"/>
          <w:color w:val="002060"/>
          <w:kern w:val="2"/>
          <w:sz w:val="24"/>
          <w:szCs w:val="24"/>
          <w:lang w:val="en-US"/>
        </w:rPr>
        <w:lastRenderedPageBreak/>
        <w:t xml:space="preserve">A precise indication of which environmental measures are considered key would be needed and useful. Any initiative that increases transparency and clarifies the issues described in the regulation is worth undertaking. </w:t>
      </w:r>
    </w:p>
    <w:p w14:paraId="1FDBC8DF" w14:textId="77777777" w:rsidR="00E83811" w:rsidRPr="00E83811" w:rsidRDefault="00E83811" w:rsidP="00E83811">
      <w:pPr>
        <w:spacing w:after="160"/>
        <w:rPr>
          <w:rFonts w:ascii="PT Sans" w:eastAsia="Calibri" w:hAnsi="PT Sans" w:cs="Calibri"/>
          <w:color w:val="002060"/>
          <w:kern w:val="2"/>
          <w:sz w:val="24"/>
          <w:szCs w:val="24"/>
          <w:lang w:val="en-US"/>
        </w:rPr>
      </w:pPr>
      <w:r w:rsidRPr="00E83811">
        <w:rPr>
          <w:rFonts w:ascii="PT Sans" w:eastAsia="Calibri" w:hAnsi="PT Sans" w:cs="Calibri"/>
          <w:color w:val="002060"/>
          <w:kern w:val="2"/>
          <w:sz w:val="24"/>
          <w:szCs w:val="24"/>
          <w:lang w:val="en-US"/>
        </w:rPr>
        <w:t>There is a need for a more specific definition of "key environmental indicators" to prevent greenwashing. These indicators should be scientifically based, cover a wide range of relevant aspects, and be measured using reliable standards and methodologies.</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9C41BB">
      <w:pPr>
        <w:pStyle w:val="Questionstyle"/>
        <w:numPr>
          <w:ilvl w:val="0"/>
          <w:numId w:val="4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068B78BA" w14:textId="77777777" w:rsidR="009C41BB" w:rsidRDefault="009C41BB" w:rsidP="009C41BB">
      <w:permStart w:id="1880105875" w:edGrp="everyone"/>
      <w:r>
        <w:t>TYPE YOUR TEXT HERE</w:t>
      </w: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9C41BB">
      <w:pPr>
        <w:pStyle w:val="Questionstyle"/>
        <w:numPr>
          <w:ilvl w:val="0"/>
          <w:numId w:val="4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4DC13BC6" w14:textId="77777777" w:rsidR="009C41BB" w:rsidRDefault="009C41BB" w:rsidP="009C41BB">
      <w:permStart w:id="2135520093" w:edGrp="everyone"/>
      <w:r>
        <w:t>TYPE YOUR TEXT HERE</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C41BB">
      <w:pPr>
        <w:pStyle w:val="Questionstyle"/>
        <w:numPr>
          <w:ilvl w:val="0"/>
          <w:numId w:val="42"/>
        </w:numPr>
      </w:pPr>
      <w:r>
        <w:t>: Do you agree with the proposed website disclosures for financial products with investment options?</w:t>
      </w:r>
    </w:p>
    <w:p w14:paraId="66B2AEB5" w14:textId="77777777" w:rsidR="009C41BB" w:rsidRDefault="009C41BB" w:rsidP="009C41BB">
      <w:r>
        <w:t>&lt;ESMA_QUESTION_SFDR_40&gt;</w:t>
      </w:r>
    </w:p>
    <w:p w14:paraId="6FE55295" w14:textId="77777777" w:rsidR="009C41BB" w:rsidRDefault="009C41BB" w:rsidP="009C41BB">
      <w:permStart w:id="388397641" w:edGrp="everyone"/>
      <w:r>
        <w:t>TYPE YOUR TEXT HERE</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9C41BB">
      <w:pPr>
        <w:pStyle w:val="Questionstyle"/>
        <w:numPr>
          <w:ilvl w:val="0"/>
          <w:numId w:val="42"/>
        </w:numPr>
      </w:pPr>
      <w:r>
        <w:t xml:space="preserve">: What are your views on the proposal to require that any investment option with sustainability-related features that qualifies the financial product </w:t>
      </w:r>
      <w:r>
        <w:lastRenderedPageBreak/>
        <w:t>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77777777" w:rsidR="009C41BB" w:rsidRDefault="009C41BB" w:rsidP="009C41BB">
      <w:permStart w:id="1516521151" w:edGrp="everyone"/>
      <w:r>
        <w:t>TYPE YOUR TEXT HERE</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9C41BB">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77777777" w:rsidR="009C41BB" w:rsidRDefault="009C41BB" w:rsidP="009C41BB">
      <w:permStart w:id="2063756698" w:edGrp="everyone"/>
      <w:r>
        <w:t>TYPE YOUR TEXT HERE</w:t>
      </w:r>
    </w:p>
    <w:permEnd w:id="2063756698"/>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rsidP="009C41BB">
      <w:pPr>
        <w:pStyle w:val="Questionstyle"/>
        <w:numPr>
          <w:ilvl w:val="0"/>
          <w:numId w:val="42"/>
        </w:numPr>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2E7C709A" w14:textId="77777777" w:rsidR="009C41BB" w:rsidRDefault="009C41BB" w:rsidP="009C41BB">
      <w:permStart w:id="1679513234" w:edGrp="everyone"/>
      <w:r>
        <w:t>TYPE YOUR TEXT HERE</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6"/>
      <w:headerReference w:type="default" r:id="rId17"/>
      <w:footerReference w:type="even" r:id="rId18"/>
      <w:footerReference w:type="default" r:id="rId19"/>
      <w:headerReference w:type="first" r:id="rId20"/>
      <w:footerReference w:type="first" r:id="rId21"/>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C9DFE" w14:textId="77777777" w:rsidR="007D594F" w:rsidRDefault="007D594F" w:rsidP="00707738">
      <w:pPr>
        <w:spacing w:after="0" w:line="240" w:lineRule="auto"/>
      </w:pPr>
      <w:r>
        <w:separator/>
      </w:r>
    </w:p>
  </w:endnote>
  <w:endnote w:type="continuationSeparator" w:id="0">
    <w:p w14:paraId="36559173" w14:textId="77777777" w:rsidR="007D594F" w:rsidRDefault="007D594F"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5D2" w14:textId="77777777" w:rsidR="00FC51D6" w:rsidRDefault="00FC51D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Stopka"/>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A09" w14:textId="77777777" w:rsidR="00FC51D6" w:rsidRDefault="00FC51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64CDE" w14:textId="77777777" w:rsidR="007D594F" w:rsidRDefault="007D594F" w:rsidP="00707738">
      <w:pPr>
        <w:spacing w:after="0" w:line="240" w:lineRule="auto"/>
      </w:pPr>
      <w:r>
        <w:separator/>
      </w:r>
    </w:p>
  </w:footnote>
  <w:footnote w:type="continuationSeparator" w:id="0">
    <w:p w14:paraId="6901D276" w14:textId="77777777" w:rsidR="007D594F" w:rsidRDefault="007D594F" w:rsidP="00707738">
      <w:pPr>
        <w:spacing w:after="0" w:line="240" w:lineRule="auto"/>
      </w:pPr>
      <w:r>
        <w:continuationSeparator/>
      </w:r>
    </w:p>
  </w:footnote>
  <w:footnote w:id="1">
    <w:p w14:paraId="5BF82E71" w14:textId="77777777" w:rsidR="009C41BB" w:rsidRDefault="009C41BB" w:rsidP="009C41BB">
      <w:pPr>
        <w:pStyle w:val="Tekstprzypisudolnego"/>
      </w:pPr>
      <w:r>
        <w:rPr>
          <w:rStyle w:val="Odwoanieprzypisudolnego"/>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0E9" w14:textId="77777777" w:rsidR="00FC51D6" w:rsidRDefault="00FC51D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Nagwek"/>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3AE" w14:textId="77777777" w:rsidR="00FC51D6" w:rsidRDefault="00FC51D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2"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8522741">
    <w:abstractNumId w:val="22"/>
  </w:num>
  <w:num w:numId="2" w16cid:durableId="1173495345">
    <w:abstractNumId w:val="1"/>
  </w:num>
  <w:num w:numId="3" w16cid:durableId="166870467">
    <w:abstractNumId w:val="7"/>
  </w:num>
  <w:num w:numId="4" w16cid:durableId="1691951035">
    <w:abstractNumId w:val="23"/>
  </w:num>
  <w:num w:numId="5" w16cid:durableId="1011906559">
    <w:abstractNumId w:val="29"/>
  </w:num>
  <w:num w:numId="6" w16cid:durableId="1277104421">
    <w:abstractNumId w:val="31"/>
  </w:num>
  <w:num w:numId="7" w16cid:durableId="242104871">
    <w:abstractNumId w:val="20"/>
  </w:num>
  <w:num w:numId="8" w16cid:durableId="522284696">
    <w:abstractNumId w:val="12"/>
  </w:num>
  <w:num w:numId="9" w16cid:durableId="1250770362">
    <w:abstractNumId w:val="8"/>
  </w:num>
  <w:num w:numId="10" w16cid:durableId="1358701701">
    <w:abstractNumId w:val="35"/>
  </w:num>
  <w:num w:numId="11" w16cid:durableId="1625037795">
    <w:abstractNumId w:val="21"/>
  </w:num>
  <w:num w:numId="12" w16cid:durableId="61487579">
    <w:abstractNumId w:val="40"/>
  </w:num>
  <w:num w:numId="13" w16cid:durableId="856233915">
    <w:abstractNumId w:val="16"/>
  </w:num>
  <w:num w:numId="14" w16cid:durableId="1381858278">
    <w:abstractNumId w:val="33"/>
  </w:num>
  <w:num w:numId="15" w16cid:durableId="402408764">
    <w:abstractNumId w:val="3"/>
  </w:num>
  <w:num w:numId="16" w16cid:durableId="1085760005">
    <w:abstractNumId w:val="28"/>
  </w:num>
  <w:num w:numId="17" w16cid:durableId="633215943">
    <w:abstractNumId w:val="5"/>
  </w:num>
  <w:num w:numId="18" w16cid:durableId="2020691353">
    <w:abstractNumId w:val="25"/>
  </w:num>
  <w:num w:numId="19" w16cid:durableId="1500385072">
    <w:abstractNumId w:val="10"/>
  </w:num>
  <w:num w:numId="20" w16cid:durableId="1520046844">
    <w:abstractNumId w:val="38"/>
  </w:num>
  <w:num w:numId="21" w16cid:durableId="748115910">
    <w:abstractNumId w:val="4"/>
  </w:num>
  <w:num w:numId="22" w16cid:durableId="717703608">
    <w:abstractNumId w:val="34"/>
  </w:num>
  <w:num w:numId="23" w16cid:durableId="600113171">
    <w:abstractNumId w:val="14"/>
  </w:num>
  <w:num w:numId="24" w16cid:durableId="241523878">
    <w:abstractNumId w:val="36"/>
  </w:num>
  <w:num w:numId="25" w16cid:durableId="80297080">
    <w:abstractNumId w:val="9"/>
  </w:num>
  <w:num w:numId="26" w16cid:durableId="576936923">
    <w:abstractNumId w:val="37"/>
  </w:num>
  <w:num w:numId="27" w16cid:durableId="379136238">
    <w:abstractNumId w:val="19"/>
  </w:num>
  <w:num w:numId="28" w16cid:durableId="1234242114">
    <w:abstractNumId w:val="17"/>
  </w:num>
  <w:num w:numId="29" w16cid:durableId="6490979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5"/>
  </w:num>
  <w:num w:numId="31" w16cid:durableId="2036344500">
    <w:abstractNumId w:val="18"/>
  </w:num>
  <w:num w:numId="32" w16cid:durableId="891308780">
    <w:abstractNumId w:val="27"/>
  </w:num>
  <w:num w:numId="33" w16cid:durableId="2059163146">
    <w:abstractNumId w:val="2"/>
  </w:num>
  <w:num w:numId="34" w16cid:durableId="767845549">
    <w:abstractNumId w:val="11"/>
  </w:num>
  <w:num w:numId="35" w16cid:durableId="1295915667">
    <w:abstractNumId w:val="0"/>
  </w:num>
  <w:num w:numId="36" w16cid:durableId="597906997">
    <w:abstractNumId w:val="32"/>
  </w:num>
  <w:num w:numId="37" w16cid:durableId="860432523">
    <w:abstractNumId w:val="26"/>
  </w:num>
  <w:num w:numId="38" w16cid:durableId="1880386777">
    <w:abstractNumId w:val="24"/>
  </w:num>
  <w:num w:numId="39" w16cid:durableId="140314737">
    <w:abstractNumId w:val="6"/>
  </w:num>
  <w:num w:numId="40" w16cid:durableId="399055937">
    <w:abstractNumId w:val="30"/>
  </w:num>
  <w:num w:numId="41" w16cid:durableId="713895999">
    <w:abstractNumId w:val="13"/>
  </w:num>
  <w:num w:numId="42" w16cid:durableId="1845654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0" w:nlCheck="1" w:checkStyle="0"/>
  <w:proofState w:spelling="clean"/>
  <w:attachedTemplate r:id="rId1"/>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91B"/>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6B4F"/>
    <w:rsid w:val="0008625B"/>
    <w:rsid w:val="00091187"/>
    <w:rsid w:val="0009209F"/>
    <w:rsid w:val="00093282"/>
    <w:rsid w:val="00095CCD"/>
    <w:rsid w:val="00095E45"/>
    <w:rsid w:val="00097757"/>
    <w:rsid w:val="000A14D4"/>
    <w:rsid w:val="000A389E"/>
    <w:rsid w:val="000B1B90"/>
    <w:rsid w:val="000B2D70"/>
    <w:rsid w:val="000B4672"/>
    <w:rsid w:val="000B5823"/>
    <w:rsid w:val="000B64DA"/>
    <w:rsid w:val="000B6506"/>
    <w:rsid w:val="000C2820"/>
    <w:rsid w:val="000C76A0"/>
    <w:rsid w:val="000D081D"/>
    <w:rsid w:val="000D274A"/>
    <w:rsid w:val="000D5DA1"/>
    <w:rsid w:val="000E09A3"/>
    <w:rsid w:val="000E0F53"/>
    <w:rsid w:val="000E148B"/>
    <w:rsid w:val="000F0320"/>
    <w:rsid w:val="000F116E"/>
    <w:rsid w:val="000F2312"/>
    <w:rsid w:val="000F2E76"/>
    <w:rsid w:val="000F3513"/>
    <w:rsid w:val="000F48C0"/>
    <w:rsid w:val="000F5DF6"/>
    <w:rsid w:val="001009E1"/>
    <w:rsid w:val="0010295A"/>
    <w:rsid w:val="00103CDF"/>
    <w:rsid w:val="001043B5"/>
    <w:rsid w:val="00111EE2"/>
    <w:rsid w:val="00114AE5"/>
    <w:rsid w:val="00115964"/>
    <w:rsid w:val="00117F89"/>
    <w:rsid w:val="00121F7F"/>
    <w:rsid w:val="00122C81"/>
    <w:rsid w:val="001275B5"/>
    <w:rsid w:val="001276AF"/>
    <w:rsid w:val="00130308"/>
    <w:rsid w:val="0013460E"/>
    <w:rsid w:val="00134EFB"/>
    <w:rsid w:val="0013601B"/>
    <w:rsid w:val="001414C8"/>
    <w:rsid w:val="00142894"/>
    <w:rsid w:val="00145AC7"/>
    <w:rsid w:val="00151DA2"/>
    <w:rsid w:val="00152987"/>
    <w:rsid w:val="00154193"/>
    <w:rsid w:val="00157759"/>
    <w:rsid w:val="00161F7C"/>
    <w:rsid w:val="00163CAA"/>
    <w:rsid w:val="00171CC5"/>
    <w:rsid w:val="00171F53"/>
    <w:rsid w:val="001732F3"/>
    <w:rsid w:val="0017367A"/>
    <w:rsid w:val="00180B29"/>
    <w:rsid w:val="00184522"/>
    <w:rsid w:val="001845DA"/>
    <w:rsid w:val="001846C3"/>
    <w:rsid w:val="0018499A"/>
    <w:rsid w:val="00184EE6"/>
    <w:rsid w:val="00185016"/>
    <w:rsid w:val="00185CBB"/>
    <w:rsid w:val="00185FAB"/>
    <w:rsid w:val="0019445C"/>
    <w:rsid w:val="001A6646"/>
    <w:rsid w:val="001A7191"/>
    <w:rsid w:val="001A7C2A"/>
    <w:rsid w:val="001B4613"/>
    <w:rsid w:val="001B6F96"/>
    <w:rsid w:val="001B78F3"/>
    <w:rsid w:val="001B7B9B"/>
    <w:rsid w:val="001C0B9E"/>
    <w:rsid w:val="001C2449"/>
    <w:rsid w:val="001C39FE"/>
    <w:rsid w:val="001C71D5"/>
    <w:rsid w:val="001C78E7"/>
    <w:rsid w:val="001D28D2"/>
    <w:rsid w:val="001D3D71"/>
    <w:rsid w:val="001D5DBD"/>
    <w:rsid w:val="001D6744"/>
    <w:rsid w:val="001D6960"/>
    <w:rsid w:val="001D741B"/>
    <w:rsid w:val="001D7E6B"/>
    <w:rsid w:val="001E7466"/>
    <w:rsid w:val="001F049E"/>
    <w:rsid w:val="001F0D95"/>
    <w:rsid w:val="001F0EE1"/>
    <w:rsid w:val="001F1F4E"/>
    <w:rsid w:val="001F204C"/>
    <w:rsid w:val="001F3FCA"/>
    <w:rsid w:val="001F7A65"/>
    <w:rsid w:val="00204003"/>
    <w:rsid w:val="00205962"/>
    <w:rsid w:val="00206F76"/>
    <w:rsid w:val="0021224B"/>
    <w:rsid w:val="00214016"/>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6770"/>
    <w:rsid w:val="00262BC4"/>
    <w:rsid w:val="00263177"/>
    <w:rsid w:val="00270481"/>
    <w:rsid w:val="002724C2"/>
    <w:rsid w:val="002742CC"/>
    <w:rsid w:val="00276971"/>
    <w:rsid w:val="00276D48"/>
    <w:rsid w:val="00281EC6"/>
    <w:rsid w:val="00285AAD"/>
    <w:rsid w:val="00286684"/>
    <w:rsid w:val="00294F4A"/>
    <w:rsid w:val="00297997"/>
    <w:rsid w:val="002A3A96"/>
    <w:rsid w:val="002A52F1"/>
    <w:rsid w:val="002B7CAB"/>
    <w:rsid w:val="002C5816"/>
    <w:rsid w:val="002C6DB7"/>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41A52"/>
    <w:rsid w:val="003450BC"/>
    <w:rsid w:val="003458EC"/>
    <w:rsid w:val="0034665F"/>
    <w:rsid w:val="003478C9"/>
    <w:rsid w:val="00351678"/>
    <w:rsid w:val="00351724"/>
    <w:rsid w:val="00352F26"/>
    <w:rsid w:val="00354021"/>
    <w:rsid w:val="0035675F"/>
    <w:rsid w:val="00356CA0"/>
    <w:rsid w:val="00362582"/>
    <w:rsid w:val="003635DC"/>
    <w:rsid w:val="003643E0"/>
    <w:rsid w:val="003653C8"/>
    <w:rsid w:val="003661A6"/>
    <w:rsid w:val="00367B0A"/>
    <w:rsid w:val="00367CD1"/>
    <w:rsid w:val="00367F99"/>
    <w:rsid w:val="003713E2"/>
    <w:rsid w:val="0037316F"/>
    <w:rsid w:val="00377F18"/>
    <w:rsid w:val="00380BED"/>
    <w:rsid w:val="00384600"/>
    <w:rsid w:val="00384678"/>
    <w:rsid w:val="00391785"/>
    <w:rsid w:val="00391C7B"/>
    <w:rsid w:val="00397767"/>
    <w:rsid w:val="00397AF5"/>
    <w:rsid w:val="003A61D4"/>
    <w:rsid w:val="003A6AE1"/>
    <w:rsid w:val="003A758F"/>
    <w:rsid w:val="003B7881"/>
    <w:rsid w:val="003C0B83"/>
    <w:rsid w:val="003C3243"/>
    <w:rsid w:val="003C34DE"/>
    <w:rsid w:val="003C42D8"/>
    <w:rsid w:val="003C58CA"/>
    <w:rsid w:val="003D2755"/>
    <w:rsid w:val="003E3CD5"/>
    <w:rsid w:val="003E6A9E"/>
    <w:rsid w:val="003E6C62"/>
    <w:rsid w:val="003E7FD7"/>
    <w:rsid w:val="003F00E2"/>
    <w:rsid w:val="003F3691"/>
    <w:rsid w:val="003F6D3C"/>
    <w:rsid w:val="003F7DF6"/>
    <w:rsid w:val="00400D2F"/>
    <w:rsid w:val="00401B7C"/>
    <w:rsid w:val="00412F27"/>
    <w:rsid w:val="004151B3"/>
    <w:rsid w:val="00420313"/>
    <w:rsid w:val="00422AB6"/>
    <w:rsid w:val="00423C2C"/>
    <w:rsid w:val="00423DE4"/>
    <w:rsid w:val="004253C7"/>
    <w:rsid w:val="00425C62"/>
    <w:rsid w:val="00426F1B"/>
    <w:rsid w:val="0043036A"/>
    <w:rsid w:val="0043054B"/>
    <w:rsid w:val="004354C6"/>
    <w:rsid w:val="00435862"/>
    <w:rsid w:val="00435B8B"/>
    <w:rsid w:val="004367EA"/>
    <w:rsid w:val="00436CF3"/>
    <w:rsid w:val="004379A0"/>
    <w:rsid w:val="004415A2"/>
    <w:rsid w:val="00446733"/>
    <w:rsid w:val="00452FA3"/>
    <w:rsid w:val="00454488"/>
    <w:rsid w:val="0045475E"/>
    <w:rsid w:val="00454BF0"/>
    <w:rsid w:val="004567D1"/>
    <w:rsid w:val="00463478"/>
    <w:rsid w:val="004678B2"/>
    <w:rsid w:val="00473535"/>
    <w:rsid w:val="00473C6D"/>
    <w:rsid w:val="0047433B"/>
    <w:rsid w:val="00476C6C"/>
    <w:rsid w:val="00476EF6"/>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BEB"/>
    <w:rsid w:val="004F586D"/>
    <w:rsid w:val="004F6D56"/>
    <w:rsid w:val="00500A65"/>
    <w:rsid w:val="00503D9B"/>
    <w:rsid w:val="00504812"/>
    <w:rsid w:val="005072BC"/>
    <w:rsid w:val="005077DE"/>
    <w:rsid w:val="00507F10"/>
    <w:rsid w:val="00510588"/>
    <w:rsid w:val="00514995"/>
    <w:rsid w:val="00514C90"/>
    <w:rsid w:val="00515F4D"/>
    <w:rsid w:val="0051785F"/>
    <w:rsid w:val="005204E8"/>
    <w:rsid w:val="005239A4"/>
    <w:rsid w:val="00526261"/>
    <w:rsid w:val="00526B2E"/>
    <w:rsid w:val="00526FAE"/>
    <w:rsid w:val="00534E5F"/>
    <w:rsid w:val="005375B9"/>
    <w:rsid w:val="00537DC3"/>
    <w:rsid w:val="0054143E"/>
    <w:rsid w:val="005418F4"/>
    <w:rsid w:val="00542EC9"/>
    <w:rsid w:val="0054375F"/>
    <w:rsid w:val="00544090"/>
    <w:rsid w:val="0054452A"/>
    <w:rsid w:val="00544A57"/>
    <w:rsid w:val="00550083"/>
    <w:rsid w:val="005539D6"/>
    <w:rsid w:val="005542F6"/>
    <w:rsid w:val="00560224"/>
    <w:rsid w:val="0056088A"/>
    <w:rsid w:val="00562C26"/>
    <w:rsid w:val="00563B47"/>
    <w:rsid w:val="0056423C"/>
    <w:rsid w:val="00571000"/>
    <w:rsid w:val="00571C29"/>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D0BE0"/>
    <w:rsid w:val="005D136B"/>
    <w:rsid w:val="005D13F5"/>
    <w:rsid w:val="005D15BD"/>
    <w:rsid w:val="005D610D"/>
    <w:rsid w:val="005E01AE"/>
    <w:rsid w:val="005E1188"/>
    <w:rsid w:val="005E26AC"/>
    <w:rsid w:val="005E67FA"/>
    <w:rsid w:val="005E7CFE"/>
    <w:rsid w:val="005F2030"/>
    <w:rsid w:val="005F3295"/>
    <w:rsid w:val="005F75B1"/>
    <w:rsid w:val="005F780B"/>
    <w:rsid w:val="0060301F"/>
    <w:rsid w:val="00606D3D"/>
    <w:rsid w:val="0061617E"/>
    <w:rsid w:val="00620231"/>
    <w:rsid w:val="006203E8"/>
    <w:rsid w:val="006225D4"/>
    <w:rsid w:val="00622EFB"/>
    <w:rsid w:val="0062470F"/>
    <w:rsid w:val="006248E6"/>
    <w:rsid w:val="0062587F"/>
    <w:rsid w:val="00625B61"/>
    <w:rsid w:val="00626633"/>
    <w:rsid w:val="00633F49"/>
    <w:rsid w:val="0063709B"/>
    <w:rsid w:val="00637DDA"/>
    <w:rsid w:val="00647BF8"/>
    <w:rsid w:val="00656701"/>
    <w:rsid w:val="00656753"/>
    <w:rsid w:val="00657D98"/>
    <w:rsid w:val="00657F93"/>
    <w:rsid w:val="00661297"/>
    <w:rsid w:val="00663F03"/>
    <w:rsid w:val="00671DC9"/>
    <w:rsid w:val="006727C3"/>
    <w:rsid w:val="00672A40"/>
    <w:rsid w:val="00673304"/>
    <w:rsid w:val="006769D9"/>
    <w:rsid w:val="00677CA7"/>
    <w:rsid w:val="00677FC6"/>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23E6"/>
    <w:rsid w:val="006A56A1"/>
    <w:rsid w:val="006A6429"/>
    <w:rsid w:val="006B095A"/>
    <w:rsid w:val="006B3515"/>
    <w:rsid w:val="006B656A"/>
    <w:rsid w:val="006C4483"/>
    <w:rsid w:val="006C4FB1"/>
    <w:rsid w:val="006C523F"/>
    <w:rsid w:val="006C642C"/>
    <w:rsid w:val="006D3572"/>
    <w:rsid w:val="006D4637"/>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22336"/>
    <w:rsid w:val="00724DAA"/>
    <w:rsid w:val="00726DD9"/>
    <w:rsid w:val="007317EE"/>
    <w:rsid w:val="00733747"/>
    <w:rsid w:val="00733B83"/>
    <w:rsid w:val="0074179A"/>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619B"/>
    <w:rsid w:val="00776B13"/>
    <w:rsid w:val="00777F6A"/>
    <w:rsid w:val="0078616F"/>
    <w:rsid w:val="0079065E"/>
    <w:rsid w:val="007976F0"/>
    <w:rsid w:val="007A09F7"/>
    <w:rsid w:val="007A1D4E"/>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594F"/>
    <w:rsid w:val="007D655B"/>
    <w:rsid w:val="007D656F"/>
    <w:rsid w:val="007D765D"/>
    <w:rsid w:val="007D7D6A"/>
    <w:rsid w:val="007E09ED"/>
    <w:rsid w:val="007E28F2"/>
    <w:rsid w:val="007E666B"/>
    <w:rsid w:val="007F0870"/>
    <w:rsid w:val="007F5298"/>
    <w:rsid w:val="007F7EEB"/>
    <w:rsid w:val="008002E0"/>
    <w:rsid w:val="00803112"/>
    <w:rsid w:val="0080408D"/>
    <w:rsid w:val="008057FF"/>
    <w:rsid w:val="00807C0E"/>
    <w:rsid w:val="00811675"/>
    <w:rsid w:val="00812D47"/>
    <w:rsid w:val="008171AA"/>
    <w:rsid w:val="0082073B"/>
    <w:rsid w:val="00820FB0"/>
    <w:rsid w:val="00831CD3"/>
    <w:rsid w:val="00833CF1"/>
    <w:rsid w:val="008409D8"/>
    <w:rsid w:val="00841231"/>
    <w:rsid w:val="00841C9C"/>
    <w:rsid w:val="00844083"/>
    <w:rsid w:val="00850751"/>
    <w:rsid w:val="00852C6B"/>
    <w:rsid w:val="00853E06"/>
    <w:rsid w:val="00855F28"/>
    <w:rsid w:val="00856495"/>
    <w:rsid w:val="008569CD"/>
    <w:rsid w:val="00865338"/>
    <w:rsid w:val="008719FE"/>
    <w:rsid w:val="00875FB6"/>
    <w:rsid w:val="008836D6"/>
    <w:rsid w:val="00883EB8"/>
    <w:rsid w:val="0088596C"/>
    <w:rsid w:val="0088693B"/>
    <w:rsid w:val="008A4900"/>
    <w:rsid w:val="008A62FE"/>
    <w:rsid w:val="008A6C4F"/>
    <w:rsid w:val="008A70F0"/>
    <w:rsid w:val="008B3621"/>
    <w:rsid w:val="008B3F2E"/>
    <w:rsid w:val="008B5E48"/>
    <w:rsid w:val="008C3EE4"/>
    <w:rsid w:val="008C6CED"/>
    <w:rsid w:val="008C7273"/>
    <w:rsid w:val="008C754D"/>
    <w:rsid w:val="008D0372"/>
    <w:rsid w:val="008D4F7C"/>
    <w:rsid w:val="008D5779"/>
    <w:rsid w:val="008D5CFA"/>
    <w:rsid w:val="008D64C2"/>
    <w:rsid w:val="008D6593"/>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23DDC"/>
    <w:rsid w:val="00924ADE"/>
    <w:rsid w:val="009256F5"/>
    <w:rsid w:val="00925DDA"/>
    <w:rsid w:val="00926FED"/>
    <w:rsid w:val="0093007F"/>
    <w:rsid w:val="00936132"/>
    <w:rsid w:val="00937307"/>
    <w:rsid w:val="0093779B"/>
    <w:rsid w:val="0094111F"/>
    <w:rsid w:val="009424AD"/>
    <w:rsid w:val="0095140E"/>
    <w:rsid w:val="009525E3"/>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2820"/>
    <w:rsid w:val="00994DA0"/>
    <w:rsid w:val="009A1850"/>
    <w:rsid w:val="009A2509"/>
    <w:rsid w:val="009A3551"/>
    <w:rsid w:val="009A4B25"/>
    <w:rsid w:val="009A56EC"/>
    <w:rsid w:val="009A6579"/>
    <w:rsid w:val="009A65FD"/>
    <w:rsid w:val="009A7D59"/>
    <w:rsid w:val="009B0613"/>
    <w:rsid w:val="009B0E34"/>
    <w:rsid w:val="009B271D"/>
    <w:rsid w:val="009B31FD"/>
    <w:rsid w:val="009B37E5"/>
    <w:rsid w:val="009B4F2A"/>
    <w:rsid w:val="009B6E02"/>
    <w:rsid w:val="009C08AC"/>
    <w:rsid w:val="009C0C3E"/>
    <w:rsid w:val="009C41BB"/>
    <w:rsid w:val="009C50B0"/>
    <w:rsid w:val="009D47B6"/>
    <w:rsid w:val="009D48A7"/>
    <w:rsid w:val="009D5692"/>
    <w:rsid w:val="009E545A"/>
    <w:rsid w:val="009E7CF6"/>
    <w:rsid w:val="009F0CD6"/>
    <w:rsid w:val="009F1DFD"/>
    <w:rsid w:val="009F3D64"/>
    <w:rsid w:val="009F4FA5"/>
    <w:rsid w:val="009F5660"/>
    <w:rsid w:val="00A017EB"/>
    <w:rsid w:val="00A02A9C"/>
    <w:rsid w:val="00A05373"/>
    <w:rsid w:val="00A0770D"/>
    <w:rsid w:val="00A11D13"/>
    <w:rsid w:val="00A15416"/>
    <w:rsid w:val="00A15F68"/>
    <w:rsid w:val="00A17913"/>
    <w:rsid w:val="00A20B8C"/>
    <w:rsid w:val="00A2572D"/>
    <w:rsid w:val="00A26050"/>
    <w:rsid w:val="00A27407"/>
    <w:rsid w:val="00A30BDC"/>
    <w:rsid w:val="00A30C51"/>
    <w:rsid w:val="00A35174"/>
    <w:rsid w:val="00A37BEC"/>
    <w:rsid w:val="00A403D9"/>
    <w:rsid w:val="00A409B8"/>
    <w:rsid w:val="00A41B8D"/>
    <w:rsid w:val="00A423ED"/>
    <w:rsid w:val="00A43398"/>
    <w:rsid w:val="00A443ED"/>
    <w:rsid w:val="00A466B1"/>
    <w:rsid w:val="00A509B8"/>
    <w:rsid w:val="00A520DD"/>
    <w:rsid w:val="00A54E20"/>
    <w:rsid w:val="00A62138"/>
    <w:rsid w:val="00A73E4E"/>
    <w:rsid w:val="00A773FB"/>
    <w:rsid w:val="00A8089C"/>
    <w:rsid w:val="00A80C70"/>
    <w:rsid w:val="00A80FCD"/>
    <w:rsid w:val="00A822CD"/>
    <w:rsid w:val="00A8348C"/>
    <w:rsid w:val="00A83ED5"/>
    <w:rsid w:val="00A84624"/>
    <w:rsid w:val="00A9023A"/>
    <w:rsid w:val="00A92500"/>
    <w:rsid w:val="00A94E8C"/>
    <w:rsid w:val="00AA40EB"/>
    <w:rsid w:val="00AA4DF4"/>
    <w:rsid w:val="00AA5041"/>
    <w:rsid w:val="00AA7786"/>
    <w:rsid w:val="00AB0622"/>
    <w:rsid w:val="00AB1537"/>
    <w:rsid w:val="00AB4E10"/>
    <w:rsid w:val="00AB676D"/>
    <w:rsid w:val="00AC3B99"/>
    <w:rsid w:val="00AC4997"/>
    <w:rsid w:val="00AC61DA"/>
    <w:rsid w:val="00AD1D92"/>
    <w:rsid w:val="00AD2088"/>
    <w:rsid w:val="00AD2439"/>
    <w:rsid w:val="00AD32BC"/>
    <w:rsid w:val="00AD3633"/>
    <w:rsid w:val="00AD3EEC"/>
    <w:rsid w:val="00AD5DC0"/>
    <w:rsid w:val="00AD69A3"/>
    <w:rsid w:val="00AD6C14"/>
    <w:rsid w:val="00AE2A8B"/>
    <w:rsid w:val="00AE2BEA"/>
    <w:rsid w:val="00AE3958"/>
    <w:rsid w:val="00AE48EE"/>
    <w:rsid w:val="00AE653F"/>
    <w:rsid w:val="00AE6A16"/>
    <w:rsid w:val="00AE779B"/>
    <w:rsid w:val="00AF0623"/>
    <w:rsid w:val="00AF247C"/>
    <w:rsid w:val="00AF2DF7"/>
    <w:rsid w:val="00AF7348"/>
    <w:rsid w:val="00B00142"/>
    <w:rsid w:val="00B013DD"/>
    <w:rsid w:val="00B023CC"/>
    <w:rsid w:val="00B04229"/>
    <w:rsid w:val="00B0621B"/>
    <w:rsid w:val="00B067E8"/>
    <w:rsid w:val="00B073CC"/>
    <w:rsid w:val="00B14E19"/>
    <w:rsid w:val="00B150DB"/>
    <w:rsid w:val="00B15CE6"/>
    <w:rsid w:val="00B2293E"/>
    <w:rsid w:val="00B2323A"/>
    <w:rsid w:val="00B2344E"/>
    <w:rsid w:val="00B26885"/>
    <w:rsid w:val="00B31E1B"/>
    <w:rsid w:val="00B329F8"/>
    <w:rsid w:val="00B32FA4"/>
    <w:rsid w:val="00B4705A"/>
    <w:rsid w:val="00B53150"/>
    <w:rsid w:val="00B54016"/>
    <w:rsid w:val="00B55EEB"/>
    <w:rsid w:val="00B60A46"/>
    <w:rsid w:val="00B63E25"/>
    <w:rsid w:val="00B66A6F"/>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E8"/>
    <w:rsid w:val="00BC7FEF"/>
    <w:rsid w:val="00BD1C7B"/>
    <w:rsid w:val="00BD57D2"/>
    <w:rsid w:val="00BD6737"/>
    <w:rsid w:val="00BD7ECE"/>
    <w:rsid w:val="00BE3997"/>
    <w:rsid w:val="00BE4416"/>
    <w:rsid w:val="00BE5499"/>
    <w:rsid w:val="00BE5623"/>
    <w:rsid w:val="00BE6794"/>
    <w:rsid w:val="00BE79CD"/>
    <w:rsid w:val="00BF1308"/>
    <w:rsid w:val="00BF4812"/>
    <w:rsid w:val="00BF4A3D"/>
    <w:rsid w:val="00BF5BCA"/>
    <w:rsid w:val="00C036D3"/>
    <w:rsid w:val="00C03E79"/>
    <w:rsid w:val="00C11311"/>
    <w:rsid w:val="00C16FE3"/>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155A"/>
    <w:rsid w:val="00C421FE"/>
    <w:rsid w:val="00C429C1"/>
    <w:rsid w:val="00C45713"/>
    <w:rsid w:val="00C47814"/>
    <w:rsid w:val="00C502B6"/>
    <w:rsid w:val="00C52105"/>
    <w:rsid w:val="00C52159"/>
    <w:rsid w:val="00C536C6"/>
    <w:rsid w:val="00C578D1"/>
    <w:rsid w:val="00C57ADF"/>
    <w:rsid w:val="00C6132C"/>
    <w:rsid w:val="00C62050"/>
    <w:rsid w:val="00C67260"/>
    <w:rsid w:val="00C702A7"/>
    <w:rsid w:val="00C70884"/>
    <w:rsid w:val="00C728F3"/>
    <w:rsid w:val="00C733E6"/>
    <w:rsid w:val="00C767F9"/>
    <w:rsid w:val="00C80A49"/>
    <w:rsid w:val="00C8199E"/>
    <w:rsid w:val="00C830DE"/>
    <w:rsid w:val="00C84A02"/>
    <w:rsid w:val="00C905FA"/>
    <w:rsid w:val="00C91E56"/>
    <w:rsid w:val="00C936AF"/>
    <w:rsid w:val="00C94533"/>
    <w:rsid w:val="00C95666"/>
    <w:rsid w:val="00C95BE9"/>
    <w:rsid w:val="00CA1322"/>
    <w:rsid w:val="00CA2EC0"/>
    <w:rsid w:val="00CA4703"/>
    <w:rsid w:val="00CA5826"/>
    <w:rsid w:val="00CB1755"/>
    <w:rsid w:val="00CB299B"/>
    <w:rsid w:val="00CB5319"/>
    <w:rsid w:val="00CB53B6"/>
    <w:rsid w:val="00CB65B3"/>
    <w:rsid w:val="00CB66DC"/>
    <w:rsid w:val="00CC270C"/>
    <w:rsid w:val="00CC5015"/>
    <w:rsid w:val="00CC740F"/>
    <w:rsid w:val="00CD7391"/>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42D22"/>
    <w:rsid w:val="00D44A37"/>
    <w:rsid w:val="00D51661"/>
    <w:rsid w:val="00D601D8"/>
    <w:rsid w:val="00D64526"/>
    <w:rsid w:val="00D6662D"/>
    <w:rsid w:val="00D669AC"/>
    <w:rsid w:val="00D671D2"/>
    <w:rsid w:val="00D67246"/>
    <w:rsid w:val="00D711D8"/>
    <w:rsid w:val="00D75CA8"/>
    <w:rsid w:val="00D77B76"/>
    <w:rsid w:val="00D81C73"/>
    <w:rsid w:val="00D82D32"/>
    <w:rsid w:val="00D8367C"/>
    <w:rsid w:val="00D904F8"/>
    <w:rsid w:val="00D91440"/>
    <w:rsid w:val="00D92A85"/>
    <w:rsid w:val="00D92EB8"/>
    <w:rsid w:val="00D953C7"/>
    <w:rsid w:val="00DA0134"/>
    <w:rsid w:val="00DA343D"/>
    <w:rsid w:val="00DA461A"/>
    <w:rsid w:val="00DA546B"/>
    <w:rsid w:val="00DB2253"/>
    <w:rsid w:val="00DB2D57"/>
    <w:rsid w:val="00DB3CC7"/>
    <w:rsid w:val="00DC0197"/>
    <w:rsid w:val="00DC7BFE"/>
    <w:rsid w:val="00DD1E52"/>
    <w:rsid w:val="00DD4200"/>
    <w:rsid w:val="00DD72E6"/>
    <w:rsid w:val="00DD7F25"/>
    <w:rsid w:val="00DE2362"/>
    <w:rsid w:val="00DE238B"/>
    <w:rsid w:val="00DE49E6"/>
    <w:rsid w:val="00DE6C37"/>
    <w:rsid w:val="00DF3E01"/>
    <w:rsid w:val="00DF6920"/>
    <w:rsid w:val="00E00516"/>
    <w:rsid w:val="00E02A2C"/>
    <w:rsid w:val="00E05480"/>
    <w:rsid w:val="00E06CEF"/>
    <w:rsid w:val="00E1024B"/>
    <w:rsid w:val="00E14891"/>
    <w:rsid w:val="00E16240"/>
    <w:rsid w:val="00E22CDC"/>
    <w:rsid w:val="00E23ADF"/>
    <w:rsid w:val="00E25B0B"/>
    <w:rsid w:val="00E31454"/>
    <w:rsid w:val="00E33074"/>
    <w:rsid w:val="00E33D90"/>
    <w:rsid w:val="00E34B27"/>
    <w:rsid w:val="00E3533D"/>
    <w:rsid w:val="00E4033D"/>
    <w:rsid w:val="00E4289F"/>
    <w:rsid w:val="00E451FD"/>
    <w:rsid w:val="00E459A3"/>
    <w:rsid w:val="00E50375"/>
    <w:rsid w:val="00E50CA5"/>
    <w:rsid w:val="00E54F56"/>
    <w:rsid w:val="00E55896"/>
    <w:rsid w:val="00E57C4C"/>
    <w:rsid w:val="00E57E3F"/>
    <w:rsid w:val="00E602AE"/>
    <w:rsid w:val="00E62551"/>
    <w:rsid w:val="00E65663"/>
    <w:rsid w:val="00E65C88"/>
    <w:rsid w:val="00E679A9"/>
    <w:rsid w:val="00E72AA1"/>
    <w:rsid w:val="00E7310B"/>
    <w:rsid w:val="00E827EB"/>
    <w:rsid w:val="00E82F67"/>
    <w:rsid w:val="00E83811"/>
    <w:rsid w:val="00E84BB2"/>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E1EEC"/>
    <w:rsid w:val="00EE5FCA"/>
    <w:rsid w:val="00EE6889"/>
    <w:rsid w:val="00EF1CB9"/>
    <w:rsid w:val="00EF3BCF"/>
    <w:rsid w:val="00EF524C"/>
    <w:rsid w:val="00EF5255"/>
    <w:rsid w:val="00EF55D4"/>
    <w:rsid w:val="00EF5D6A"/>
    <w:rsid w:val="00F001CD"/>
    <w:rsid w:val="00F00963"/>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435CD"/>
    <w:rsid w:val="00F4469F"/>
    <w:rsid w:val="00F455DC"/>
    <w:rsid w:val="00F528C8"/>
    <w:rsid w:val="00F533AE"/>
    <w:rsid w:val="00F634A4"/>
    <w:rsid w:val="00F63F39"/>
    <w:rsid w:val="00F65CBF"/>
    <w:rsid w:val="00F714DB"/>
    <w:rsid w:val="00F74076"/>
    <w:rsid w:val="00F75823"/>
    <w:rsid w:val="00F7785F"/>
    <w:rsid w:val="00F80196"/>
    <w:rsid w:val="00F8055A"/>
    <w:rsid w:val="00F871C8"/>
    <w:rsid w:val="00F87743"/>
    <w:rsid w:val="00F90DA1"/>
    <w:rsid w:val="00F91BA1"/>
    <w:rsid w:val="00F9382E"/>
    <w:rsid w:val="00F94191"/>
    <w:rsid w:val="00F94B5B"/>
    <w:rsid w:val="00F966F6"/>
    <w:rsid w:val="00FA2209"/>
    <w:rsid w:val="00FA2704"/>
    <w:rsid w:val="00FA360E"/>
    <w:rsid w:val="00FA49EE"/>
    <w:rsid w:val="00FA7132"/>
    <w:rsid w:val="00FA7397"/>
    <w:rsid w:val="00FB16B4"/>
    <w:rsid w:val="00FB2E54"/>
    <w:rsid w:val="00FB7F5C"/>
    <w:rsid w:val="00FC0A38"/>
    <w:rsid w:val="00FC154E"/>
    <w:rsid w:val="00FC15E9"/>
    <w:rsid w:val="00FC51D6"/>
    <w:rsid w:val="00FC53C2"/>
    <w:rsid w:val="00FC5D67"/>
    <w:rsid w:val="00FC70BE"/>
    <w:rsid w:val="00FD1BCF"/>
    <w:rsid w:val="00FD262D"/>
    <w:rsid w:val="00FD650A"/>
    <w:rsid w:val="00FD65EC"/>
    <w:rsid w:val="00FE273D"/>
    <w:rsid w:val="00FE3EF4"/>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7738"/>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707738"/>
  </w:style>
  <w:style w:type="paragraph" w:styleId="Stopka">
    <w:name w:val="footer"/>
    <w:basedOn w:val="Normalny"/>
    <w:link w:val="StopkaZnak"/>
    <w:uiPriority w:val="99"/>
    <w:unhideWhenUsed/>
    <w:rsid w:val="00707738"/>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707738"/>
  </w:style>
  <w:style w:type="paragraph" w:styleId="Tekstdymka">
    <w:name w:val="Balloon Text"/>
    <w:basedOn w:val="Normalny"/>
    <w:link w:val="TekstdymkaZnak"/>
    <w:uiPriority w:val="99"/>
    <w:semiHidden/>
    <w:unhideWhenUsed/>
    <w:rsid w:val="007077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7738"/>
    <w:rPr>
      <w:rFonts w:ascii="Tahoma" w:hAnsi="Tahoma" w:cs="Tahoma"/>
      <w:sz w:val="16"/>
      <w:szCs w:val="16"/>
    </w:rPr>
  </w:style>
  <w:style w:type="table" w:styleId="Tabela-Siatka">
    <w:name w:val="Table Grid"/>
    <w:basedOn w:val="Standardowy"/>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161F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61F7C"/>
    <w:rPr>
      <w:sz w:val="20"/>
      <w:szCs w:val="20"/>
    </w:rPr>
  </w:style>
  <w:style w:type="character" w:styleId="Odwoanieprzypisudolnego">
    <w:name w:val="footnote reference"/>
    <w:aliases w:val="SUPERS,Footnote reference number,Footnote symbol,note TESI,-E Fußnotenzeichen,number,BVI fnr,Footnote,Footnote Reference Superscript,(Footnote Reference),EN Footnote Reference,Voetnootverwijzing,Times 10 Point,Exposant 3 Poi"/>
    <w:basedOn w:val="Domylnaczcionkaakapitu"/>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Akapitzlist">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ny"/>
    <w:link w:val="AkapitzlistZnak"/>
    <w:uiPriority w:val="34"/>
    <w:qFormat/>
    <w:rsid w:val="008057FF"/>
    <w:pPr>
      <w:ind w:left="720"/>
      <w:contextualSpacing/>
    </w:pPr>
  </w:style>
  <w:style w:type="character" w:styleId="Odwoaniedokomentarza">
    <w:name w:val="annotation reference"/>
    <w:basedOn w:val="Domylnaczcionkaakapitu"/>
    <w:uiPriority w:val="99"/>
    <w:semiHidden/>
    <w:unhideWhenUsed/>
    <w:rsid w:val="009A3551"/>
    <w:rPr>
      <w:sz w:val="16"/>
      <w:szCs w:val="16"/>
    </w:rPr>
  </w:style>
  <w:style w:type="paragraph" w:styleId="Tekstkomentarza">
    <w:name w:val="annotation text"/>
    <w:basedOn w:val="Normalny"/>
    <w:link w:val="TekstkomentarzaZnak"/>
    <w:uiPriority w:val="99"/>
    <w:unhideWhenUsed/>
    <w:rsid w:val="009A3551"/>
    <w:pPr>
      <w:spacing w:line="240" w:lineRule="auto"/>
    </w:pPr>
    <w:rPr>
      <w:sz w:val="20"/>
      <w:szCs w:val="20"/>
    </w:rPr>
  </w:style>
  <w:style w:type="character" w:customStyle="1" w:styleId="TekstkomentarzaZnak">
    <w:name w:val="Tekst komentarza Znak"/>
    <w:basedOn w:val="Domylnaczcionkaakapitu"/>
    <w:link w:val="Tekstkomentarza"/>
    <w:uiPriority w:val="99"/>
    <w:rsid w:val="009A3551"/>
    <w:rPr>
      <w:sz w:val="20"/>
      <w:szCs w:val="20"/>
    </w:rPr>
  </w:style>
  <w:style w:type="paragraph" w:styleId="Tematkomentarza">
    <w:name w:val="annotation subject"/>
    <w:basedOn w:val="Tekstkomentarza"/>
    <w:next w:val="Tekstkomentarza"/>
    <w:link w:val="TematkomentarzaZnak"/>
    <w:uiPriority w:val="99"/>
    <w:semiHidden/>
    <w:unhideWhenUsed/>
    <w:rsid w:val="009A3551"/>
    <w:rPr>
      <w:b/>
      <w:bCs/>
    </w:rPr>
  </w:style>
  <w:style w:type="character" w:customStyle="1" w:styleId="TematkomentarzaZnak">
    <w:name w:val="Temat komentarza Znak"/>
    <w:basedOn w:val="TekstkomentarzaZnak"/>
    <w:link w:val="Tematkomentarza"/>
    <w:uiPriority w:val="99"/>
    <w:semiHidden/>
    <w:rsid w:val="009A3551"/>
    <w:rPr>
      <w:b/>
      <w:bCs/>
      <w:sz w:val="20"/>
      <w:szCs w:val="20"/>
    </w:rPr>
  </w:style>
  <w:style w:type="paragraph" w:styleId="NormalnyWeb">
    <w:name w:val="Normal (Web)"/>
    <w:basedOn w:val="Normalny"/>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cze">
    <w:name w:val="Hyperlink"/>
    <w:basedOn w:val="Domylnaczcionkaakapitu"/>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Paragraphe EI Znak,Paragraphe de liste1 Znak,EC Znak,List Paragraph_Sections Znak,Dot pt Znak,List Paragraph1 Znak,Colorful List - Accent 11 Znak,No Spacing1 Znak,List Paragraph Char Char Char Znak,Indicator Text Znak,Bullet 1 Znak"/>
    <w:basedOn w:val="Domylnaczcionkaakapitu"/>
    <w:link w:val="Akapitzlist"/>
    <w:uiPriority w:val="34"/>
    <w:qFormat/>
    <w:locked/>
    <w:rsid w:val="00D36E67"/>
  </w:style>
  <w:style w:type="paragraph" w:styleId="Tytu">
    <w:name w:val="Title"/>
    <w:basedOn w:val="Normalny"/>
    <w:next w:val="Normalny"/>
    <w:link w:val="TytuZnak"/>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ytuZnak">
    <w:name w:val="Tytuł Znak"/>
    <w:basedOn w:val="Domylnaczcionkaakapitu"/>
    <w:link w:val="Tytu"/>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Poprawka">
    <w:name w:val="Revision"/>
    <w:hidden/>
    <w:uiPriority w:val="99"/>
    <w:semiHidden/>
    <w:rsid w:val="00D1763F"/>
    <w:pPr>
      <w:spacing w:after="0" w:line="240" w:lineRule="auto"/>
    </w:pPr>
  </w:style>
  <w:style w:type="character" w:styleId="UyteHipercze">
    <w:name w:val="FollowedHyperlink"/>
    <w:basedOn w:val="Domylnaczcionkaakapitu"/>
    <w:uiPriority w:val="99"/>
    <w:semiHidden/>
    <w:unhideWhenUsed/>
    <w:rsid w:val="001275B5"/>
    <w:rPr>
      <w:color w:val="800080" w:themeColor="followedHyperlink"/>
      <w:u w:val="single"/>
    </w:rPr>
  </w:style>
  <w:style w:type="paragraph" w:customStyle="1" w:styleId="Letterhead">
    <w:name w:val="Letterhead"/>
    <w:basedOn w:val="Normalny"/>
    <w:link w:val="LetterheadChar"/>
    <w:qFormat/>
    <w:rsid w:val="0079065E"/>
    <w:pPr>
      <w:spacing w:after="0"/>
      <w:jc w:val="right"/>
    </w:pPr>
    <w:rPr>
      <w:rFonts w:eastAsiaTheme="minorEastAsia"/>
      <w:b/>
      <w:szCs w:val="20"/>
    </w:rPr>
  </w:style>
  <w:style w:type="character" w:customStyle="1" w:styleId="LetterheadChar">
    <w:name w:val="Letterhead Char"/>
    <w:basedOn w:val="Domylnaczcionkaakapitu"/>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omylnaczcionkaakapitu"/>
    <w:uiPriority w:val="1"/>
    <w:qFormat/>
    <w:rsid w:val="005418F4"/>
    <w:rPr>
      <w:b w:val="0"/>
      <w:bCs/>
      <w:caps/>
      <w:smallCaps w:val="0"/>
      <w:color w:val="1F497D" w:themeColor="text2"/>
      <w:sz w:val="22"/>
    </w:rPr>
  </w:style>
  <w:style w:type="paragraph" w:customStyle="1" w:styleId="HeaderFoot">
    <w:name w:val="HeaderFoot"/>
    <w:basedOn w:val="Normalny"/>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omylnaczcionkaakapitu"/>
    <w:link w:val="HeaderFoot"/>
    <w:rsid w:val="005418F4"/>
    <w:rPr>
      <w:rFonts w:ascii="Arial" w:eastAsiaTheme="minorEastAsia" w:hAnsi="Arial" w:cs="Arial"/>
      <w:color w:val="001B4F"/>
      <w:sz w:val="16"/>
      <w:szCs w:val="16"/>
    </w:rPr>
  </w:style>
  <w:style w:type="character" w:styleId="Nierozpoznanawzmianka">
    <w:name w:val="Unresolved Mention"/>
    <w:basedOn w:val="Domylnaczcionkaakapitu"/>
    <w:uiPriority w:val="99"/>
    <w:semiHidden/>
    <w:unhideWhenUsed/>
    <w:rsid w:val="00905E44"/>
    <w:rPr>
      <w:color w:val="605E5C"/>
      <w:shd w:val="clear" w:color="auto" w:fill="E1DFDD"/>
    </w:rPr>
  </w:style>
  <w:style w:type="paragraph" w:customStyle="1" w:styleId="Questionstyle">
    <w:name w:val="Question style"/>
    <w:basedOn w:val="Normalny"/>
    <w:next w:val="Normalny"/>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Domylnaczcionkaakapitu"/>
    <w:link w:val="Questionstyle"/>
    <w:rsid w:val="00AE48EE"/>
    <w:rPr>
      <w:rFonts w:ascii="Arial" w:eastAsiaTheme="minorEastAsia" w:hAnsi="Arial" w:cs="Arial"/>
      <w:b/>
      <w:lang w:val="en-US"/>
    </w:rPr>
  </w:style>
  <w:style w:type="paragraph" w:customStyle="1" w:styleId="02Date">
    <w:name w:val="02_Date"/>
    <w:basedOn w:val="Normalny"/>
    <w:rsid w:val="004B03A3"/>
    <w:pPr>
      <w:spacing w:after="0" w:line="220" w:lineRule="exact"/>
    </w:pPr>
    <w:rPr>
      <w:rFonts w:ascii="Arial" w:eastAsia="Times New Roman" w:hAnsi="Arial" w:cs="Times New Roman"/>
      <w:sz w:val="17"/>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a.europa.eu/legal-no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esma.europa.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sma.europa.eu/legal-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opa.europa.eu/Pages/Links/Legal-notice.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stainable Finance Document" ma:contentTypeID="0x0101000ED1C6BF2ECFE74585EFFEA9E6E279620400BEB2507EF22CBE4CB8286BFB2BA9BFB7" ma:contentTypeVersion="23" ma:contentTypeDescription="" ma:contentTypeScope="" ma:versionID="a8c7ca85b262fa0729021505eb132d67">
  <xsd:schema xmlns:xsd="http://www.w3.org/2001/XMLSchema" xmlns:xs="http://www.w3.org/2001/XMLSchema" xmlns:p="http://schemas.microsoft.com/office/2006/metadata/properties" xmlns:ns2="d0fb0f98-34f9-4d57-9559-eb8efd17aa5e" xmlns:ns3="1b4e0555-eea4-42f1-b1c8-1775a3e728bd" targetNamespace="http://schemas.microsoft.com/office/2006/metadata/properties" ma:root="true" ma:fieldsID="40714789edce5923ad982d83fbe7f3ed" ns2:_="" ns3:_="">
    <xsd:import namespace="d0fb0f98-34f9-4d57-9559-eb8efd17aa5e"/>
    <xsd:import namespace="1b4e0555-eea4-42f1-b1c8-1775a3e728bd"/>
    <xsd:element name="properties">
      <xsd:complexType>
        <xsd:sequence>
          <xsd:element name="documentManagement">
            <xsd:complexType>
              <xsd:all>
                <xsd:element ref="ns2:Year"/>
                <xsd:element ref="ns2:MeetingDate" minOccurs="0"/>
                <xsd:element ref="ns2:TaxCatchAll" minOccurs="0"/>
                <xsd:element ref="ns2:TaxCatchAllLabel" minOccurs="0"/>
                <xsd:element ref="ns2:k9db3a09612944c49e649e0ff38a506b" minOccurs="0"/>
                <xsd:element ref="ns2:kdd529b9a5cb416096d62dbd0e6e5583" minOccurs="0"/>
                <xsd:element ref="ns2:oa4fe03ffd8943c1880fe290404e8de7" minOccurs="0"/>
                <xsd:element ref="ns2:o129a376828d47fdaef4d5f5d93fd079" minOccurs="0"/>
                <xsd:element ref="ns2:i273e4c9de95495b82bee898e1d119e4" minOccurs="0"/>
                <xsd:element ref="ns2:pe003f6b23174764860dd10a5d2d3e7f"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9db3a09612944c49e649e0ff38a506b" ma:index="18"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9"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20"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1"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i273e4c9de95495b82bee898e1d119e4" ma:index="22" nillable="true" ma:taxonomy="true" ma:internalName="i273e4c9de95495b82bee898e1d119e4" ma:taxonomyFieldName="Topic" ma:displayName="Topic" ma:readOnly="false" ma:fieldId="{2273e4c9-de95-495b-82be-e898e1d119e4}" ma:sspId="d4b01e31-ead0-4f68-a8e9-2aaca35f2e62"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3" nillable="true" ma:taxonomy="true" ma:internalName="pe003f6b23174764860dd10a5d2d3e7f" ma:taxonomyFieldName="SubTopic" ma:displayName="Sub Topic" ma:readOnly="false" ma:fieldId="{9e003f6b-2317-4764-860d-d10a5d2d3e7f}" ma:sspId="d4b01e31-ead0-4f68-a8e9-2aaca35f2e62" ma:termSetId="0a6922ba-4b5d-4066-b81e-7cc61c85a71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e0555-eea4-42f1-b1c8-1775a3e728b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267</Value>
      <Value>316</Value>
      <Value>163</Value>
      <Value>6</Value>
      <Value>5</Value>
      <Value>38</Value>
    </TaxCatchAll>
    <_dlc_DocId xmlns="d0fb0f98-34f9-4d57-9559-eb8efd17aa5e">ESMA34-1592494965-470</_dlc_DocId>
    <_dlc_DocIdUrl xmlns="d0fb0f98-34f9-4d57-9559-eb8efd17aa5e">
      <Url>https://securitiesandmarketsauth.sharepoint.com/sites/sherpa-ivm/_layouts/15/DocIdRedir.aspx?ID=ESMA34-1592494965-470</Url>
      <Description>ESMA34-1592494965-470</Description>
    </_dlc_DocIdUrl>
    <_dlc_DocIdPersistId xmlns="d0fb0f98-34f9-4d57-9559-eb8efd17aa5e" xsi:nil="true"/>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cb43e48b-6753-43e1-a3b5-5b621e1f60b3</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d0fb0f98-34f9-4d57-9559-eb8efd17aa5e">
      <Terms xmlns="http://schemas.microsoft.com/office/infopath/2007/PartnerControls">
        <TermInfo xmlns="http://schemas.microsoft.com/office/infopath/2007/PartnerControls">
          <TermName xmlns="http://schemas.microsoft.com/office/infopath/2007/PartnerControls">SFDR RTS (second mandate)</TermName>
          <TermId xmlns="http://schemas.microsoft.com/office/infopath/2007/PartnerControls">5756ea92-2063-4f07-a9d1-5ce84418bdc1</TermId>
        </TermInfo>
      </Terms>
    </pe003f6b23174764860dd10a5d2d3e7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5B865-0003-413B-BB32-1738337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b4e0555-eea4-42f1-b1c8-1775a3e7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8EF864-A2BC-4D23-8318-F4CA46A99FBB}">
  <ds:schemaRefs>
    <ds:schemaRef ds:uri="http://schemas.microsoft.com/sharepoint/events"/>
  </ds:schemaRefs>
</ds:datastoreItem>
</file>

<file path=customXml/itemProps3.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d0fb0f98-34f9-4d57-9559-eb8efd17aa5e"/>
  </ds:schemaRefs>
</ds:datastoreItem>
</file>

<file path=customXml/itemProps4.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5.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 ESAs letter 2023.dotx</Template>
  <TotalTime>2</TotalTime>
  <Pages>17</Pages>
  <Words>3527</Words>
  <Characters>21166</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Rafał Broniewski</cp:lastModifiedBy>
  <cp:revision>2</cp:revision>
  <cp:lastPrinted>2022-02-14T13:26:00Z</cp:lastPrinted>
  <dcterms:created xsi:type="dcterms:W3CDTF">2023-07-03T11:19:00Z</dcterms:created>
  <dcterms:modified xsi:type="dcterms:W3CDTF">2023-07-03T11:19:00Z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