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565C92A8"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July</w:t>
      </w:r>
      <w:r w:rsidR="003918D0">
        <w:rPr>
          <w:rFonts w:ascii="Arial" w:eastAsiaTheme="minorEastAsia" w:hAnsi="Arial" w:cs="Arial"/>
          <w:b/>
          <w:color w:val="1A1A1A" w:themeColor="background1" w:themeShade="1A"/>
          <w:szCs w:val="20"/>
        </w:rPr>
        <w:t xml:space="preserve"> </w:t>
      </w:r>
      <w:r w:rsidRPr="005418F4">
        <w:rPr>
          <w:rFonts w:ascii="Arial" w:eastAsiaTheme="minorEastAsia" w:hAnsi="Arial" w:cs="Arial"/>
          <w:b/>
          <w:color w:val="1A1A1A" w:themeColor="background1" w:themeShade="1A"/>
          <w:szCs w:val="20"/>
        </w:rPr>
        <w:t xml:space="preserve">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1650F0F6" w:rsidR="005418F4" w:rsidRPr="005418F4" w:rsidRDefault="00756928" w:rsidP="005418F4">
                <w:pPr>
                  <w:spacing w:after="250"/>
                  <w:rPr>
                    <w:rFonts w:ascii="Arial" w:eastAsiaTheme="minorEastAsia" w:hAnsi="Arial" w:cs="Arial"/>
                    <w:color w:val="808080"/>
                    <w:szCs w:val="20"/>
                  </w:rPr>
                </w:pPr>
                <w:proofErr w:type="spellStart"/>
                <w:r w:rsidRPr="006E48DE">
                  <w:rPr>
                    <w:rFonts w:ascii="Arial" w:eastAsiaTheme="minorEastAsia" w:hAnsi="Arial" w:cs="Arial"/>
                    <w:color w:val="808080"/>
                    <w:szCs w:val="20"/>
                  </w:rPr>
                  <w:t>Institut</w:t>
                </w:r>
                <w:proofErr w:type="spellEnd"/>
                <w:r w:rsidRPr="006E48DE">
                  <w:rPr>
                    <w:rFonts w:ascii="Arial" w:eastAsiaTheme="minorEastAsia" w:hAnsi="Arial" w:cs="Arial"/>
                    <w:color w:val="808080"/>
                    <w:szCs w:val="20"/>
                  </w:rPr>
                  <w:t xml:space="preserve"> der </w:t>
                </w:r>
                <w:proofErr w:type="spellStart"/>
                <w:r w:rsidRPr="006E48DE">
                  <w:rPr>
                    <w:rFonts w:ascii="Arial" w:eastAsiaTheme="minorEastAsia" w:hAnsi="Arial" w:cs="Arial"/>
                    <w:color w:val="808080"/>
                    <w:szCs w:val="20"/>
                  </w:rPr>
                  <w:t>Wirtschaftsprüfer</w:t>
                </w:r>
                <w:proofErr w:type="spellEnd"/>
                <w:r w:rsidRPr="006E48DE">
                  <w:rPr>
                    <w:rFonts w:ascii="Arial" w:eastAsiaTheme="minorEastAsia" w:hAnsi="Arial" w:cs="Arial"/>
                    <w:color w:val="808080"/>
                    <w:szCs w:val="20"/>
                  </w:rPr>
                  <w:t xml:space="preserve"> in Deutschland </w:t>
                </w:r>
                <w:proofErr w:type="spellStart"/>
                <w:r w:rsidRPr="006E48DE">
                  <w:rPr>
                    <w:rFonts w:ascii="Arial" w:eastAsiaTheme="minorEastAsia" w:hAnsi="Arial" w:cs="Arial"/>
                    <w:color w:val="808080"/>
                    <w:szCs w:val="20"/>
                  </w:rPr>
                  <w:t>e.V</w:t>
                </w:r>
                <w:proofErr w:type="spellEnd"/>
                <w:r w:rsidRPr="006E48DE">
                  <w:rPr>
                    <w:rFonts w:ascii="Arial" w:eastAsiaTheme="minorEastAsia" w:hAnsi="Arial" w:cs="Arial"/>
                    <w:color w:val="808080"/>
                    <w:szCs w:val="20"/>
                  </w:rPr>
                  <w:t>. [Institute of Public Auditors in Germany, Incorporated Association] (IDW)</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435ED36B" w:rsidR="005418F4" w:rsidRPr="005418F4" w:rsidRDefault="002B0C3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48DE">
                  <w:rPr>
                    <w:rFonts w:ascii="Arial" w:eastAsiaTheme="minorEastAsia" w:hAnsi="Arial" w:cs="Arial"/>
                    <w:color w:val="1A1A1A" w:themeColor="background1" w:themeShade="1A"/>
                    <w:szCs w:val="20"/>
                  </w:rPr>
                  <w:t>Audit/Legal/Individual</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0C1B0BBD" w:rsidR="005418F4" w:rsidRPr="005418F4" w:rsidRDefault="006367E3"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555B33F9" w:rsidR="005418F4" w:rsidRPr="005418F4" w:rsidRDefault="006E48DE"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6D04CF">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6D04CF">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9F8B064" w14:textId="558F8255" w:rsidR="0013792E" w:rsidRDefault="00EB2880" w:rsidP="006F402B">
      <w:permStart w:id="1912867809" w:edGrp="everyone"/>
      <w:r w:rsidRPr="00EB2880">
        <w:rPr>
          <w:highlight w:val="yellow"/>
        </w:rPr>
        <w:t xml:space="preserve">All mandatory social indicators under </w:t>
      </w:r>
      <w:r>
        <w:rPr>
          <w:highlight w:val="yellow"/>
        </w:rPr>
        <w:t xml:space="preserve">the </w:t>
      </w:r>
      <w:r w:rsidRPr="00EB2880">
        <w:rPr>
          <w:highlight w:val="yellow"/>
        </w:rPr>
        <w:t xml:space="preserve">SFDR </w:t>
      </w:r>
      <w:r>
        <w:rPr>
          <w:highlight w:val="yellow"/>
        </w:rPr>
        <w:t xml:space="preserve">should </w:t>
      </w:r>
      <w:r w:rsidRPr="00EB2880">
        <w:rPr>
          <w:highlight w:val="yellow"/>
        </w:rPr>
        <w:t xml:space="preserve">correspond with disclosure requirements under ESRS. </w:t>
      </w:r>
      <w:r w:rsidR="00756928">
        <w:rPr>
          <w:highlight w:val="yellow"/>
        </w:rPr>
        <w:t>Provided that</w:t>
      </w:r>
      <w:r w:rsidRPr="00EB2880">
        <w:rPr>
          <w:highlight w:val="yellow"/>
        </w:rPr>
        <w:t xml:space="preserve"> social indicators are subject to materiality, they should not be mandatory for the PAI reporting. Otherwise, guidance is needed </w:t>
      </w:r>
      <w:r>
        <w:rPr>
          <w:highlight w:val="yellow"/>
        </w:rPr>
        <w:t xml:space="preserve">on </w:t>
      </w:r>
      <w:r w:rsidRPr="00EB2880">
        <w:rPr>
          <w:highlight w:val="yellow"/>
        </w:rPr>
        <w:t xml:space="preserve">how to generate </w:t>
      </w:r>
      <w:r>
        <w:rPr>
          <w:highlight w:val="yellow"/>
        </w:rPr>
        <w:t xml:space="preserve">the </w:t>
      </w:r>
      <w:r w:rsidRPr="00EB2880">
        <w:rPr>
          <w:highlight w:val="yellow"/>
        </w:rPr>
        <w:t>required input data.</w:t>
      </w:r>
      <w:r w:rsidR="0022082A">
        <w:t xml:space="preserve"> </w:t>
      </w:r>
      <w:r w:rsidR="0013792E" w:rsidRPr="0013792E">
        <w:t xml:space="preserve">The reduction of the mandatory disclosures </w:t>
      </w:r>
      <w:r w:rsidR="0013792E">
        <w:t>proposed</w:t>
      </w:r>
      <w:r w:rsidR="0013792E" w:rsidRPr="0013792E">
        <w:t xml:space="preserve"> </w:t>
      </w:r>
      <w:r w:rsidR="0013792E">
        <w:t xml:space="preserve">in the ESRS-Draft </w:t>
      </w:r>
      <w:r w:rsidR="0013792E" w:rsidRPr="0013792E">
        <w:t xml:space="preserve">may lead to the situation that information required by financial market participants for reporting under the SFDR is not reported by companies because companies have classified it as non-material in their materiality analysis. This is in contradiction to Art. 29b para. 1 </w:t>
      </w:r>
      <w:proofErr w:type="spellStart"/>
      <w:r w:rsidR="0013792E" w:rsidRPr="0013792E">
        <w:t>subpara</w:t>
      </w:r>
      <w:proofErr w:type="spellEnd"/>
      <w:r w:rsidR="0013792E" w:rsidRPr="0013792E">
        <w:t xml:space="preserve">. 2 Directive (EU) 2013/34/EU (“[…] which shall at least include the information that financial market participants subject to the disclosure obligations of Regulation (EU) 2019/2088 need in order to comply with those obligations”). </w:t>
      </w:r>
      <w:r w:rsidR="0013792E" w:rsidRPr="0013792E">
        <w:lastRenderedPageBreak/>
        <w:t>Therefore, clear rules in the SFDR must be created for financial market participants on how to report under the SFDR in such cases. Further, we encourage the European Commission to publish a comparison of the data points required under the SFDR with the disclosure requirements, as was done in EFRAG's November document "Appendix III - Datapoints in accordance with EU laws in the ESRS". Without such a comparison, ensuring the completeness of the information will become more complex and challenging.</w:t>
      </w:r>
    </w:p>
    <w:p w14:paraId="00A57109" w14:textId="1E8FBA6A" w:rsidR="0013792E" w:rsidRPr="00EB2880" w:rsidRDefault="0013792E" w:rsidP="006F402B">
      <w:pPr>
        <w:rPr>
          <w:highlight w:val="yellow"/>
        </w:rPr>
      </w:pPr>
      <w:r w:rsidRPr="00642EDE">
        <w:t>In general, an increase in the</w:t>
      </w:r>
      <w:r>
        <w:t xml:space="preserve"> number of indicators </w:t>
      </w:r>
      <w:r w:rsidRPr="00642EDE">
        <w:t xml:space="preserve">leads to additional </w:t>
      </w:r>
      <w:r w:rsidR="00E73DB9">
        <w:t xml:space="preserve">reporting requirements and </w:t>
      </w:r>
      <w:r w:rsidRPr="00642EDE">
        <w:t>work.</w:t>
      </w:r>
      <w:r w:rsidRPr="00C44BA4">
        <w:t xml:space="preserve"> </w:t>
      </w:r>
      <w:r>
        <w:t>T</w:t>
      </w:r>
      <w:r w:rsidRPr="00C44BA4">
        <w:t>herefore</w:t>
      </w:r>
      <w:r>
        <w:t xml:space="preserve">, the </w:t>
      </w:r>
      <w:r w:rsidR="00E73DB9">
        <w:t xml:space="preserve">selection of KPI’s should </w:t>
      </w:r>
      <w:r>
        <w:t xml:space="preserve">focus </w:t>
      </w:r>
      <w:r w:rsidR="00E73DB9">
        <w:t xml:space="preserve">on </w:t>
      </w:r>
      <w:r w:rsidRPr="00642EDE">
        <w:t xml:space="preserve">principal </w:t>
      </w:r>
      <w:r w:rsidR="00E73DB9">
        <w:t xml:space="preserve">adverse </w:t>
      </w:r>
      <w:r w:rsidRPr="00642EDE">
        <w:t>indicators</w:t>
      </w:r>
      <w:r w:rsidR="00E73DB9">
        <w:t>. I</w:t>
      </w:r>
      <w:r>
        <w:t xml:space="preserve">ndicators should only be added if they provide significant </w:t>
      </w:r>
      <w:r w:rsidRPr="00C44BA4">
        <w:t>additional benefit</w:t>
      </w:r>
      <w:r>
        <w:t xml:space="preserve"> to the addressees.</w:t>
      </w:r>
    </w:p>
    <w:permEnd w:id="1912867809"/>
    <w:p w14:paraId="7446D4C6" w14:textId="11E70A37" w:rsidR="009C41BB" w:rsidRDefault="009C41BB" w:rsidP="009C41BB">
      <w:r>
        <w:t>&lt;ESMA_QUESTION_SFDR_2&gt;</w:t>
      </w:r>
    </w:p>
    <w:p w14:paraId="5C5DB35A" w14:textId="77777777" w:rsidR="009C41BB" w:rsidRDefault="009C41BB" w:rsidP="009C41BB"/>
    <w:p w14:paraId="11B6749E" w14:textId="77777777" w:rsidR="009C41BB" w:rsidRDefault="009C41BB" w:rsidP="006D04CF">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4427FB61" w14:textId="44012F93" w:rsidR="00E429F2" w:rsidRDefault="00E429F2" w:rsidP="00E429F2">
      <w:permStart w:id="1930569352" w:edGrp="everyone"/>
      <w:r>
        <w:t xml:space="preserve">Any newly proposed (opt-in) social indicators shall be aligned with the European Sustainable Finance Legislation already in place (Taxonomy Regulation (TR), regarding social indicators especially with the Minimum Safeguards mentioned in Art. 18 (1) TR, the Accounting Directive as amended by CSRD, the Benchmark Regulation (BMR) and the upcoming Corporate Sustainability Due Diligence Directive). </w:t>
      </w:r>
    </w:p>
    <w:p w14:paraId="040088C5" w14:textId="3F226607" w:rsidR="009C41BB" w:rsidRDefault="00A44D36" w:rsidP="00E429F2">
      <w:r>
        <w:t>Additional</w:t>
      </w:r>
      <w:r w:rsidR="00E429F2">
        <w:t xml:space="preserve"> indicators shall only be introduced into SFDR RTS once investee companies were obliged to publish mandatorily the relevant data and once there is a stable, trusted and accountable database (e.g. ESAP) which can be used by the financial market participants as a data source. The Commission’s Draft Delegated Act published on 7 June 2023 for consultation introduced significant changes to EFRAG’s Draft on ESRS 1st set: An undertaking may omit all disclosure requirements in a topical standard if it assessed that the topic in question is not material. Furthermore, an additional phasing-in is proposed for (investee) companies with less than 750 employees and this threshold is not reflected in SFDR RTS at all.</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6D04CF">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lastRenderedPageBreak/>
        <w:t>&lt;ESMA_QUESTION_SFDR_4&gt;</w:t>
      </w:r>
    </w:p>
    <w:p w14:paraId="67CDF54F" w14:textId="48A2A748" w:rsidR="00EB2880" w:rsidRDefault="00EB2880" w:rsidP="00EB2880">
      <w:permStart w:id="717750325" w:edGrp="everyone"/>
      <w:r w:rsidRPr="006F402B">
        <w:rPr>
          <w:highlight w:val="yellow"/>
        </w:rPr>
        <w:t xml:space="preserve">All mandatory social indicators under </w:t>
      </w:r>
      <w:r>
        <w:rPr>
          <w:highlight w:val="yellow"/>
        </w:rPr>
        <w:t xml:space="preserve">the </w:t>
      </w:r>
      <w:r w:rsidRPr="006F402B">
        <w:rPr>
          <w:highlight w:val="yellow"/>
        </w:rPr>
        <w:t xml:space="preserve">SFDR </w:t>
      </w:r>
      <w:r>
        <w:rPr>
          <w:highlight w:val="yellow"/>
        </w:rPr>
        <w:t xml:space="preserve">should </w:t>
      </w:r>
      <w:r w:rsidRPr="006F402B">
        <w:rPr>
          <w:highlight w:val="yellow"/>
        </w:rPr>
        <w:t xml:space="preserve">correspond with disclosure requirements under ESRS. </w:t>
      </w:r>
      <w:r w:rsidR="00CE1D94">
        <w:rPr>
          <w:highlight w:val="yellow"/>
        </w:rPr>
        <w:t>Provided that</w:t>
      </w:r>
      <w:r w:rsidRPr="006F402B">
        <w:rPr>
          <w:highlight w:val="yellow"/>
        </w:rPr>
        <w:t xml:space="preserve"> </w:t>
      </w:r>
      <w:r w:rsidR="00E429F2">
        <w:rPr>
          <w:highlight w:val="yellow"/>
        </w:rPr>
        <w:t xml:space="preserve">ESRS </w:t>
      </w:r>
      <w:r w:rsidRPr="006F402B">
        <w:rPr>
          <w:highlight w:val="yellow"/>
        </w:rPr>
        <w:t>social indicators are subject to materiality, they should not be mandatory for the PAI reporting. Otherwise, guidance is needed how to generate required input data.</w:t>
      </w:r>
    </w:p>
    <w:permEnd w:id="717750325"/>
    <w:p w14:paraId="5C0CA950" w14:textId="2A9A95DC" w:rsidR="009C41BB" w:rsidRDefault="009C41BB" w:rsidP="009C41BB">
      <w:r>
        <w:t>&lt;ESMA_QUESTION_SFDR_4&gt;</w:t>
      </w:r>
    </w:p>
    <w:p w14:paraId="6CC85AFF" w14:textId="77777777" w:rsidR="009C41BB" w:rsidRDefault="009C41BB" w:rsidP="009C41BB"/>
    <w:p w14:paraId="5D57C8EB" w14:textId="77777777" w:rsidR="009C41BB" w:rsidRDefault="009C41BB" w:rsidP="006D04CF">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6D04CF">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044E70A6" w14:textId="77777777" w:rsidR="002B0C30" w:rsidRDefault="008734C8" w:rsidP="009C41BB">
      <w:permStart w:id="482678782" w:edGrp="everyone"/>
      <w:r>
        <w:rPr>
          <w:highlight w:val="yellow"/>
        </w:rPr>
        <w:t>On the one hand,</w:t>
      </w:r>
      <w:r w:rsidR="00025A93" w:rsidRPr="00956D37">
        <w:rPr>
          <w:highlight w:val="yellow"/>
        </w:rPr>
        <w:t xml:space="preserve"> the introduction of this indicator for real estate assets would </w:t>
      </w:r>
      <w:r w:rsidR="00756928" w:rsidRPr="00956D37">
        <w:rPr>
          <w:highlight w:val="yellow"/>
        </w:rPr>
        <w:t xml:space="preserve">also </w:t>
      </w:r>
      <w:r w:rsidR="00025A93" w:rsidRPr="00956D37">
        <w:rPr>
          <w:highlight w:val="yellow"/>
        </w:rPr>
        <w:t xml:space="preserve">be helpful to answer good governance related questions. </w:t>
      </w:r>
      <w:r w:rsidR="00CE1D94">
        <w:rPr>
          <w:highlight w:val="yellow"/>
        </w:rPr>
        <w:t xml:space="preserve">In our opinion, </w:t>
      </w:r>
      <w:r w:rsidR="00025A93" w:rsidRPr="00956D37">
        <w:rPr>
          <w:highlight w:val="yellow"/>
        </w:rPr>
        <w:t xml:space="preserve">the managing company rather </w:t>
      </w:r>
      <w:r w:rsidR="009656F8">
        <w:t xml:space="preserve">than </w:t>
      </w:r>
      <w:r w:rsidR="00E429F2" w:rsidRPr="00E429F2">
        <w:t xml:space="preserve">the financial market participant </w:t>
      </w:r>
      <w:r w:rsidR="00CE1D94">
        <w:rPr>
          <w:highlight w:val="yellow"/>
        </w:rPr>
        <w:t>is</w:t>
      </w:r>
      <w:r w:rsidR="00025A93" w:rsidRPr="00956D37">
        <w:rPr>
          <w:highlight w:val="yellow"/>
        </w:rPr>
        <w:t xml:space="preserve"> subject of this disclosure. </w:t>
      </w:r>
      <w:r>
        <w:rPr>
          <w:highlight w:val="yellow"/>
        </w:rPr>
        <w:t>On the other hand</w:t>
      </w:r>
      <w:r w:rsidR="00025A93" w:rsidRPr="00956D37">
        <w:rPr>
          <w:highlight w:val="yellow"/>
        </w:rPr>
        <w:t xml:space="preserve">, this would </w:t>
      </w:r>
      <w:r w:rsidR="0018244D">
        <w:rPr>
          <w:highlight w:val="yellow"/>
        </w:rPr>
        <w:t>represent</w:t>
      </w:r>
      <w:r w:rsidR="00025A93" w:rsidRPr="00956D37">
        <w:rPr>
          <w:highlight w:val="yellow"/>
        </w:rPr>
        <w:t xml:space="preserve"> a change of the reporting perspective compared to other PAI indicators.</w:t>
      </w:r>
      <w:r w:rsidR="00956D37">
        <w:rPr>
          <w:highlight w:val="yellow"/>
        </w:rPr>
        <w:t xml:space="preserve"> </w:t>
      </w:r>
      <w:r w:rsidR="00063D0E" w:rsidRPr="00063D0E">
        <w:t xml:space="preserve">In this case, the fact that </w:t>
      </w:r>
      <w:r w:rsidR="0022082A">
        <w:t xml:space="preserve">various </w:t>
      </w:r>
      <w:r w:rsidR="00063D0E" w:rsidRPr="00063D0E">
        <w:t>companies may be involved</w:t>
      </w:r>
      <w:r w:rsidR="00063D0E">
        <w:t xml:space="preserve"> </w:t>
      </w:r>
      <w:r w:rsidRPr="00321694">
        <w:t>in the management of real estate assets</w:t>
      </w:r>
      <w:r w:rsidR="005E6DF1">
        <w:t xml:space="preserve"> should be taken into consideration</w:t>
      </w:r>
      <w:r w:rsidRPr="00321694">
        <w:t>. Therefore</w:t>
      </w:r>
      <w:r>
        <w:t>,</w:t>
      </w:r>
      <w:r w:rsidRPr="00321694">
        <w:t xml:space="preserve"> clear regulation would be needed</w:t>
      </w:r>
      <w:r w:rsidR="00CB4D90">
        <w:t xml:space="preserve"> about</w:t>
      </w:r>
      <w:r w:rsidRPr="00321694">
        <w:t xml:space="preserve"> which companies have to be taken into account and </w:t>
      </w:r>
      <w:r w:rsidR="00E73DB9">
        <w:t xml:space="preserve">how to proceed </w:t>
      </w:r>
      <w:r w:rsidR="00C6225F">
        <w:t>in case</w:t>
      </w:r>
      <w:r w:rsidRPr="00321694">
        <w:t xml:space="preserve"> one </w:t>
      </w:r>
      <w:r>
        <w:t xml:space="preserve">or more </w:t>
      </w:r>
      <w:r w:rsidRPr="00321694">
        <w:t>of the management companies do not report the information needed (due to its size).</w:t>
      </w:r>
      <w:r>
        <w:rPr>
          <w:highlight w:val="yellow"/>
        </w:rPr>
        <w:t xml:space="preserve"> </w:t>
      </w:r>
    </w:p>
    <w:permEnd w:id="482678782"/>
    <w:p w14:paraId="11A2BA0F" w14:textId="36E1823F" w:rsidR="009C41BB" w:rsidRDefault="009C41BB" w:rsidP="009C41BB">
      <w:r>
        <w:t>&lt;ESMA_QUESTION_SFDR_6&gt;</w:t>
      </w:r>
    </w:p>
    <w:p w14:paraId="2AC893D6" w14:textId="77777777" w:rsidR="009C41BB" w:rsidRDefault="009C41BB" w:rsidP="009C41BB"/>
    <w:p w14:paraId="6BDC5008" w14:textId="02D48669" w:rsidR="009C41BB" w:rsidRDefault="009C41BB" w:rsidP="006D04CF">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lastRenderedPageBreak/>
        <w:t>&lt;ESMA_QUESTION_SFDR_7&gt;</w:t>
      </w:r>
    </w:p>
    <w:p w14:paraId="7FB27C34" w14:textId="221BCC48" w:rsidR="00E73DB9" w:rsidRDefault="00E73DB9" w:rsidP="009C41BB">
      <w:permStart w:id="1704476458" w:edGrp="everyone"/>
      <w:r>
        <w:t>TYPE YOUR TEXT HERE</w:t>
      </w:r>
      <w:permEnd w:id="1704476458"/>
    </w:p>
    <w:p w14:paraId="2EAB99B1" w14:textId="6CF09184" w:rsidR="009C41BB" w:rsidRDefault="009C41BB" w:rsidP="009C41BB">
      <w:r>
        <w:t>&lt;ESMA_QUESTION_SFDR_7&gt;</w:t>
      </w:r>
    </w:p>
    <w:p w14:paraId="0833F2AC" w14:textId="77777777" w:rsidR="009C41BB" w:rsidRDefault="009C41BB" w:rsidP="009C41BB"/>
    <w:p w14:paraId="4BF15C04" w14:textId="77777777" w:rsidR="009C41BB" w:rsidRDefault="009C41BB" w:rsidP="006D04CF">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1118FD6F" w14:textId="3C601779" w:rsidR="004E04A0" w:rsidRPr="00956D37" w:rsidRDefault="004E04A0" w:rsidP="004E04A0">
      <w:pPr>
        <w:rPr>
          <w:highlight w:val="yellow"/>
        </w:rPr>
      </w:pPr>
      <w:permStart w:id="980968452" w:edGrp="everyone"/>
      <w:r w:rsidRPr="00956D37">
        <w:rPr>
          <w:highlight w:val="yellow"/>
        </w:rPr>
        <w:t xml:space="preserve">According to point (4) of Annex I of the SFDR </w:t>
      </w:r>
      <w:r w:rsidR="004618D4" w:rsidRPr="00956D37">
        <w:rPr>
          <w:highlight w:val="yellow"/>
        </w:rPr>
        <w:t>Delegated</w:t>
      </w:r>
      <w:r w:rsidRPr="00956D37">
        <w:rPr>
          <w:highlight w:val="yellow"/>
        </w:rPr>
        <w:t xml:space="preserve"> Regulation ‘enterprise value’ means the sum, at fiscal year-end, of the market capitalisation of ordinary shares, the market capitalisation of preferred shares, and the book value of total debt and non-controlling interests, without the deduction of cash or cash equivalents.</w:t>
      </w:r>
    </w:p>
    <w:p w14:paraId="6A07F48C" w14:textId="6A0AE67F" w:rsidR="004E04A0" w:rsidRDefault="0080444F" w:rsidP="004E04A0">
      <w:r w:rsidRPr="0080444F">
        <w:t xml:space="preserve">As </w:t>
      </w:r>
      <w:r w:rsidR="00760D5A">
        <w:t xml:space="preserve">an investee company </w:t>
      </w:r>
      <w:r w:rsidRPr="0080444F">
        <w:t xml:space="preserve">is not necessarily a publicly traded company, we propose to </w:t>
      </w:r>
      <w:r w:rsidR="004C1AA5">
        <w:t>include a clarification</w:t>
      </w:r>
      <w:r w:rsidRPr="0080444F">
        <w:t xml:space="preserve"> in the SFDR Delegated Regulation </w:t>
      </w:r>
      <w:r w:rsidR="004C1AA5">
        <w:t xml:space="preserve">about </w:t>
      </w:r>
      <w:r w:rsidRPr="0080444F">
        <w:t xml:space="preserve">how </w:t>
      </w:r>
      <w:r>
        <w:t xml:space="preserve">the </w:t>
      </w:r>
      <w:r w:rsidRPr="0080444F">
        <w:t xml:space="preserve">enterprise value </w:t>
      </w:r>
      <w:r w:rsidR="004C1AA5">
        <w:t xml:space="preserve">is to </w:t>
      </w:r>
      <w:r w:rsidRPr="0080444F">
        <w:t xml:space="preserve">be determined </w:t>
      </w:r>
      <w:r w:rsidR="00644082">
        <w:t>in case</w:t>
      </w:r>
      <w:r w:rsidRPr="0080444F">
        <w:t xml:space="preserve"> </w:t>
      </w:r>
      <w:r w:rsidR="00760D5A">
        <w:t xml:space="preserve">an </w:t>
      </w:r>
      <w:r w:rsidR="00760D5A" w:rsidRPr="00760D5A">
        <w:t>investee company</w:t>
      </w:r>
      <w:r w:rsidRPr="0080444F">
        <w:t xml:space="preserve"> is not a publicly traded company.</w:t>
      </w:r>
    </w:p>
    <w:p w14:paraId="1C3B6CB6" w14:textId="4295D0F2" w:rsidR="008734C8" w:rsidRPr="00760D5A" w:rsidRDefault="008734C8" w:rsidP="004E04A0">
      <w:r>
        <w:t xml:space="preserve">In addition, we would like to point out that the denominator and numerator should be determined on a consistent basis to lead to reasonable results. </w:t>
      </w:r>
      <w:r w:rsidRPr="005F7AA0">
        <w:t>This may not be the case if market values are used in the numerator and book value</w:t>
      </w:r>
      <w:r>
        <w:t>s</w:t>
      </w:r>
      <w:r w:rsidRPr="005F7AA0">
        <w:t xml:space="preserve"> (</w:t>
      </w:r>
      <w:r>
        <w:t xml:space="preserve">i.e. for </w:t>
      </w:r>
      <w:r w:rsidRPr="005F7AA0">
        <w:t>total debt) in the denominator.</w:t>
      </w:r>
    </w:p>
    <w:permEnd w:id="980968452"/>
    <w:p w14:paraId="762529E9" w14:textId="7913EE99" w:rsidR="009C41BB" w:rsidRDefault="009C41BB" w:rsidP="009C41BB">
      <w:r>
        <w:t>&lt;ESMA_QUESTION_SFDR_8&gt;</w:t>
      </w:r>
    </w:p>
    <w:p w14:paraId="0AC5B76C" w14:textId="77777777" w:rsidR="009C41BB" w:rsidRDefault="009C41BB" w:rsidP="009C41BB"/>
    <w:p w14:paraId="5E1A73BD" w14:textId="0CA5A542" w:rsidR="009C41BB" w:rsidRDefault="009C41BB" w:rsidP="006D04CF">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240C1A08" w:rsidR="009C41BB" w:rsidRDefault="009C41BB" w:rsidP="006D04CF">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lastRenderedPageBreak/>
        <w:t>&lt;ESMA_QUESTION_SFDR_10&gt;</w:t>
      </w:r>
    </w:p>
    <w:p w14:paraId="4C60FA50" w14:textId="77777777" w:rsidR="009C41BB" w:rsidRDefault="009C41BB" w:rsidP="009C41BB"/>
    <w:p w14:paraId="3F6FB44A" w14:textId="77777777" w:rsidR="009C41BB" w:rsidRDefault="009C41BB" w:rsidP="006D04CF">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4F448DF1" w:rsidR="009C41BB" w:rsidRDefault="009206BA" w:rsidP="009C41BB">
      <w:permStart w:id="1653823566" w:edGrp="everyone"/>
      <w:r>
        <w:t xml:space="preserve">We agree with the proposal. The </w:t>
      </w:r>
      <w:r w:rsidRPr="009206BA">
        <w:t>disclosure of the share of information for the PAI indicators for which the financial market participant relies on information directly from investee companies</w:t>
      </w:r>
      <w:r>
        <w:t xml:space="preserve"> provides </w:t>
      </w:r>
      <w:r w:rsidR="004E04A0">
        <w:t xml:space="preserve">useful </w:t>
      </w:r>
      <w:r>
        <w:t>information for the address</w:t>
      </w:r>
      <w:r w:rsidR="004E04A0">
        <w:t>e</w:t>
      </w:r>
      <w:r>
        <w:t xml:space="preserve">es </w:t>
      </w:r>
      <w:r w:rsidRPr="009206BA">
        <w:t xml:space="preserve">about the sources of </w:t>
      </w:r>
      <w:r w:rsidR="00BD0636">
        <w:t xml:space="preserve">the </w:t>
      </w:r>
      <w:r>
        <w:t>disc</w:t>
      </w:r>
      <w:r w:rsidR="00BD0636">
        <w:t>losure</w:t>
      </w:r>
      <w:r w:rsidR="004E04A0">
        <w:t>s</w:t>
      </w:r>
      <w:r>
        <w:t>.</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6D04CF">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6A69D7D9" w14:textId="77777777" w:rsidR="00B7655E" w:rsidRDefault="009C41BB" w:rsidP="00B7655E">
      <w:r>
        <w:t>&lt;ESMA_QUESTION_SFDR_12&gt;</w:t>
      </w:r>
    </w:p>
    <w:p w14:paraId="765B852F" w14:textId="77777777" w:rsidR="00BD0636" w:rsidRDefault="00BD0636" w:rsidP="00BD0636">
      <w:permStart w:id="1196177022" w:edGrp="everyone"/>
      <w:r>
        <w:t>TYPE YOUR TEXT HERE</w:t>
      </w:r>
    </w:p>
    <w:permEnd w:id="1196177022"/>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6D04CF">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49092554" w14:textId="77777777" w:rsidR="00474F7A" w:rsidRDefault="009C41BB" w:rsidP="00474F7A">
      <w:r>
        <w:t>&lt;ESMA_QUESTION_SFDR_13&gt;</w:t>
      </w:r>
    </w:p>
    <w:p w14:paraId="4F39C210" w14:textId="6501612C" w:rsidR="004E04A0" w:rsidRDefault="004E04A0" w:rsidP="004E04A0">
      <w:permStart w:id="619721241" w:edGrp="everyone"/>
      <w:r>
        <w:t xml:space="preserve">From an audit perspective, we welcome the approach to only require the inclusion of information on investee companies’ value chains in the PAI calculations where the investee company reports them. </w:t>
      </w:r>
    </w:p>
    <w:p w14:paraId="75D6C76F" w14:textId="28924502" w:rsidR="004E04A0" w:rsidRDefault="004E04A0" w:rsidP="004E04A0">
      <w:r>
        <w:t xml:space="preserve">However, we see a risk of information loss if, for example, small companies </w:t>
      </w:r>
      <w:r w:rsidR="006E1594">
        <w:t xml:space="preserve">are omitted </w:t>
      </w:r>
      <w:r>
        <w:t>that are not in the scope of the CSRD. Therefore, we welcome the proposed approach that “If investee companies are not subject to the reporting required under that Directive, financial market participant should include information on those companies’ value chains where that information is readily available, for example by third party data providers”.</w:t>
      </w:r>
    </w:p>
    <w:p w14:paraId="3E893C6F" w14:textId="7549A6AC" w:rsidR="004E04A0" w:rsidRDefault="004E04A0" w:rsidP="003F5639">
      <w:r>
        <w:t xml:space="preserve">In both cases, however, it should be made clear that financial market participants must validate the reported data or the data from third-party data providers. An adoption of the information without </w:t>
      </w:r>
      <w:r w:rsidR="003F5639">
        <w:lastRenderedPageBreak/>
        <w:t>validation procedures</w:t>
      </w:r>
      <w:r>
        <w:t xml:space="preserve"> performed by the financial market participants should not be allowed. </w:t>
      </w:r>
      <w:r w:rsidR="003F5639">
        <w:t>W</w:t>
      </w:r>
      <w:r>
        <w:t>he</w:t>
      </w:r>
      <w:r w:rsidR="006E1594">
        <w:t>n</w:t>
      </w:r>
      <w:r>
        <w:t xml:space="preserve"> no information on the investee companies’ value chains in the PAI calculations is included</w:t>
      </w:r>
      <w:r w:rsidR="003F5639">
        <w:t>,</w:t>
      </w:r>
      <w:r>
        <w:t xml:space="preserve"> </w:t>
      </w:r>
      <w:r w:rsidR="003F5639" w:rsidRPr="003F5639">
        <w:t xml:space="preserve">the financial market participants </w:t>
      </w:r>
      <w:r>
        <w:t>should be required to demonstrate and document that no information is readily available</w:t>
      </w:r>
      <w:r w:rsidR="003F5639">
        <w:t>. Such requirements are necessary f</w:t>
      </w:r>
      <w:r w:rsidR="00956D37">
        <w:t xml:space="preserve">or </w:t>
      </w:r>
      <w:r w:rsidR="003F5639">
        <w:t xml:space="preserve">the audit of the disclosure. The auditor needs a reasonable basis for </w:t>
      </w:r>
      <w:r w:rsidR="00667EF0">
        <w:t>his assessment of</w:t>
      </w:r>
      <w:r w:rsidR="003F5639">
        <w:t xml:space="preserve"> whether all information has been fully and correctly included. </w:t>
      </w:r>
    </w:p>
    <w:p w14:paraId="101EEBCA" w14:textId="77777777" w:rsidR="002B0C30" w:rsidRDefault="00ED10B6" w:rsidP="00474F7A">
      <w:r>
        <w:t xml:space="preserve">In addition, we recommend </w:t>
      </w:r>
      <w:r w:rsidR="007A4026">
        <w:t>including</w:t>
      </w:r>
      <w:r>
        <w:t xml:space="preserve"> </w:t>
      </w:r>
      <w:r w:rsidRPr="00ED10B6">
        <w:t>a definition of "value chain" for financial market participant</w:t>
      </w:r>
      <w:r w:rsidR="00667EF0">
        <w:t>s</w:t>
      </w:r>
      <w:r>
        <w:t xml:space="preserve">. </w:t>
      </w:r>
      <w:r w:rsidRPr="00ED10B6">
        <w:t>Since different regulations require the consideration of "value chain" (</w:t>
      </w:r>
      <w:r>
        <w:t>SFDR</w:t>
      </w:r>
      <w:r w:rsidRPr="00ED10B6">
        <w:t xml:space="preserve">; Taxonomy Regulation; EU Supply Chain Act/CSDDD; ESRS), a uniform definition for all regulations is desirable. </w:t>
      </w:r>
      <w:r w:rsidR="0000171F">
        <w:t>Such a</w:t>
      </w:r>
      <w:r w:rsidRPr="00ED10B6">
        <w:t xml:space="preserve"> definition of "value chain" </w:t>
      </w:r>
      <w:r w:rsidR="0000171F">
        <w:t xml:space="preserve">could be based on the clarification for a value chain for </w:t>
      </w:r>
      <w:r w:rsidRPr="00ED10B6">
        <w:t>financial companies in the proposal for the CSDDD as adopted by the EU Parliament on June 1st, 2023, Amendment 22</w:t>
      </w:r>
      <w:r w:rsidR="007A4026">
        <w:t xml:space="preserve">. </w:t>
      </w:r>
    </w:p>
    <w:permEnd w:id="619721241"/>
    <w:p w14:paraId="52004960" w14:textId="7033D929" w:rsidR="009C41BB" w:rsidRPr="00BD0636" w:rsidRDefault="009C41BB" w:rsidP="00474F7A">
      <w:r w:rsidRPr="00B23D6E">
        <w:t>&lt;ESMA_QUESTION_SFDR_13&gt;</w:t>
      </w:r>
    </w:p>
    <w:p w14:paraId="700BC575" w14:textId="77777777" w:rsidR="009C41BB" w:rsidRPr="00BD0636" w:rsidRDefault="009C41BB" w:rsidP="009C41BB"/>
    <w:p w14:paraId="0EA314B0" w14:textId="77777777" w:rsidR="009C41BB" w:rsidRDefault="009C41BB" w:rsidP="006D04CF">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4BF08E9C" w14:textId="77777777" w:rsidR="006A76E6" w:rsidRDefault="006A76E6" w:rsidP="006A76E6">
      <w:pPr>
        <w:rPr>
          <w:lang w:val="en-US"/>
        </w:rPr>
      </w:pPr>
      <w:permStart w:id="1623288804" w:edGrp="everyone"/>
      <w:r>
        <w:rPr>
          <w:lang w:val="en-US"/>
        </w:rPr>
        <w:t xml:space="preserve">We recommend the ESAs to assess the effectiveness of their requirement that “FMPs can show that this derivative does not ultimately result in a physical investment in the underlying security by the counterparty or any other intermediary in the investment chain”. </w:t>
      </w:r>
    </w:p>
    <w:p w14:paraId="669BC7D1" w14:textId="1FF5A8AA" w:rsidR="006A76E6" w:rsidRDefault="006A76E6" w:rsidP="006A76E6">
      <w:pPr>
        <w:rPr>
          <w:lang w:val="en-US"/>
        </w:rPr>
      </w:pPr>
      <w:r>
        <w:rPr>
          <w:lang w:val="en-US"/>
        </w:rPr>
        <w:t xml:space="preserve">We question if this requirement can be fulfilled by any FMPs without a high number of assumptions and any assessment is therefore highly subjective. This increases the risk for the auditor to verify the treatment of derivatives by FMPs. </w:t>
      </w:r>
    </w:p>
    <w:p w14:paraId="11FA7B6C" w14:textId="77777777" w:rsidR="002B0C30" w:rsidRDefault="006A76E6" w:rsidP="009C41BB">
      <w:pPr>
        <w:rPr>
          <w:lang w:val="en-US"/>
        </w:rPr>
      </w:pPr>
      <w:r>
        <w:rPr>
          <w:lang w:val="en-US"/>
        </w:rPr>
        <w:t>The ESAs could consider to reference to the “physical settlement” of derivatives. We recommend analyzing the market volumes of “cash settled derivatives” vs. “physical settled derivatives” to assess the effectiveness of this method.</w:t>
      </w:r>
    </w:p>
    <w:permEnd w:id="1623288804"/>
    <w:p w14:paraId="5AA8268C" w14:textId="6273DD37" w:rsidR="009C41BB" w:rsidRDefault="009C41BB" w:rsidP="009C41BB">
      <w:r>
        <w:t>&lt;ESMA_QUESTION_SFDR_14&gt;</w:t>
      </w:r>
    </w:p>
    <w:p w14:paraId="7FDBC0BE" w14:textId="77777777" w:rsidR="009C41BB" w:rsidRDefault="009C41BB" w:rsidP="009C41BB"/>
    <w:p w14:paraId="2C7E2AD7" w14:textId="77777777" w:rsidR="009C41BB" w:rsidRDefault="009C41BB" w:rsidP="006D04CF">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5F99C8F6" w:rsidR="009C41BB" w:rsidRDefault="006A76E6" w:rsidP="006A76E6">
      <w:bookmarkStart w:id="11" w:name="_Hlk138667686"/>
      <w:permStart w:id="8979202" w:edGrp="everyone"/>
      <w:r>
        <w:t xml:space="preserve">The treatment of the Taxonomy-alignment between the SFDR and the reporting under Article 8 Taxonomy would be inconsistent in the proposed approach. The Delegated Act on Article 8 </w:t>
      </w:r>
      <w:r>
        <w:lastRenderedPageBreak/>
        <w:t xml:space="preserve">Taxonomy ignores derivative exposure in the calculation while the SFDR would apply a netting provision. We recommend </w:t>
      </w:r>
      <w:r w:rsidR="005C22E7">
        <w:t>aligning</w:t>
      </w:r>
      <w:r>
        <w:t xml:space="preserve"> the approaches between SFDR and Article 8 Taxonomy.</w:t>
      </w:r>
    </w:p>
    <w:bookmarkEnd w:id="11"/>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Pr="006D04CF" w:rsidRDefault="009C41BB" w:rsidP="006D04CF">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6D04CF">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64086D35" w14:textId="77777777" w:rsidR="00D773A1" w:rsidRDefault="00D773A1" w:rsidP="00D773A1">
      <w:permStart w:id="715789313" w:edGrp="everyone"/>
      <w:r>
        <w:t>TYPE YOUR TEXT HERE</w:t>
      </w:r>
    </w:p>
    <w:permEnd w:id="715789313"/>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6D04CF">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222F7044" w14:textId="408DE931" w:rsidR="003F5639" w:rsidRDefault="003F5639" w:rsidP="003F5639">
      <w:permStart w:id="1657802728" w:edGrp="everyone"/>
      <w:r w:rsidRPr="003F5639">
        <w:t xml:space="preserve">We consider it relevant to make such disclosures. The increased transparency resulting from such a disclosure requirement </w:t>
      </w:r>
      <w:r w:rsidR="00667EF0">
        <w:t xml:space="preserve">does </w:t>
      </w:r>
      <w:r w:rsidRPr="003F5639">
        <w:t xml:space="preserve">not only lead to a better information basis for the addressees of </w:t>
      </w:r>
      <w:r>
        <w:t xml:space="preserve">the </w:t>
      </w:r>
      <w:r w:rsidRPr="003F5639">
        <w:t xml:space="preserve">SFDR </w:t>
      </w:r>
      <w:r w:rsidR="000B11E1" w:rsidRPr="003F5639">
        <w:t>reporting but</w:t>
      </w:r>
      <w:r w:rsidRPr="003F5639">
        <w:t xml:space="preserve"> is also an important starting point for auditing the disclosures.</w:t>
      </w:r>
    </w:p>
    <w:permEnd w:id="1657802728"/>
    <w:p w14:paraId="51EC0BD3" w14:textId="5C314350" w:rsidR="009C41BB" w:rsidRDefault="009C41BB" w:rsidP="009C41BB">
      <w:r>
        <w:t>&lt;ESMA_QUESTION_SFDR_18&gt;</w:t>
      </w:r>
    </w:p>
    <w:p w14:paraId="678E8E44" w14:textId="77777777" w:rsidR="009C41BB" w:rsidRDefault="009C41BB" w:rsidP="009C41BB"/>
    <w:p w14:paraId="62F4C721" w14:textId="77777777" w:rsidR="009C41BB" w:rsidRDefault="009C41BB" w:rsidP="006D04CF">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lastRenderedPageBreak/>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6D04CF">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3D67D88E" w14:textId="0363FE28" w:rsidR="008734C8" w:rsidRDefault="000B11E1" w:rsidP="000B11E1">
      <w:permStart w:id="1101490407" w:edGrp="everyone"/>
      <w:r w:rsidRPr="000B11E1">
        <w:t xml:space="preserve">The </w:t>
      </w:r>
      <w:r w:rsidR="00063D0E" w:rsidRPr="00063D0E">
        <w:t>he existence of parallel frameworks</w:t>
      </w:r>
      <w:r w:rsidR="00063D0E">
        <w:t xml:space="preserve"> </w:t>
      </w:r>
      <w:r w:rsidRPr="000B11E1">
        <w:t>for reporting sustainability-related information necessitates harm</w:t>
      </w:r>
      <w:r w:rsidR="00667EF0">
        <w:t>o</w:t>
      </w:r>
      <w:r w:rsidRPr="000B11E1">
        <w:t xml:space="preserve">nization of these frameworks. Only consistent and coordinated regulation will lead to acceptance of these reporting elements by reporting companies and addressees. </w:t>
      </w:r>
      <w:r w:rsidR="008734C8">
        <w:t>But it should also be considered that an application of activity</w:t>
      </w:r>
      <w:r w:rsidR="005E4BBA">
        <w:t>-</w:t>
      </w:r>
      <w:r w:rsidR="008734C8">
        <w:t xml:space="preserve">based EU Taxonomy technical screening criteria for DNSH on an investee company could lead to a </w:t>
      </w:r>
      <w:r w:rsidR="00063D0E" w:rsidRPr="00063D0E">
        <w:t>heavy reporting burden</w:t>
      </w:r>
      <w:r w:rsidR="008734C8">
        <w:t>.</w:t>
      </w:r>
    </w:p>
    <w:p w14:paraId="626B8010" w14:textId="6D7B674A" w:rsidR="000B11E1" w:rsidRDefault="000B11E1" w:rsidP="000B11E1">
      <w:r w:rsidRPr="000B11E1">
        <w:t xml:space="preserve">However, the purpose of the frameworks in particular should be made clearer. </w:t>
      </w:r>
      <w:r w:rsidR="00893170" w:rsidRPr="00893170">
        <w:t xml:space="preserve">In our opinion, it </w:t>
      </w:r>
      <w:r w:rsidR="00B23D6E">
        <w:t xml:space="preserve">must </w:t>
      </w:r>
      <w:r w:rsidR="00893170" w:rsidRPr="00893170">
        <w:t>be made clear to the addressees of SFDR reporting (and thus also to the public) that SFDR disclosures are not a matter of “label</w:t>
      </w:r>
      <w:r w:rsidR="00EA5D88">
        <w:t>l</w:t>
      </w:r>
      <w:r w:rsidR="00893170" w:rsidRPr="00893170">
        <w:t>ing” financial products</w:t>
      </w:r>
      <w:r w:rsidRPr="000B11E1">
        <w:t>, but - as the name of the regulation already implies - are pure disclosure obligations.</w:t>
      </w:r>
    </w:p>
    <w:permEnd w:id="1101490407"/>
    <w:p w14:paraId="402F2518" w14:textId="145FE6D9" w:rsidR="009C41BB" w:rsidRDefault="009C41BB" w:rsidP="009C41BB">
      <w:r>
        <w:t>&lt;ESMA_QUESTION_SFDR_20&gt;</w:t>
      </w:r>
    </w:p>
    <w:p w14:paraId="6BAEDC4A" w14:textId="77777777" w:rsidR="009C41BB" w:rsidRDefault="009C41BB" w:rsidP="009C41BB"/>
    <w:p w14:paraId="2E45FA2C" w14:textId="77777777" w:rsidR="009C41BB" w:rsidRDefault="009C41BB" w:rsidP="006D04CF">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6D04CF">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6D04CF">
      <w:pPr>
        <w:pStyle w:val="Questionstyle"/>
        <w:numPr>
          <w:ilvl w:val="0"/>
          <w:numId w:val="42"/>
        </w:numPr>
      </w:pPr>
      <w:r>
        <w:lastRenderedPageBreak/>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7795C27D" w14:textId="0D845ACD" w:rsidR="000B11E1" w:rsidRDefault="000B11E1" w:rsidP="000B11E1">
      <w:permStart w:id="609774496" w:edGrp="everyone"/>
      <w:r w:rsidRPr="000B11E1">
        <w:t xml:space="preserve">We support the introduction of hyperlinks as this prevents information overload. To ensure an auditor trail, requirements should be included that </w:t>
      </w:r>
      <w:r w:rsidR="005A25BA">
        <w:t xml:space="preserve">require </w:t>
      </w:r>
      <w:r w:rsidRPr="000B11E1">
        <w:t>FMPs to take organizational precautions</w:t>
      </w:r>
      <w:r w:rsidR="005A25BA">
        <w:t xml:space="preserve"> so</w:t>
      </w:r>
      <w:r w:rsidRPr="000B11E1">
        <w:t xml:space="preserve"> that </w:t>
      </w:r>
      <w:r>
        <w:t>updates or other c</w:t>
      </w:r>
      <w:r w:rsidRPr="000B11E1">
        <w:t xml:space="preserve">hanges </w:t>
      </w:r>
      <w:r>
        <w:t>in</w:t>
      </w:r>
      <w:r w:rsidRPr="000B11E1">
        <w:t xml:space="preserve"> the linked </w:t>
      </w:r>
      <w:r>
        <w:t xml:space="preserve">documents </w:t>
      </w:r>
      <w:r w:rsidRPr="000B11E1">
        <w:t>are documented and archived.</w:t>
      </w:r>
    </w:p>
    <w:permEnd w:id="609774496"/>
    <w:p w14:paraId="170F8ADF" w14:textId="2FE482E9" w:rsidR="009C41BB" w:rsidRDefault="009C41BB" w:rsidP="009C41BB">
      <w:r>
        <w:t>&lt;ESMA_QUESTION_SFDR_23&gt;</w:t>
      </w:r>
    </w:p>
    <w:p w14:paraId="4A4F3D57" w14:textId="77777777" w:rsidR="009C41BB" w:rsidRDefault="009C41BB" w:rsidP="009C41BB"/>
    <w:p w14:paraId="5CF11283" w14:textId="77777777" w:rsidR="009C41BB" w:rsidRDefault="009C41BB" w:rsidP="006D04CF">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6D04CF">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6D04CF">
      <w:pPr>
        <w:pStyle w:val="Questionstyle"/>
        <w:numPr>
          <w:ilvl w:val="0"/>
          <w:numId w:val="42"/>
        </w:numPr>
      </w:pPr>
      <w:r>
        <w:lastRenderedPageBreak/>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6D04CF">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66D319D4" w14:textId="77777777" w:rsidR="00A15B78" w:rsidRPr="006F402B" w:rsidRDefault="009C41BB" w:rsidP="00A15B78">
      <w:r w:rsidRPr="006F402B">
        <w:t>&lt;ESMA_QUESTION_SFDR_27&gt;</w:t>
      </w:r>
    </w:p>
    <w:p w14:paraId="7DC9ED8D" w14:textId="0977DB82" w:rsidR="000B11E1" w:rsidRDefault="000B11E1" w:rsidP="000B11E1">
      <w:permStart w:id="1166218509" w:edGrp="everyone"/>
      <w:r w:rsidRPr="000B11E1">
        <w:t xml:space="preserve">We support the approach to require that, at product level, Financed GHG emissions reduction targets be set and disclosed based on the GHG accounting and reporting standard to be referenced in the forthcoming Delegated Act (DA) of the CSRD. This approach promotes </w:t>
      </w:r>
      <w:r>
        <w:t xml:space="preserve">the </w:t>
      </w:r>
      <w:r w:rsidRPr="000B11E1">
        <w:t>consistency and establishes uniform criteria for the audit of the information. The Global GHG Accounting and Reporting Standard for the Financial Industry developed by PCAF is based on the GHG protocol and is going to become mandatory under ESRS (see ESRS E1) and ISSB Standards (see IFRS S2).</w:t>
      </w:r>
    </w:p>
    <w:p w14:paraId="54609D19" w14:textId="06D4B3CE" w:rsidR="00863A22" w:rsidRDefault="00863A22" w:rsidP="000B11E1">
      <w:r w:rsidRPr="00863A22">
        <w:t>Regarding the impact on financial products with several investment layers, e.g. Umbrella Funds/Funds of funds or IBIPs: Most of the investment management companies managing UCITS and or AIF might be not in scope of ESRS 1st set whilst not PIE per se. The financial products referred to in Article 1 (4) Accounting Directive are also out of scope of CSRD and thus ESRS. Reporting on GHG emission reduction targets at product level financed GHG emissions will lead to the need to perform a total look t</w:t>
      </w:r>
      <w:r>
        <w:t>h</w:t>
      </w:r>
      <w:r w:rsidRPr="00863A22">
        <w:t xml:space="preserve">rough all investment layers: The financial product (Umbrella or fund of funds might be solely invested in other umbrellas, funds of funds etc and spread worldwide. Up to date such </w:t>
      </w:r>
      <w:r w:rsidR="00CC63C6">
        <w:t>“</w:t>
      </w:r>
      <w:r w:rsidRPr="00863A22">
        <w:t>waterfalls</w:t>
      </w:r>
      <w:r w:rsidR="00CC63C6">
        <w:t>”</w:t>
      </w:r>
      <w:r w:rsidRPr="00863A22">
        <w:t xml:space="preserve"> were not reflected as an asset class in PCAF Part A and a separate PCAF for the asset management industry does</w:t>
      </w:r>
      <w:r w:rsidR="00CC63C6">
        <w:t xml:space="preserve"> currently</w:t>
      </w:r>
      <w:r w:rsidRPr="00863A22">
        <w:t xml:space="preserve"> not exist. PCAF Part C for insurers providing </w:t>
      </w:r>
      <w:r w:rsidR="00D610DD" w:rsidRPr="00863A22">
        <w:t>investment-based</w:t>
      </w:r>
      <w:r w:rsidRPr="00863A22">
        <w:t xml:space="preserve"> life insurance products does not cover such IBIP. Thus said, GHG Emissions target setting seams not feasible for multi</w:t>
      </w:r>
      <w:r w:rsidR="003918D0">
        <w:t>-</w:t>
      </w:r>
      <w:r w:rsidRPr="00863A22">
        <w:t>layer products unless the underlying asset managers by themselves also publish corresponding information according to PCAF.</w:t>
      </w:r>
    </w:p>
    <w:permEnd w:id="1166218509"/>
    <w:p w14:paraId="0E6910F8" w14:textId="3A31EAB0" w:rsidR="009C41BB" w:rsidRDefault="009C41BB" w:rsidP="009C41BB">
      <w:r>
        <w:t>&lt;ESMA_QUESTION_SFDR_27&gt;</w:t>
      </w:r>
    </w:p>
    <w:p w14:paraId="6FBCA7B9" w14:textId="77777777" w:rsidR="009C41BB" w:rsidRDefault="009C41BB" w:rsidP="009C41BB"/>
    <w:p w14:paraId="337B55CD" w14:textId="77777777" w:rsidR="009C41BB" w:rsidRDefault="009C41BB" w:rsidP="006D04CF">
      <w:pPr>
        <w:pStyle w:val="Questionstyle"/>
        <w:numPr>
          <w:ilvl w:val="0"/>
          <w:numId w:val="42"/>
        </w:numPr>
      </w:pPr>
      <w:r>
        <w:lastRenderedPageBreak/>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bookmarkStart w:id="12" w:name="_Hlk138668278"/>
      <w:permStart w:id="1690654287" w:edGrp="everyone"/>
      <w:r>
        <w:t>TYPE YOUR TEXT HERE</w:t>
      </w:r>
    </w:p>
    <w:bookmarkEnd w:id="12"/>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6D04CF">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19D98434" w14:textId="77777777" w:rsidR="00B461DF" w:rsidRDefault="009C41BB" w:rsidP="00B461DF">
      <w:r>
        <w:t>&lt;ESMA_QUESTION_SFDR_29&gt;</w:t>
      </w:r>
    </w:p>
    <w:p w14:paraId="7501A769" w14:textId="77777777" w:rsidR="00BE66C4" w:rsidRDefault="00BE66C4" w:rsidP="00BE66C4">
      <w:permStart w:id="78412948" w:edGrp="everyone"/>
      <w:r>
        <w:t>TYPE YOUR TEXT HERE</w:t>
      </w:r>
    </w:p>
    <w:permEnd w:id="78412948"/>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6D04CF">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6D04CF">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lastRenderedPageBreak/>
        <w:t>&lt;ESMA_QUESTION_SFDR_31&gt;</w:t>
      </w:r>
    </w:p>
    <w:p w14:paraId="2945C3E1" w14:textId="77777777" w:rsidR="009C41BB" w:rsidRDefault="009C41BB" w:rsidP="009C41BB"/>
    <w:p w14:paraId="74785B16" w14:textId="77777777" w:rsidR="009C41BB" w:rsidRDefault="009C41BB" w:rsidP="006D04CF">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6D04CF">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328082B2" w14:textId="2D532AE4" w:rsidR="006A76E6" w:rsidRDefault="006A76E6" w:rsidP="006A76E6">
      <w:permStart w:id="1422073065" w:edGrp="everyone"/>
      <w:r>
        <w:t xml:space="preserve">The investment tree provides a visual representation of the investment approach that is easy to understand by investors. Especially the bucket “other” shows how many investments will not be aligned with the E/S characteristics and therefore provides useful information about the investment approach. </w:t>
      </w:r>
    </w:p>
    <w:p w14:paraId="5D7EFF17" w14:textId="67CC9734" w:rsidR="006A76E6" w:rsidRDefault="006A76E6" w:rsidP="006A76E6">
      <w:r>
        <w:t>On the other hand, the investment tree needs clear rules or guidance to ensure a consistent and meaningful implementation across different FMPs.</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6D04CF">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6D04CF">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lastRenderedPageBreak/>
        <w:t>&lt;ESMA_QUESTION_SFDR_35&gt;</w:t>
      </w:r>
    </w:p>
    <w:p w14:paraId="2BE97EFC" w14:textId="77777777" w:rsidR="009C41BB" w:rsidRDefault="009C41BB" w:rsidP="009C41BB"/>
    <w:p w14:paraId="37B95334" w14:textId="77777777" w:rsidR="009C41BB" w:rsidRDefault="009C41BB" w:rsidP="006D04CF">
      <w:pPr>
        <w:pStyle w:val="Questionstyle"/>
        <w:numPr>
          <w:ilvl w:val="0"/>
          <w:numId w:val="42"/>
        </w:numPr>
      </w:pPr>
      <w:r>
        <w:t>: Do you have any feedback with regard to the potential criteria for estimates?</w:t>
      </w:r>
    </w:p>
    <w:p w14:paraId="2C6DA701" w14:textId="77777777" w:rsidR="0082404D" w:rsidRPr="006367E3" w:rsidRDefault="009C41BB" w:rsidP="0082404D">
      <w:r w:rsidRPr="006367E3">
        <w:t>&lt;ESMA_QUESTION_SFDR_36&gt;</w:t>
      </w:r>
    </w:p>
    <w:p w14:paraId="0A3C3461" w14:textId="31462DF3" w:rsidR="006367E3" w:rsidRDefault="006367E3" w:rsidP="006367E3">
      <w:permStart w:id="763043986" w:edGrp="everyone"/>
      <w:r>
        <w:t>W</w:t>
      </w:r>
      <w:r w:rsidRPr="006367E3">
        <w:t xml:space="preserve">here estimates are used by </w:t>
      </w:r>
      <w:r w:rsidR="00893170" w:rsidRPr="006367E3">
        <w:t>financial</w:t>
      </w:r>
      <w:r w:rsidRPr="006367E3">
        <w:t xml:space="preserve"> market participants disclos</w:t>
      </w:r>
      <w:r w:rsidR="005A25BA">
        <w:t>ure of</w:t>
      </w:r>
      <w:r w:rsidRPr="006367E3">
        <w:t xml:space="preserve"> the methodology of any estimates</w:t>
      </w:r>
      <w:r w:rsidR="005A25BA" w:rsidRPr="005A25BA">
        <w:t xml:space="preserve"> </w:t>
      </w:r>
      <w:r w:rsidR="005A25BA" w:rsidRPr="006367E3">
        <w:t>should be required</w:t>
      </w:r>
      <w:r w:rsidRPr="006367E3">
        <w:t xml:space="preserve">. Such disclosure is beneficial for the users and provides a basis for </w:t>
      </w:r>
      <w:r>
        <w:t xml:space="preserve">an </w:t>
      </w:r>
      <w:r w:rsidRPr="006367E3">
        <w:t>audit.</w:t>
      </w:r>
    </w:p>
    <w:permEnd w:id="76304398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6D04CF">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6D04CF">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55B2EE36" w14:textId="6CAD7963" w:rsidR="006367E3" w:rsidRDefault="006367E3" w:rsidP="006367E3">
      <w:permStart w:id="235108360" w:edGrp="everyone"/>
      <w:r>
        <w:t xml:space="preserve">We support the approach to set out specific rules on the calculation of the proportion of sustainable investments of financial products. Setting specific calculation rules would not only lead to consistent and comparable information for the addressees of SFDR </w:t>
      </w:r>
      <w:r w:rsidR="00063D0E">
        <w:t>reporting but</w:t>
      </w:r>
      <w:r>
        <w:t xml:space="preserve"> is also important for auditing the disclosures. </w:t>
      </w:r>
    </w:p>
    <w:p w14:paraId="3023F7A4" w14:textId="681DFB1F" w:rsidR="006367E3" w:rsidRDefault="006367E3" w:rsidP="006367E3">
      <w:r>
        <w:t xml:space="preserve">Further calculation methodology is required. E.g. there is a calculation methodology for taxonomy aligned assets but </w:t>
      </w:r>
      <w:r w:rsidR="005A25BA">
        <w:t xml:space="preserve">there are </w:t>
      </w:r>
      <w:r>
        <w:t>no clear r</w:t>
      </w:r>
      <w:r w:rsidR="00063D0E">
        <w:t>u</w:t>
      </w:r>
      <w:r>
        <w:t>les for the calculation of sustainable investments.</w:t>
      </w:r>
    </w:p>
    <w:permEnd w:id="235108360"/>
    <w:p w14:paraId="2FA3340A" w14:textId="153925A5" w:rsidR="009C41BB" w:rsidRDefault="009C41BB" w:rsidP="009C41BB">
      <w:r>
        <w:t>&lt;ESMA_QUESTION_SFDR_38&gt;</w:t>
      </w:r>
    </w:p>
    <w:p w14:paraId="23102D84" w14:textId="77777777" w:rsidR="009C41BB" w:rsidRDefault="009C41BB" w:rsidP="009C41BB"/>
    <w:p w14:paraId="3EAED82D" w14:textId="77777777" w:rsidR="009C41BB" w:rsidRDefault="009C41BB" w:rsidP="006D04CF">
      <w:pPr>
        <w:pStyle w:val="Questionstyle"/>
        <w:numPr>
          <w:ilvl w:val="0"/>
          <w:numId w:val="42"/>
        </w:numPr>
      </w:pPr>
      <w:r>
        <w:t xml:space="preserve">: Do you agree that </w:t>
      </w:r>
      <w:bookmarkStart w:id="13" w:name="_Hlk138438389"/>
      <w:r>
        <w:t xml:space="preserve">cross-referencing in periodic disclosures of financial products with investment options </w:t>
      </w:r>
      <w:bookmarkEnd w:id="13"/>
      <w:r>
        <w:t>would be beneficial to address information overload?</w:t>
      </w:r>
    </w:p>
    <w:p w14:paraId="2C73EF4F" w14:textId="77777777" w:rsidR="005035A8" w:rsidRDefault="009C41BB" w:rsidP="005035A8">
      <w:r>
        <w:lastRenderedPageBreak/>
        <w:t>&lt;ESMA_QUESTION_SFDR_39&gt;</w:t>
      </w:r>
    </w:p>
    <w:p w14:paraId="01C984EB" w14:textId="3DC9C84E" w:rsidR="006367E3" w:rsidRDefault="006367E3" w:rsidP="006367E3">
      <w:permStart w:id="1062803758" w:edGrp="everyone"/>
      <w:r w:rsidRPr="006367E3">
        <w:t xml:space="preserve">Cross-referencing in periodic disclosures of financial products with investment options </w:t>
      </w:r>
      <w:r w:rsidR="00D773A1">
        <w:t xml:space="preserve">would be </w:t>
      </w:r>
      <w:r w:rsidRPr="006367E3">
        <w:t xml:space="preserve">beneficial to address information overload. To ensure an auditor trail, requirements should be included that </w:t>
      </w:r>
      <w:r w:rsidR="0024695B">
        <w:t xml:space="preserve">require </w:t>
      </w:r>
      <w:r w:rsidRPr="006367E3">
        <w:t>FMPs to take organizational precautions</w:t>
      </w:r>
      <w:r w:rsidR="0024695B">
        <w:t xml:space="preserve"> so</w:t>
      </w:r>
      <w:r w:rsidRPr="006367E3">
        <w:t xml:space="preserve"> that changes to the cross-referenced information are documented and archived.</w:t>
      </w:r>
    </w:p>
    <w:permEnd w:id="1062803758"/>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6D04CF">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6D04CF">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6D04CF">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lastRenderedPageBreak/>
        <w:t>&lt;ESMA_QUESTION_SFDR_42&gt;</w:t>
      </w:r>
    </w:p>
    <w:p w14:paraId="5BAED5BF" w14:textId="77777777" w:rsidR="009C41BB" w:rsidRDefault="009C41BB" w:rsidP="009C41BB"/>
    <w:p w14:paraId="5D4AD8BA" w14:textId="77777777" w:rsidR="009C41BB" w:rsidRDefault="009C41BB" w:rsidP="006D04CF">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EF02" w14:textId="77777777" w:rsidR="00B16963" w:rsidRDefault="00B16963" w:rsidP="00707738">
      <w:pPr>
        <w:spacing w:after="0" w:line="240" w:lineRule="auto"/>
      </w:pPr>
      <w:r>
        <w:separator/>
      </w:r>
    </w:p>
  </w:endnote>
  <w:endnote w:type="continuationSeparator" w:id="0">
    <w:p w14:paraId="3BC926B5" w14:textId="77777777" w:rsidR="00B16963" w:rsidRDefault="00B16963"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E5D2" w14:textId="77777777" w:rsidR="00FC51D6" w:rsidRDefault="00FC5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670219"/>
      <w:docPartObj>
        <w:docPartGallery w:val="Page Numbers (Bottom of Page)"/>
        <w:docPartUnique/>
      </w:docPartObj>
    </w:sdtPr>
    <w:sdtEndPr>
      <w:rPr>
        <w:noProof/>
      </w:rPr>
    </w:sdtEndPr>
    <w:sdtContent>
      <w:p w14:paraId="57337071" w14:textId="77777777" w:rsidR="00142894" w:rsidRDefault="00142894">
        <w:pPr>
          <w:pStyle w:val="Fuzeil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0CA09" w14:textId="77777777" w:rsidR="00FC51D6" w:rsidRDefault="00FC5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BB6A0" w14:textId="77777777" w:rsidR="00B16963" w:rsidRDefault="00B16963" w:rsidP="00707738">
      <w:pPr>
        <w:spacing w:after="0" w:line="240" w:lineRule="auto"/>
      </w:pPr>
      <w:r>
        <w:separator/>
      </w:r>
    </w:p>
  </w:footnote>
  <w:footnote w:type="continuationSeparator" w:id="0">
    <w:p w14:paraId="287535CE" w14:textId="77777777" w:rsidR="00B16963" w:rsidRDefault="00B16963" w:rsidP="00707738">
      <w:pPr>
        <w:spacing w:after="0" w:line="240" w:lineRule="auto"/>
      </w:pPr>
      <w:r>
        <w:continuationSeparator/>
      </w:r>
    </w:p>
  </w:footnote>
  <w:footnote w:id="1">
    <w:p w14:paraId="5BF82E71" w14:textId="77777777" w:rsidR="009C41BB" w:rsidRDefault="009C41BB" w:rsidP="009C41BB">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50E9" w14:textId="77777777" w:rsidR="00FC51D6" w:rsidRDefault="00FC51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7F85" w14:textId="1A763933" w:rsidR="00161F7C" w:rsidRDefault="00276971">
    <w:pPr>
      <w:pStyle w:val="Kopfzeil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oel="http://schemas.microsoft.com/office/2019/extlst" xmlns:w16sdtdh="http://schemas.microsoft.com/office/word/2020/wordml/sdtdatahash">
          <w:pict>
            <v:group w14:anchorId="070CBFD3" id="Group 2" o:spid="_x0000_s1026" style="position:absolute;margin-left:0;margin-top:-.05pt;width:424.85pt;height:51.75pt;z-index:251659264;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83AE" w14:textId="77777777" w:rsidR="00FC51D6" w:rsidRDefault="00FC51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77174"/>
    <w:multiLevelType w:val="hybridMultilevel"/>
    <w:tmpl w:val="0FA6A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2B"/>
    <w:multiLevelType w:val="hybridMultilevel"/>
    <w:tmpl w:val="494A2B8A"/>
    <w:lvl w:ilvl="0" w:tplc="A75CE1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415D54"/>
    <w:multiLevelType w:val="hybridMultilevel"/>
    <w:tmpl w:val="7AEC49D0"/>
    <w:lvl w:ilvl="0" w:tplc="C690062E">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7"/>
  </w:num>
  <w:num w:numId="4">
    <w:abstractNumId w:val="24"/>
  </w:num>
  <w:num w:numId="5">
    <w:abstractNumId w:val="31"/>
  </w:num>
  <w:num w:numId="6">
    <w:abstractNumId w:val="33"/>
  </w:num>
  <w:num w:numId="7">
    <w:abstractNumId w:val="20"/>
  </w:num>
  <w:num w:numId="8">
    <w:abstractNumId w:val="12"/>
  </w:num>
  <w:num w:numId="9">
    <w:abstractNumId w:val="8"/>
  </w:num>
  <w:num w:numId="10">
    <w:abstractNumId w:val="37"/>
  </w:num>
  <w:num w:numId="11">
    <w:abstractNumId w:val="21"/>
  </w:num>
  <w:num w:numId="12">
    <w:abstractNumId w:val="42"/>
  </w:num>
  <w:num w:numId="13">
    <w:abstractNumId w:val="16"/>
  </w:num>
  <w:num w:numId="14">
    <w:abstractNumId w:val="35"/>
  </w:num>
  <w:num w:numId="15">
    <w:abstractNumId w:val="3"/>
  </w:num>
  <w:num w:numId="16">
    <w:abstractNumId w:val="30"/>
  </w:num>
  <w:num w:numId="17">
    <w:abstractNumId w:val="5"/>
  </w:num>
  <w:num w:numId="18">
    <w:abstractNumId w:val="26"/>
  </w:num>
  <w:num w:numId="19">
    <w:abstractNumId w:val="10"/>
  </w:num>
  <w:num w:numId="20">
    <w:abstractNumId w:val="40"/>
  </w:num>
  <w:num w:numId="21">
    <w:abstractNumId w:val="4"/>
  </w:num>
  <w:num w:numId="22">
    <w:abstractNumId w:val="36"/>
  </w:num>
  <w:num w:numId="23">
    <w:abstractNumId w:val="14"/>
  </w:num>
  <w:num w:numId="24">
    <w:abstractNumId w:val="38"/>
  </w:num>
  <w:num w:numId="25">
    <w:abstractNumId w:val="9"/>
  </w:num>
  <w:num w:numId="26">
    <w:abstractNumId w:val="39"/>
  </w:num>
  <w:num w:numId="27">
    <w:abstractNumId w:val="19"/>
  </w:num>
  <w:num w:numId="28">
    <w:abstractNumId w:val="17"/>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28"/>
  </w:num>
  <w:num w:numId="33">
    <w:abstractNumId w:val="2"/>
  </w:num>
  <w:num w:numId="34">
    <w:abstractNumId w:val="11"/>
  </w:num>
  <w:num w:numId="35">
    <w:abstractNumId w:val="0"/>
  </w:num>
  <w:num w:numId="36">
    <w:abstractNumId w:val="34"/>
  </w:num>
  <w:num w:numId="37">
    <w:abstractNumId w:val="27"/>
  </w:num>
  <w:num w:numId="38">
    <w:abstractNumId w:val="25"/>
  </w:num>
  <w:num w:numId="39">
    <w:abstractNumId w:val="6"/>
  </w:num>
  <w:num w:numId="40">
    <w:abstractNumId w:val="32"/>
  </w:num>
  <w:num w:numId="41">
    <w:abstractNumId w:val="1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171F"/>
    <w:rsid w:val="0000292C"/>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25A93"/>
    <w:rsid w:val="0003054A"/>
    <w:rsid w:val="00034B69"/>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63D0E"/>
    <w:rsid w:val="0007077F"/>
    <w:rsid w:val="00072418"/>
    <w:rsid w:val="00072A71"/>
    <w:rsid w:val="00073F2F"/>
    <w:rsid w:val="00076B4F"/>
    <w:rsid w:val="000849FD"/>
    <w:rsid w:val="0008625B"/>
    <w:rsid w:val="00091187"/>
    <w:rsid w:val="00092099"/>
    <w:rsid w:val="0009209F"/>
    <w:rsid w:val="00093282"/>
    <w:rsid w:val="00095CCD"/>
    <w:rsid w:val="00095E45"/>
    <w:rsid w:val="00097757"/>
    <w:rsid w:val="000A00A7"/>
    <w:rsid w:val="000A14D4"/>
    <w:rsid w:val="000A389E"/>
    <w:rsid w:val="000A720E"/>
    <w:rsid w:val="000B11E1"/>
    <w:rsid w:val="000B1B90"/>
    <w:rsid w:val="000B2D70"/>
    <w:rsid w:val="000B4672"/>
    <w:rsid w:val="000B5823"/>
    <w:rsid w:val="000B64DA"/>
    <w:rsid w:val="000B6506"/>
    <w:rsid w:val="000C080E"/>
    <w:rsid w:val="000C2820"/>
    <w:rsid w:val="000C5377"/>
    <w:rsid w:val="000C76A0"/>
    <w:rsid w:val="000D081D"/>
    <w:rsid w:val="000D274A"/>
    <w:rsid w:val="000D5DA1"/>
    <w:rsid w:val="000E0839"/>
    <w:rsid w:val="000E09A3"/>
    <w:rsid w:val="000E0F53"/>
    <w:rsid w:val="000E148B"/>
    <w:rsid w:val="000E2973"/>
    <w:rsid w:val="000F0320"/>
    <w:rsid w:val="000F116E"/>
    <w:rsid w:val="000F2312"/>
    <w:rsid w:val="000F2E76"/>
    <w:rsid w:val="000F3513"/>
    <w:rsid w:val="000F48C0"/>
    <w:rsid w:val="000F5DF6"/>
    <w:rsid w:val="001009E1"/>
    <w:rsid w:val="0010295A"/>
    <w:rsid w:val="00103B5C"/>
    <w:rsid w:val="00103CDF"/>
    <w:rsid w:val="001043B5"/>
    <w:rsid w:val="00111EE2"/>
    <w:rsid w:val="0011221A"/>
    <w:rsid w:val="00114AE5"/>
    <w:rsid w:val="00115964"/>
    <w:rsid w:val="00117F89"/>
    <w:rsid w:val="00121F7F"/>
    <w:rsid w:val="00122C81"/>
    <w:rsid w:val="001275B5"/>
    <w:rsid w:val="001276AF"/>
    <w:rsid w:val="00130308"/>
    <w:rsid w:val="0013460E"/>
    <w:rsid w:val="00134EFB"/>
    <w:rsid w:val="0013601B"/>
    <w:rsid w:val="0013792E"/>
    <w:rsid w:val="001414C8"/>
    <w:rsid w:val="00142894"/>
    <w:rsid w:val="00145AC7"/>
    <w:rsid w:val="00151DA2"/>
    <w:rsid w:val="00152987"/>
    <w:rsid w:val="00154193"/>
    <w:rsid w:val="00157759"/>
    <w:rsid w:val="00160D65"/>
    <w:rsid w:val="00161F7C"/>
    <w:rsid w:val="00163CAA"/>
    <w:rsid w:val="00171CC5"/>
    <w:rsid w:val="00171F53"/>
    <w:rsid w:val="001732F3"/>
    <w:rsid w:val="0017367A"/>
    <w:rsid w:val="0017547C"/>
    <w:rsid w:val="00180B29"/>
    <w:rsid w:val="0018244D"/>
    <w:rsid w:val="00184522"/>
    <w:rsid w:val="001845DA"/>
    <w:rsid w:val="001846C3"/>
    <w:rsid w:val="0018499A"/>
    <w:rsid w:val="00184EE6"/>
    <w:rsid w:val="00185016"/>
    <w:rsid w:val="00185224"/>
    <w:rsid w:val="00185CBB"/>
    <w:rsid w:val="00185FAB"/>
    <w:rsid w:val="00190413"/>
    <w:rsid w:val="0019445C"/>
    <w:rsid w:val="00195FDE"/>
    <w:rsid w:val="001A6646"/>
    <w:rsid w:val="001A7191"/>
    <w:rsid w:val="001A7C2A"/>
    <w:rsid w:val="001B1F48"/>
    <w:rsid w:val="001B4613"/>
    <w:rsid w:val="001B5C0C"/>
    <w:rsid w:val="001B6F96"/>
    <w:rsid w:val="001B78F3"/>
    <w:rsid w:val="001B7B9B"/>
    <w:rsid w:val="001C0B9E"/>
    <w:rsid w:val="001C2449"/>
    <w:rsid w:val="001C32E8"/>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4915"/>
    <w:rsid w:val="001F7A65"/>
    <w:rsid w:val="00204003"/>
    <w:rsid w:val="00205962"/>
    <w:rsid w:val="00206F76"/>
    <w:rsid w:val="0021224B"/>
    <w:rsid w:val="00214016"/>
    <w:rsid w:val="0022082A"/>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4695B"/>
    <w:rsid w:val="00250338"/>
    <w:rsid w:val="0025034E"/>
    <w:rsid w:val="00251F67"/>
    <w:rsid w:val="002523D3"/>
    <w:rsid w:val="00253135"/>
    <w:rsid w:val="00254757"/>
    <w:rsid w:val="002554C6"/>
    <w:rsid w:val="00256770"/>
    <w:rsid w:val="00260FCE"/>
    <w:rsid w:val="0026258C"/>
    <w:rsid w:val="00262BC4"/>
    <w:rsid w:val="00263177"/>
    <w:rsid w:val="00270481"/>
    <w:rsid w:val="002724C2"/>
    <w:rsid w:val="002742CC"/>
    <w:rsid w:val="00276971"/>
    <w:rsid w:val="00276D48"/>
    <w:rsid w:val="00281EC6"/>
    <w:rsid w:val="00285AAD"/>
    <w:rsid w:val="00286684"/>
    <w:rsid w:val="00294BA1"/>
    <w:rsid w:val="00294F4A"/>
    <w:rsid w:val="00297997"/>
    <w:rsid w:val="002A0697"/>
    <w:rsid w:val="002A3A96"/>
    <w:rsid w:val="002A52F1"/>
    <w:rsid w:val="002A5999"/>
    <w:rsid w:val="002B0C30"/>
    <w:rsid w:val="002B7CAB"/>
    <w:rsid w:val="002C4BA7"/>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2CF8"/>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50F2"/>
    <w:rsid w:val="0035675F"/>
    <w:rsid w:val="00356CA0"/>
    <w:rsid w:val="00362582"/>
    <w:rsid w:val="003635DC"/>
    <w:rsid w:val="003643E0"/>
    <w:rsid w:val="00364902"/>
    <w:rsid w:val="003653C8"/>
    <w:rsid w:val="003661A6"/>
    <w:rsid w:val="00367B0A"/>
    <w:rsid w:val="00367CD1"/>
    <w:rsid w:val="00367F99"/>
    <w:rsid w:val="003713E2"/>
    <w:rsid w:val="00371E0A"/>
    <w:rsid w:val="0037316F"/>
    <w:rsid w:val="00377F18"/>
    <w:rsid w:val="00380BED"/>
    <w:rsid w:val="00384600"/>
    <w:rsid w:val="00384678"/>
    <w:rsid w:val="003867B4"/>
    <w:rsid w:val="00391785"/>
    <w:rsid w:val="003918D0"/>
    <w:rsid w:val="00391C7B"/>
    <w:rsid w:val="00391ED0"/>
    <w:rsid w:val="00395FD6"/>
    <w:rsid w:val="00397767"/>
    <w:rsid w:val="00397AF5"/>
    <w:rsid w:val="003A61D4"/>
    <w:rsid w:val="003A6AE1"/>
    <w:rsid w:val="003A758F"/>
    <w:rsid w:val="003B7881"/>
    <w:rsid w:val="003C0B83"/>
    <w:rsid w:val="003C3243"/>
    <w:rsid w:val="003C34DE"/>
    <w:rsid w:val="003C42D8"/>
    <w:rsid w:val="003C58CA"/>
    <w:rsid w:val="003D2755"/>
    <w:rsid w:val="003E2E6C"/>
    <w:rsid w:val="003E3CD5"/>
    <w:rsid w:val="003E6A9E"/>
    <w:rsid w:val="003E6C62"/>
    <w:rsid w:val="003E7FD7"/>
    <w:rsid w:val="003F00E2"/>
    <w:rsid w:val="003F3691"/>
    <w:rsid w:val="003F5639"/>
    <w:rsid w:val="003F6D3C"/>
    <w:rsid w:val="003F7DF6"/>
    <w:rsid w:val="00400D2F"/>
    <w:rsid w:val="00401B7C"/>
    <w:rsid w:val="00412F27"/>
    <w:rsid w:val="004151B3"/>
    <w:rsid w:val="00420313"/>
    <w:rsid w:val="00422AB6"/>
    <w:rsid w:val="00423A0B"/>
    <w:rsid w:val="00423C2C"/>
    <w:rsid w:val="00423DE4"/>
    <w:rsid w:val="004253C7"/>
    <w:rsid w:val="00425C62"/>
    <w:rsid w:val="00426F1B"/>
    <w:rsid w:val="0043014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5C2A"/>
    <w:rsid w:val="004567D1"/>
    <w:rsid w:val="004618D4"/>
    <w:rsid w:val="00463478"/>
    <w:rsid w:val="004678B2"/>
    <w:rsid w:val="00473535"/>
    <w:rsid w:val="00473C6D"/>
    <w:rsid w:val="0047433B"/>
    <w:rsid w:val="00474F7A"/>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AA5"/>
    <w:rsid w:val="004C1D42"/>
    <w:rsid w:val="004C35E8"/>
    <w:rsid w:val="004C4E78"/>
    <w:rsid w:val="004C5139"/>
    <w:rsid w:val="004D088D"/>
    <w:rsid w:val="004D0D19"/>
    <w:rsid w:val="004D22F3"/>
    <w:rsid w:val="004D41F6"/>
    <w:rsid w:val="004D4970"/>
    <w:rsid w:val="004D4AF2"/>
    <w:rsid w:val="004D588A"/>
    <w:rsid w:val="004D5890"/>
    <w:rsid w:val="004E04A0"/>
    <w:rsid w:val="004E494E"/>
    <w:rsid w:val="004E5CE6"/>
    <w:rsid w:val="004F0049"/>
    <w:rsid w:val="004F42FC"/>
    <w:rsid w:val="004F4BEB"/>
    <w:rsid w:val="004F586D"/>
    <w:rsid w:val="004F6D56"/>
    <w:rsid w:val="004F72FB"/>
    <w:rsid w:val="00500A65"/>
    <w:rsid w:val="0050273C"/>
    <w:rsid w:val="005035A8"/>
    <w:rsid w:val="00503D9B"/>
    <w:rsid w:val="00504812"/>
    <w:rsid w:val="005072BC"/>
    <w:rsid w:val="005077DE"/>
    <w:rsid w:val="00507F10"/>
    <w:rsid w:val="00510588"/>
    <w:rsid w:val="00514995"/>
    <w:rsid w:val="00514C90"/>
    <w:rsid w:val="00515F4D"/>
    <w:rsid w:val="0051785F"/>
    <w:rsid w:val="005204E8"/>
    <w:rsid w:val="005214EA"/>
    <w:rsid w:val="005235AA"/>
    <w:rsid w:val="0052397A"/>
    <w:rsid w:val="005239A4"/>
    <w:rsid w:val="00526261"/>
    <w:rsid w:val="00526B2E"/>
    <w:rsid w:val="00526FAE"/>
    <w:rsid w:val="0053483E"/>
    <w:rsid w:val="00534E5F"/>
    <w:rsid w:val="005375B9"/>
    <w:rsid w:val="00537DC3"/>
    <w:rsid w:val="0054143E"/>
    <w:rsid w:val="005418F4"/>
    <w:rsid w:val="00542EC9"/>
    <w:rsid w:val="0054375F"/>
    <w:rsid w:val="00544090"/>
    <w:rsid w:val="0054452A"/>
    <w:rsid w:val="00544A57"/>
    <w:rsid w:val="00544B16"/>
    <w:rsid w:val="00550083"/>
    <w:rsid w:val="00552B49"/>
    <w:rsid w:val="005539D6"/>
    <w:rsid w:val="005542F6"/>
    <w:rsid w:val="00560224"/>
    <w:rsid w:val="0056088A"/>
    <w:rsid w:val="0056285E"/>
    <w:rsid w:val="00562C26"/>
    <w:rsid w:val="00563B47"/>
    <w:rsid w:val="0056423C"/>
    <w:rsid w:val="00571000"/>
    <w:rsid w:val="00571C29"/>
    <w:rsid w:val="00575074"/>
    <w:rsid w:val="00584255"/>
    <w:rsid w:val="00584F5F"/>
    <w:rsid w:val="005927C1"/>
    <w:rsid w:val="005943E6"/>
    <w:rsid w:val="00594DEE"/>
    <w:rsid w:val="00597AF2"/>
    <w:rsid w:val="005A00EE"/>
    <w:rsid w:val="005A09F6"/>
    <w:rsid w:val="005A14CA"/>
    <w:rsid w:val="005A25BA"/>
    <w:rsid w:val="005A2F72"/>
    <w:rsid w:val="005A4590"/>
    <w:rsid w:val="005A469A"/>
    <w:rsid w:val="005A494B"/>
    <w:rsid w:val="005A61AC"/>
    <w:rsid w:val="005B4AD3"/>
    <w:rsid w:val="005B6CD1"/>
    <w:rsid w:val="005B7150"/>
    <w:rsid w:val="005C068C"/>
    <w:rsid w:val="005C1B6F"/>
    <w:rsid w:val="005C1CB4"/>
    <w:rsid w:val="005C22E7"/>
    <w:rsid w:val="005C2DDB"/>
    <w:rsid w:val="005C5EC5"/>
    <w:rsid w:val="005D0BE0"/>
    <w:rsid w:val="005D136B"/>
    <w:rsid w:val="005D13F5"/>
    <w:rsid w:val="005D15BD"/>
    <w:rsid w:val="005D610D"/>
    <w:rsid w:val="005E01AE"/>
    <w:rsid w:val="005E1188"/>
    <w:rsid w:val="005E26AC"/>
    <w:rsid w:val="005E4BBA"/>
    <w:rsid w:val="005E67FA"/>
    <w:rsid w:val="005E6DF1"/>
    <w:rsid w:val="005E7CFE"/>
    <w:rsid w:val="005F2030"/>
    <w:rsid w:val="005F3295"/>
    <w:rsid w:val="005F3D16"/>
    <w:rsid w:val="005F75B1"/>
    <w:rsid w:val="005F780B"/>
    <w:rsid w:val="0060301F"/>
    <w:rsid w:val="00606D3D"/>
    <w:rsid w:val="006159E2"/>
    <w:rsid w:val="0061617E"/>
    <w:rsid w:val="00620231"/>
    <w:rsid w:val="006203E8"/>
    <w:rsid w:val="006225D4"/>
    <w:rsid w:val="00622EFB"/>
    <w:rsid w:val="0062470F"/>
    <w:rsid w:val="006248E6"/>
    <w:rsid w:val="0062587F"/>
    <w:rsid w:val="00625B61"/>
    <w:rsid w:val="00626633"/>
    <w:rsid w:val="00633F49"/>
    <w:rsid w:val="006367E3"/>
    <w:rsid w:val="0063709B"/>
    <w:rsid w:val="00637DDA"/>
    <w:rsid w:val="00644082"/>
    <w:rsid w:val="00647BF8"/>
    <w:rsid w:val="0065003A"/>
    <w:rsid w:val="00656701"/>
    <w:rsid w:val="00656753"/>
    <w:rsid w:val="00657D98"/>
    <w:rsid w:val="00657F93"/>
    <w:rsid w:val="00661297"/>
    <w:rsid w:val="00663F03"/>
    <w:rsid w:val="00667EF0"/>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A76E6"/>
    <w:rsid w:val="006B095A"/>
    <w:rsid w:val="006B3515"/>
    <w:rsid w:val="006B656A"/>
    <w:rsid w:val="006C4483"/>
    <w:rsid w:val="006C4FB1"/>
    <w:rsid w:val="006C523F"/>
    <w:rsid w:val="006C642C"/>
    <w:rsid w:val="006D04CF"/>
    <w:rsid w:val="006D3572"/>
    <w:rsid w:val="006D3C14"/>
    <w:rsid w:val="006D4637"/>
    <w:rsid w:val="006D5390"/>
    <w:rsid w:val="006D609F"/>
    <w:rsid w:val="006D7A3A"/>
    <w:rsid w:val="006E05CD"/>
    <w:rsid w:val="006E1594"/>
    <w:rsid w:val="006E2139"/>
    <w:rsid w:val="006E31A4"/>
    <w:rsid w:val="006E48DE"/>
    <w:rsid w:val="006E6CA3"/>
    <w:rsid w:val="006F1C44"/>
    <w:rsid w:val="006F1EEE"/>
    <w:rsid w:val="006F1F9C"/>
    <w:rsid w:val="006F3F02"/>
    <w:rsid w:val="006F402B"/>
    <w:rsid w:val="006F5051"/>
    <w:rsid w:val="006F6FE7"/>
    <w:rsid w:val="006F7142"/>
    <w:rsid w:val="00700DF8"/>
    <w:rsid w:val="00700FF9"/>
    <w:rsid w:val="007023AD"/>
    <w:rsid w:val="00702433"/>
    <w:rsid w:val="00704643"/>
    <w:rsid w:val="00704813"/>
    <w:rsid w:val="00704FE8"/>
    <w:rsid w:val="0070560B"/>
    <w:rsid w:val="007060F8"/>
    <w:rsid w:val="00706AA9"/>
    <w:rsid w:val="00706B5F"/>
    <w:rsid w:val="00707738"/>
    <w:rsid w:val="00710360"/>
    <w:rsid w:val="00710682"/>
    <w:rsid w:val="0071268A"/>
    <w:rsid w:val="007130B0"/>
    <w:rsid w:val="00714637"/>
    <w:rsid w:val="00714D3E"/>
    <w:rsid w:val="0071508A"/>
    <w:rsid w:val="00722336"/>
    <w:rsid w:val="00724DAA"/>
    <w:rsid w:val="00726DD9"/>
    <w:rsid w:val="00731245"/>
    <w:rsid w:val="007317EE"/>
    <w:rsid w:val="00733747"/>
    <w:rsid w:val="00733B83"/>
    <w:rsid w:val="00734930"/>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928"/>
    <w:rsid w:val="00756F09"/>
    <w:rsid w:val="00757681"/>
    <w:rsid w:val="00757E92"/>
    <w:rsid w:val="0076021C"/>
    <w:rsid w:val="00760D5A"/>
    <w:rsid w:val="0076163D"/>
    <w:rsid w:val="00762B89"/>
    <w:rsid w:val="00764085"/>
    <w:rsid w:val="00764909"/>
    <w:rsid w:val="00764FC7"/>
    <w:rsid w:val="00767FAE"/>
    <w:rsid w:val="0077619B"/>
    <w:rsid w:val="00776B13"/>
    <w:rsid w:val="00777F6A"/>
    <w:rsid w:val="0078616F"/>
    <w:rsid w:val="0079065E"/>
    <w:rsid w:val="0079312C"/>
    <w:rsid w:val="00793868"/>
    <w:rsid w:val="007976F0"/>
    <w:rsid w:val="007A09F7"/>
    <w:rsid w:val="007A1D4E"/>
    <w:rsid w:val="007A4026"/>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444F"/>
    <w:rsid w:val="00804AE1"/>
    <w:rsid w:val="008057FF"/>
    <w:rsid w:val="00807C0E"/>
    <w:rsid w:val="00811675"/>
    <w:rsid w:val="00812D47"/>
    <w:rsid w:val="008171AA"/>
    <w:rsid w:val="0082073B"/>
    <w:rsid w:val="00820893"/>
    <w:rsid w:val="00820FB0"/>
    <w:rsid w:val="0082404D"/>
    <w:rsid w:val="00825B34"/>
    <w:rsid w:val="00825EE5"/>
    <w:rsid w:val="00831CD3"/>
    <w:rsid w:val="00832FBD"/>
    <w:rsid w:val="00833CF1"/>
    <w:rsid w:val="00835875"/>
    <w:rsid w:val="008409D8"/>
    <w:rsid w:val="00841231"/>
    <w:rsid w:val="00841C9C"/>
    <w:rsid w:val="00844083"/>
    <w:rsid w:val="00850751"/>
    <w:rsid w:val="00852C6B"/>
    <w:rsid w:val="00853E06"/>
    <w:rsid w:val="00855F28"/>
    <w:rsid w:val="00856495"/>
    <w:rsid w:val="008569CD"/>
    <w:rsid w:val="00863A22"/>
    <w:rsid w:val="00865338"/>
    <w:rsid w:val="008719FE"/>
    <w:rsid w:val="008734C8"/>
    <w:rsid w:val="00875837"/>
    <w:rsid w:val="00875FB6"/>
    <w:rsid w:val="008836D6"/>
    <w:rsid w:val="00883EB8"/>
    <w:rsid w:val="00885362"/>
    <w:rsid w:val="0088596C"/>
    <w:rsid w:val="0088693B"/>
    <w:rsid w:val="00893170"/>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D7016"/>
    <w:rsid w:val="008D7FE6"/>
    <w:rsid w:val="008E38F0"/>
    <w:rsid w:val="008E3D4B"/>
    <w:rsid w:val="008E6AC7"/>
    <w:rsid w:val="008E70C8"/>
    <w:rsid w:val="008F031E"/>
    <w:rsid w:val="008F034A"/>
    <w:rsid w:val="008F1040"/>
    <w:rsid w:val="008F1D85"/>
    <w:rsid w:val="008F21C4"/>
    <w:rsid w:val="008F4472"/>
    <w:rsid w:val="008F6E6F"/>
    <w:rsid w:val="00900567"/>
    <w:rsid w:val="009011C8"/>
    <w:rsid w:val="0090216D"/>
    <w:rsid w:val="00904222"/>
    <w:rsid w:val="009059A0"/>
    <w:rsid w:val="00905E44"/>
    <w:rsid w:val="00912242"/>
    <w:rsid w:val="0091244E"/>
    <w:rsid w:val="00912C21"/>
    <w:rsid w:val="009139A3"/>
    <w:rsid w:val="0091430E"/>
    <w:rsid w:val="00914500"/>
    <w:rsid w:val="00915AB2"/>
    <w:rsid w:val="00915B9C"/>
    <w:rsid w:val="00917A79"/>
    <w:rsid w:val="009206BA"/>
    <w:rsid w:val="00923DDC"/>
    <w:rsid w:val="00924ADE"/>
    <w:rsid w:val="009256F5"/>
    <w:rsid w:val="00925DDA"/>
    <w:rsid w:val="00926FED"/>
    <w:rsid w:val="0093007F"/>
    <w:rsid w:val="00936132"/>
    <w:rsid w:val="00937307"/>
    <w:rsid w:val="0093779B"/>
    <w:rsid w:val="0094111F"/>
    <w:rsid w:val="009424AD"/>
    <w:rsid w:val="0095140E"/>
    <w:rsid w:val="009525E3"/>
    <w:rsid w:val="00953101"/>
    <w:rsid w:val="00953164"/>
    <w:rsid w:val="0095451A"/>
    <w:rsid w:val="00954FFB"/>
    <w:rsid w:val="009550B2"/>
    <w:rsid w:val="00955632"/>
    <w:rsid w:val="00955C5B"/>
    <w:rsid w:val="00956D37"/>
    <w:rsid w:val="00957F57"/>
    <w:rsid w:val="009604A0"/>
    <w:rsid w:val="00962745"/>
    <w:rsid w:val="00962CF5"/>
    <w:rsid w:val="00965447"/>
    <w:rsid w:val="009656F8"/>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27B6"/>
    <w:rsid w:val="009B31FD"/>
    <w:rsid w:val="009B37E5"/>
    <w:rsid w:val="009B4F2A"/>
    <w:rsid w:val="009B6E02"/>
    <w:rsid w:val="009B7ABE"/>
    <w:rsid w:val="009C08AC"/>
    <w:rsid w:val="009C0C3E"/>
    <w:rsid w:val="009C41BB"/>
    <w:rsid w:val="009C50B0"/>
    <w:rsid w:val="009D2418"/>
    <w:rsid w:val="009D47B6"/>
    <w:rsid w:val="009D48A7"/>
    <w:rsid w:val="009D5692"/>
    <w:rsid w:val="009E545A"/>
    <w:rsid w:val="009E5A77"/>
    <w:rsid w:val="009E7CF6"/>
    <w:rsid w:val="009F0CD6"/>
    <w:rsid w:val="009F1DFD"/>
    <w:rsid w:val="009F3D64"/>
    <w:rsid w:val="009F4FA5"/>
    <w:rsid w:val="009F5660"/>
    <w:rsid w:val="00A017EB"/>
    <w:rsid w:val="00A02A9C"/>
    <w:rsid w:val="00A05373"/>
    <w:rsid w:val="00A0770D"/>
    <w:rsid w:val="00A115FC"/>
    <w:rsid w:val="00A11D13"/>
    <w:rsid w:val="00A15416"/>
    <w:rsid w:val="00A15B78"/>
    <w:rsid w:val="00A15F68"/>
    <w:rsid w:val="00A17913"/>
    <w:rsid w:val="00A17CA5"/>
    <w:rsid w:val="00A20B8C"/>
    <w:rsid w:val="00A2572D"/>
    <w:rsid w:val="00A26050"/>
    <w:rsid w:val="00A27407"/>
    <w:rsid w:val="00A30BDC"/>
    <w:rsid w:val="00A30C51"/>
    <w:rsid w:val="00A35174"/>
    <w:rsid w:val="00A37BEC"/>
    <w:rsid w:val="00A37C84"/>
    <w:rsid w:val="00A403D9"/>
    <w:rsid w:val="00A409B8"/>
    <w:rsid w:val="00A41B8D"/>
    <w:rsid w:val="00A423ED"/>
    <w:rsid w:val="00A43398"/>
    <w:rsid w:val="00A443ED"/>
    <w:rsid w:val="00A44D36"/>
    <w:rsid w:val="00A466B1"/>
    <w:rsid w:val="00A509B8"/>
    <w:rsid w:val="00A520DD"/>
    <w:rsid w:val="00A54E20"/>
    <w:rsid w:val="00A62138"/>
    <w:rsid w:val="00A663A8"/>
    <w:rsid w:val="00A70721"/>
    <w:rsid w:val="00A7085A"/>
    <w:rsid w:val="00A70B65"/>
    <w:rsid w:val="00A73E4E"/>
    <w:rsid w:val="00A773FB"/>
    <w:rsid w:val="00A8089C"/>
    <w:rsid w:val="00A80C70"/>
    <w:rsid w:val="00A80FCD"/>
    <w:rsid w:val="00A822CD"/>
    <w:rsid w:val="00A8233A"/>
    <w:rsid w:val="00A8348C"/>
    <w:rsid w:val="00A83ED5"/>
    <w:rsid w:val="00A9023A"/>
    <w:rsid w:val="00A92500"/>
    <w:rsid w:val="00A94E8C"/>
    <w:rsid w:val="00AA1711"/>
    <w:rsid w:val="00AA40EB"/>
    <w:rsid w:val="00AA4DF4"/>
    <w:rsid w:val="00AA5041"/>
    <w:rsid w:val="00AA7786"/>
    <w:rsid w:val="00AB0622"/>
    <w:rsid w:val="00AB1537"/>
    <w:rsid w:val="00AB1FD6"/>
    <w:rsid w:val="00AB4E10"/>
    <w:rsid w:val="00AB676D"/>
    <w:rsid w:val="00AB7DD4"/>
    <w:rsid w:val="00AC3B99"/>
    <w:rsid w:val="00AC4997"/>
    <w:rsid w:val="00AC61DA"/>
    <w:rsid w:val="00AC7251"/>
    <w:rsid w:val="00AC72FD"/>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73F"/>
    <w:rsid w:val="00AF2DF7"/>
    <w:rsid w:val="00AF7348"/>
    <w:rsid w:val="00B00142"/>
    <w:rsid w:val="00B013DD"/>
    <w:rsid w:val="00B023CC"/>
    <w:rsid w:val="00B04229"/>
    <w:rsid w:val="00B0621B"/>
    <w:rsid w:val="00B067E8"/>
    <w:rsid w:val="00B073CC"/>
    <w:rsid w:val="00B11E9D"/>
    <w:rsid w:val="00B14E19"/>
    <w:rsid w:val="00B150DB"/>
    <w:rsid w:val="00B15CE6"/>
    <w:rsid w:val="00B16963"/>
    <w:rsid w:val="00B207BD"/>
    <w:rsid w:val="00B2293E"/>
    <w:rsid w:val="00B2323A"/>
    <w:rsid w:val="00B2344E"/>
    <w:rsid w:val="00B23D6E"/>
    <w:rsid w:val="00B26885"/>
    <w:rsid w:val="00B30507"/>
    <w:rsid w:val="00B31E1B"/>
    <w:rsid w:val="00B329F8"/>
    <w:rsid w:val="00B32FA4"/>
    <w:rsid w:val="00B461DF"/>
    <w:rsid w:val="00B4705A"/>
    <w:rsid w:val="00B51155"/>
    <w:rsid w:val="00B53150"/>
    <w:rsid w:val="00B54016"/>
    <w:rsid w:val="00B55EEB"/>
    <w:rsid w:val="00B60A46"/>
    <w:rsid w:val="00B63E25"/>
    <w:rsid w:val="00B66A6F"/>
    <w:rsid w:val="00B7655E"/>
    <w:rsid w:val="00B767FA"/>
    <w:rsid w:val="00B80B73"/>
    <w:rsid w:val="00B847FA"/>
    <w:rsid w:val="00B84847"/>
    <w:rsid w:val="00B9019E"/>
    <w:rsid w:val="00B91640"/>
    <w:rsid w:val="00B93E4A"/>
    <w:rsid w:val="00B95F6B"/>
    <w:rsid w:val="00B9720A"/>
    <w:rsid w:val="00BA02A0"/>
    <w:rsid w:val="00BA0488"/>
    <w:rsid w:val="00BA33B9"/>
    <w:rsid w:val="00BA3D80"/>
    <w:rsid w:val="00BA468A"/>
    <w:rsid w:val="00BA60BB"/>
    <w:rsid w:val="00BA6DDB"/>
    <w:rsid w:val="00BA7C59"/>
    <w:rsid w:val="00BB19BC"/>
    <w:rsid w:val="00BB1BBB"/>
    <w:rsid w:val="00BB250D"/>
    <w:rsid w:val="00BB2C9E"/>
    <w:rsid w:val="00BB3433"/>
    <w:rsid w:val="00BB34AA"/>
    <w:rsid w:val="00BB6547"/>
    <w:rsid w:val="00BB70C1"/>
    <w:rsid w:val="00BB751F"/>
    <w:rsid w:val="00BC0168"/>
    <w:rsid w:val="00BC3352"/>
    <w:rsid w:val="00BC678A"/>
    <w:rsid w:val="00BC7AE8"/>
    <w:rsid w:val="00BC7FEF"/>
    <w:rsid w:val="00BD0636"/>
    <w:rsid w:val="00BD1C7B"/>
    <w:rsid w:val="00BD57D2"/>
    <w:rsid w:val="00BD6737"/>
    <w:rsid w:val="00BD7ECE"/>
    <w:rsid w:val="00BE3997"/>
    <w:rsid w:val="00BE4416"/>
    <w:rsid w:val="00BE5499"/>
    <w:rsid w:val="00BE5623"/>
    <w:rsid w:val="00BE66C4"/>
    <w:rsid w:val="00BE6794"/>
    <w:rsid w:val="00BE6AB9"/>
    <w:rsid w:val="00BE79CD"/>
    <w:rsid w:val="00BF1308"/>
    <w:rsid w:val="00BF4812"/>
    <w:rsid w:val="00BF4A3D"/>
    <w:rsid w:val="00BF5BCA"/>
    <w:rsid w:val="00C036D3"/>
    <w:rsid w:val="00C03E79"/>
    <w:rsid w:val="00C0564A"/>
    <w:rsid w:val="00C11311"/>
    <w:rsid w:val="00C11339"/>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6F86"/>
    <w:rsid w:val="00C47814"/>
    <w:rsid w:val="00C502B6"/>
    <w:rsid w:val="00C52105"/>
    <w:rsid w:val="00C52159"/>
    <w:rsid w:val="00C536C6"/>
    <w:rsid w:val="00C541D8"/>
    <w:rsid w:val="00C578D1"/>
    <w:rsid w:val="00C57ADF"/>
    <w:rsid w:val="00C6132C"/>
    <w:rsid w:val="00C62050"/>
    <w:rsid w:val="00C6225F"/>
    <w:rsid w:val="00C67260"/>
    <w:rsid w:val="00C702A7"/>
    <w:rsid w:val="00C70884"/>
    <w:rsid w:val="00C728F3"/>
    <w:rsid w:val="00C733E6"/>
    <w:rsid w:val="00C767F9"/>
    <w:rsid w:val="00C80A49"/>
    <w:rsid w:val="00C8199E"/>
    <w:rsid w:val="00C830DE"/>
    <w:rsid w:val="00C84A02"/>
    <w:rsid w:val="00C905FA"/>
    <w:rsid w:val="00C91E56"/>
    <w:rsid w:val="00C926B5"/>
    <w:rsid w:val="00C936AF"/>
    <w:rsid w:val="00C94533"/>
    <w:rsid w:val="00C95666"/>
    <w:rsid w:val="00C95BE9"/>
    <w:rsid w:val="00CA1322"/>
    <w:rsid w:val="00CA2EC0"/>
    <w:rsid w:val="00CA4703"/>
    <w:rsid w:val="00CA5826"/>
    <w:rsid w:val="00CB1755"/>
    <w:rsid w:val="00CB299B"/>
    <w:rsid w:val="00CB4D90"/>
    <w:rsid w:val="00CB5319"/>
    <w:rsid w:val="00CB53B6"/>
    <w:rsid w:val="00CB65B3"/>
    <w:rsid w:val="00CB66DC"/>
    <w:rsid w:val="00CC270C"/>
    <w:rsid w:val="00CC5015"/>
    <w:rsid w:val="00CC63C6"/>
    <w:rsid w:val="00CC740F"/>
    <w:rsid w:val="00CC7C63"/>
    <w:rsid w:val="00CD7391"/>
    <w:rsid w:val="00CE1D94"/>
    <w:rsid w:val="00CE39E2"/>
    <w:rsid w:val="00CE618F"/>
    <w:rsid w:val="00CF0CE5"/>
    <w:rsid w:val="00CF1D8A"/>
    <w:rsid w:val="00CF372A"/>
    <w:rsid w:val="00CF45ED"/>
    <w:rsid w:val="00CF5E18"/>
    <w:rsid w:val="00CF6129"/>
    <w:rsid w:val="00D00BA4"/>
    <w:rsid w:val="00D00F60"/>
    <w:rsid w:val="00D010BF"/>
    <w:rsid w:val="00D01230"/>
    <w:rsid w:val="00D0212E"/>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54843"/>
    <w:rsid w:val="00D601D8"/>
    <w:rsid w:val="00D610DD"/>
    <w:rsid w:val="00D64526"/>
    <w:rsid w:val="00D6662D"/>
    <w:rsid w:val="00D669AC"/>
    <w:rsid w:val="00D671D2"/>
    <w:rsid w:val="00D67246"/>
    <w:rsid w:val="00D711D8"/>
    <w:rsid w:val="00D75CA8"/>
    <w:rsid w:val="00D773A1"/>
    <w:rsid w:val="00D77B76"/>
    <w:rsid w:val="00D81938"/>
    <w:rsid w:val="00D81C73"/>
    <w:rsid w:val="00D82D32"/>
    <w:rsid w:val="00D8367C"/>
    <w:rsid w:val="00D904F8"/>
    <w:rsid w:val="00D90E55"/>
    <w:rsid w:val="00D91440"/>
    <w:rsid w:val="00D92A85"/>
    <w:rsid w:val="00D92EB8"/>
    <w:rsid w:val="00D953C7"/>
    <w:rsid w:val="00DA0134"/>
    <w:rsid w:val="00DA343D"/>
    <w:rsid w:val="00DA461A"/>
    <w:rsid w:val="00DA546B"/>
    <w:rsid w:val="00DA576A"/>
    <w:rsid w:val="00DB2253"/>
    <w:rsid w:val="00DB2D57"/>
    <w:rsid w:val="00DB3CC7"/>
    <w:rsid w:val="00DC0197"/>
    <w:rsid w:val="00DC02F1"/>
    <w:rsid w:val="00DC5E72"/>
    <w:rsid w:val="00DC7BFE"/>
    <w:rsid w:val="00DD1E52"/>
    <w:rsid w:val="00DD4200"/>
    <w:rsid w:val="00DD72E6"/>
    <w:rsid w:val="00DD7F25"/>
    <w:rsid w:val="00DE2362"/>
    <w:rsid w:val="00DE238B"/>
    <w:rsid w:val="00DE49E6"/>
    <w:rsid w:val="00DE6C37"/>
    <w:rsid w:val="00DF0566"/>
    <w:rsid w:val="00DF3E01"/>
    <w:rsid w:val="00DF4F4B"/>
    <w:rsid w:val="00DF6920"/>
    <w:rsid w:val="00E00516"/>
    <w:rsid w:val="00E02A2C"/>
    <w:rsid w:val="00E043A2"/>
    <w:rsid w:val="00E05480"/>
    <w:rsid w:val="00E06CEF"/>
    <w:rsid w:val="00E1024B"/>
    <w:rsid w:val="00E14891"/>
    <w:rsid w:val="00E1594D"/>
    <w:rsid w:val="00E16240"/>
    <w:rsid w:val="00E21DAF"/>
    <w:rsid w:val="00E22CDC"/>
    <w:rsid w:val="00E23ADF"/>
    <w:rsid w:val="00E25B0B"/>
    <w:rsid w:val="00E31454"/>
    <w:rsid w:val="00E33074"/>
    <w:rsid w:val="00E33D90"/>
    <w:rsid w:val="00E34B27"/>
    <w:rsid w:val="00E3533D"/>
    <w:rsid w:val="00E4033D"/>
    <w:rsid w:val="00E4289F"/>
    <w:rsid w:val="00E429F2"/>
    <w:rsid w:val="00E451FD"/>
    <w:rsid w:val="00E459A3"/>
    <w:rsid w:val="00E460F9"/>
    <w:rsid w:val="00E47651"/>
    <w:rsid w:val="00E50375"/>
    <w:rsid w:val="00E50CA5"/>
    <w:rsid w:val="00E50CB4"/>
    <w:rsid w:val="00E54F56"/>
    <w:rsid w:val="00E55896"/>
    <w:rsid w:val="00E57C4C"/>
    <w:rsid w:val="00E57E3F"/>
    <w:rsid w:val="00E602AE"/>
    <w:rsid w:val="00E61536"/>
    <w:rsid w:val="00E62551"/>
    <w:rsid w:val="00E65663"/>
    <w:rsid w:val="00E65C88"/>
    <w:rsid w:val="00E679A9"/>
    <w:rsid w:val="00E72AA1"/>
    <w:rsid w:val="00E7310B"/>
    <w:rsid w:val="00E73DB9"/>
    <w:rsid w:val="00E827EB"/>
    <w:rsid w:val="00E82F67"/>
    <w:rsid w:val="00E84BB2"/>
    <w:rsid w:val="00E860A6"/>
    <w:rsid w:val="00E87D26"/>
    <w:rsid w:val="00E90515"/>
    <w:rsid w:val="00E9189B"/>
    <w:rsid w:val="00E91A26"/>
    <w:rsid w:val="00E94684"/>
    <w:rsid w:val="00E95285"/>
    <w:rsid w:val="00E95AC9"/>
    <w:rsid w:val="00E972E1"/>
    <w:rsid w:val="00EA1644"/>
    <w:rsid w:val="00EA372E"/>
    <w:rsid w:val="00EA5D88"/>
    <w:rsid w:val="00EA615B"/>
    <w:rsid w:val="00EA7761"/>
    <w:rsid w:val="00EB0062"/>
    <w:rsid w:val="00EB2880"/>
    <w:rsid w:val="00EB3981"/>
    <w:rsid w:val="00EB4721"/>
    <w:rsid w:val="00EB6F0F"/>
    <w:rsid w:val="00EC1ED4"/>
    <w:rsid w:val="00EC432D"/>
    <w:rsid w:val="00EC5699"/>
    <w:rsid w:val="00EC606B"/>
    <w:rsid w:val="00ED10B6"/>
    <w:rsid w:val="00ED36BD"/>
    <w:rsid w:val="00EE1EEC"/>
    <w:rsid w:val="00EE4410"/>
    <w:rsid w:val="00EE5FCA"/>
    <w:rsid w:val="00EE6889"/>
    <w:rsid w:val="00EF0D95"/>
    <w:rsid w:val="00EF1CB9"/>
    <w:rsid w:val="00EF3BCF"/>
    <w:rsid w:val="00EF524C"/>
    <w:rsid w:val="00EF5255"/>
    <w:rsid w:val="00EF55D4"/>
    <w:rsid w:val="00EF5C94"/>
    <w:rsid w:val="00EF5D6A"/>
    <w:rsid w:val="00F001CD"/>
    <w:rsid w:val="00F00963"/>
    <w:rsid w:val="00F0225F"/>
    <w:rsid w:val="00F02D78"/>
    <w:rsid w:val="00F02F98"/>
    <w:rsid w:val="00F03390"/>
    <w:rsid w:val="00F062B1"/>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36DE2"/>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578"/>
    <w:rsid w:val="00F90DA1"/>
    <w:rsid w:val="00F91BA1"/>
    <w:rsid w:val="00F92AE2"/>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1065"/>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7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07738"/>
  </w:style>
  <w:style w:type="paragraph" w:styleId="Fuzeile">
    <w:name w:val="footer"/>
    <w:basedOn w:val="Standard"/>
    <w:link w:val="FuzeileZchn"/>
    <w:uiPriority w:val="99"/>
    <w:unhideWhenUsed/>
    <w:rsid w:val="0070773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07738"/>
  </w:style>
  <w:style w:type="paragraph" w:styleId="Sprechblasentext">
    <w:name w:val="Balloon Text"/>
    <w:basedOn w:val="Standard"/>
    <w:link w:val="SprechblasentextZchn"/>
    <w:uiPriority w:val="99"/>
    <w:semiHidden/>
    <w:unhideWhenUsed/>
    <w:rsid w:val="007077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738"/>
    <w:rPr>
      <w:rFonts w:ascii="Tahoma" w:hAnsi="Tahoma" w:cs="Tahoma"/>
      <w:sz w:val="16"/>
      <w:szCs w:val="16"/>
    </w:rPr>
  </w:style>
  <w:style w:type="table" w:styleId="Tabellenraster">
    <w:name w:val="Table Grid"/>
    <w:basedOn w:val="NormaleTabelle"/>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61F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1F7C"/>
    <w:rPr>
      <w:sz w:val="20"/>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basedOn w:val="Absatz-Standardschriftar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nabsatz">
    <w:name w:val="List Paragraph"/>
    <w:aliases w:val="Paragraphe EI,Paragraphe de liste1,EC,List Paragraph_Sections,Dot pt,List Paragraph1,Colorful List - Accent 11,No Spacing1,List Paragraph Char Char Char,Indicator Text,Numbered Para 1,Bullet 1,F5 List Paragraph,Bullet Points,OBC Bullet,3"/>
    <w:basedOn w:val="Standard"/>
    <w:link w:val="ListenabsatzZchn"/>
    <w:uiPriority w:val="34"/>
    <w:qFormat/>
    <w:rsid w:val="008057FF"/>
    <w:pPr>
      <w:ind w:left="720"/>
      <w:contextualSpacing/>
    </w:pPr>
  </w:style>
  <w:style w:type="character" w:styleId="Kommentarzeichen">
    <w:name w:val="annotation reference"/>
    <w:basedOn w:val="Absatz-Standardschriftart"/>
    <w:uiPriority w:val="99"/>
    <w:semiHidden/>
    <w:unhideWhenUsed/>
    <w:rsid w:val="009A3551"/>
    <w:rPr>
      <w:sz w:val="16"/>
      <w:szCs w:val="16"/>
    </w:rPr>
  </w:style>
  <w:style w:type="paragraph" w:styleId="Kommentartext">
    <w:name w:val="annotation text"/>
    <w:basedOn w:val="Standard"/>
    <w:link w:val="KommentartextZchn"/>
    <w:uiPriority w:val="99"/>
    <w:unhideWhenUsed/>
    <w:rsid w:val="009A3551"/>
    <w:pPr>
      <w:spacing w:line="240" w:lineRule="auto"/>
    </w:pPr>
    <w:rPr>
      <w:sz w:val="20"/>
      <w:szCs w:val="20"/>
    </w:rPr>
  </w:style>
  <w:style w:type="character" w:customStyle="1" w:styleId="KommentartextZchn">
    <w:name w:val="Kommentartext Zchn"/>
    <w:basedOn w:val="Absatz-Standardschriftart"/>
    <w:link w:val="Kommentartext"/>
    <w:uiPriority w:val="99"/>
    <w:rsid w:val="009A3551"/>
    <w:rPr>
      <w:sz w:val="20"/>
      <w:szCs w:val="20"/>
    </w:rPr>
  </w:style>
  <w:style w:type="paragraph" w:styleId="Kommentarthema">
    <w:name w:val="annotation subject"/>
    <w:basedOn w:val="Kommentartext"/>
    <w:next w:val="Kommentartext"/>
    <w:link w:val="KommentarthemaZchn"/>
    <w:uiPriority w:val="99"/>
    <w:semiHidden/>
    <w:unhideWhenUsed/>
    <w:rsid w:val="009A3551"/>
    <w:rPr>
      <w:b/>
      <w:bCs/>
    </w:rPr>
  </w:style>
  <w:style w:type="character" w:customStyle="1" w:styleId="KommentarthemaZchn">
    <w:name w:val="Kommentarthema Zchn"/>
    <w:basedOn w:val="KommentartextZchn"/>
    <w:link w:val="Kommentarthema"/>
    <w:uiPriority w:val="99"/>
    <w:semiHidden/>
    <w:rsid w:val="009A3551"/>
    <w:rPr>
      <w:b/>
      <w:bCs/>
      <w:sz w:val="20"/>
      <w:szCs w:val="20"/>
    </w:rPr>
  </w:style>
  <w:style w:type="paragraph" w:styleId="StandardWeb">
    <w:name w:val="Normal (Web)"/>
    <w:basedOn w:val="Standard"/>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nabsatzZchn">
    <w:name w:val="Listenabsatz Zchn"/>
    <w:aliases w:val="Paragraphe EI Zchn,Paragraphe de liste1 Zchn,EC Zchn,List Paragraph_Sections Zchn,Dot pt Zchn,List Paragraph1 Zchn,Colorful List - Accent 11 Zchn,No Spacing1 Zchn,List Paragraph Char Char Char Zchn,Indicator Text Zchn,Bullet 1 Zchn"/>
    <w:basedOn w:val="Absatz-Standardschriftart"/>
    <w:link w:val="Listenabsatz"/>
    <w:uiPriority w:val="34"/>
    <w:qFormat/>
    <w:locked/>
    <w:rsid w:val="00D36E67"/>
  </w:style>
  <w:style w:type="paragraph" w:styleId="Titel">
    <w:name w:val="Title"/>
    <w:basedOn w:val="Standard"/>
    <w:next w:val="Standard"/>
    <w:link w:val="TitelZch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Zchn">
    <w:name w:val="Titel Zchn"/>
    <w:basedOn w:val="Absatz-Standardschriftar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berarbeitung">
    <w:name w:val="Revision"/>
    <w:hidden/>
    <w:uiPriority w:val="99"/>
    <w:semiHidden/>
    <w:rsid w:val="00D1763F"/>
    <w:pPr>
      <w:spacing w:after="0" w:line="240" w:lineRule="auto"/>
    </w:pPr>
  </w:style>
  <w:style w:type="character" w:styleId="BesuchterLink">
    <w:name w:val="FollowedHyperlink"/>
    <w:basedOn w:val="Absatz-Standardschriftart"/>
    <w:uiPriority w:val="99"/>
    <w:semiHidden/>
    <w:unhideWhenUsed/>
    <w:rsid w:val="001275B5"/>
    <w:rPr>
      <w:color w:val="800080" w:themeColor="followedHyperlink"/>
      <w:u w:val="single"/>
    </w:rPr>
  </w:style>
  <w:style w:type="paragraph" w:customStyle="1" w:styleId="Letterhead">
    <w:name w:val="Letterhead"/>
    <w:basedOn w:val="Standard"/>
    <w:link w:val="LetterheadChar"/>
    <w:qFormat/>
    <w:rsid w:val="0079065E"/>
    <w:pPr>
      <w:spacing w:after="0"/>
      <w:jc w:val="right"/>
    </w:pPr>
    <w:rPr>
      <w:rFonts w:eastAsiaTheme="minorEastAsia"/>
      <w:b/>
      <w:szCs w:val="20"/>
    </w:rPr>
  </w:style>
  <w:style w:type="character" w:customStyle="1" w:styleId="LetterheadChar">
    <w:name w:val="Letterhead Char"/>
    <w:basedOn w:val="Absatz-Standardschriftar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Absatz-Standardschriftart"/>
    <w:uiPriority w:val="1"/>
    <w:qFormat/>
    <w:rsid w:val="005418F4"/>
    <w:rPr>
      <w:b w:val="0"/>
      <w:bCs/>
      <w:caps/>
      <w:smallCaps w:val="0"/>
      <w:color w:val="1F497D" w:themeColor="text2"/>
      <w:sz w:val="22"/>
    </w:rPr>
  </w:style>
  <w:style w:type="paragraph" w:customStyle="1" w:styleId="HeaderFoot">
    <w:name w:val="HeaderFoot"/>
    <w:basedOn w:val="Standard"/>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Absatz-Standardschriftart"/>
    <w:link w:val="HeaderFoot"/>
    <w:rsid w:val="005418F4"/>
    <w:rPr>
      <w:rFonts w:ascii="Arial" w:eastAsiaTheme="minorEastAsia" w:hAnsi="Arial" w:cs="Arial"/>
      <w:color w:val="001B4F"/>
      <w:sz w:val="16"/>
      <w:szCs w:val="16"/>
    </w:rPr>
  </w:style>
  <w:style w:type="character" w:styleId="NichtaufgelsteErwhnung">
    <w:name w:val="Unresolved Mention"/>
    <w:basedOn w:val="Absatz-Standardschriftart"/>
    <w:uiPriority w:val="99"/>
    <w:semiHidden/>
    <w:unhideWhenUsed/>
    <w:rsid w:val="00905E44"/>
    <w:rPr>
      <w:color w:val="605E5C"/>
      <w:shd w:val="clear" w:color="auto" w:fill="E1DFDD"/>
    </w:rPr>
  </w:style>
  <w:style w:type="paragraph" w:customStyle="1" w:styleId="Questionstyle">
    <w:name w:val="Question style"/>
    <w:basedOn w:val="Standard"/>
    <w:next w:val="Standard"/>
    <w:link w:val="QuestionstyleChar"/>
    <w:autoRedefine/>
    <w:qFormat/>
    <w:rsid w:val="006D04CF"/>
    <w:pPr>
      <w:numPr>
        <w:numId w:val="38"/>
      </w:numPr>
      <w:spacing w:after="250"/>
      <w:contextualSpacing/>
      <w:jc w:val="both"/>
    </w:pPr>
    <w:rPr>
      <w:rFonts w:ascii="Arial" w:eastAsiaTheme="minorEastAsia" w:hAnsi="Arial" w:cs="Arial"/>
      <w:b/>
      <w:lang w:val="en-US"/>
    </w:rPr>
  </w:style>
  <w:style w:type="character" w:customStyle="1" w:styleId="QuestionstyleChar">
    <w:name w:val="Question style Char"/>
    <w:basedOn w:val="Absatz-Standardschriftart"/>
    <w:link w:val="Questionstyle"/>
    <w:rsid w:val="006D04CF"/>
    <w:rPr>
      <w:rFonts w:ascii="Arial" w:eastAsiaTheme="minorEastAsia" w:hAnsi="Arial" w:cs="Arial"/>
      <w:b/>
      <w:lang w:val="en-US"/>
    </w:rPr>
  </w:style>
  <w:style w:type="paragraph" w:customStyle="1" w:styleId="02Date">
    <w:name w:val="02_Date"/>
    <w:basedOn w:val="Standard"/>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83124327">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22802746">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46918113">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54974502">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30619289">
      <w:bodyDiv w:val="1"/>
      <w:marLeft w:val="0"/>
      <w:marRight w:val="0"/>
      <w:marTop w:val="0"/>
      <w:marBottom w:val="0"/>
      <w:divBdr>
        <w:top w:val="none" w:sz="0" w:space="0" w:color="auto"/>
        <w:left w:val="none" w:sz="0" w:space="0" w:color="auto"/>
        <w:bottom w:val="none" w:sz="0" w:space="0" w:color="auto"/>
        <w:right w:val="none" w:sz="0" w:space="0" w:color="auto"/>
      </w:divBdr>
    </w:div>
    <w:div w:id="747463329">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62543082">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054818371">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44236019">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2091881">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39985119">
      <w:bodyDiv w:val="1"/>
      <w:marLeft w:val="0"/>
      <w:marRight w:val="0"/>
      <w:marTop w:val="0"/>
      <w:marBottom w:val="0"/>
      <w:divBdr>
        <w:top w:val="none" w:sz="0" w:space="0" w:color="auto"/>
        <w:left w:val="none" w:sz="0" w:space="0" w:color="auto"/>
        <w:bottom w:val="none" w:sz="0" w:space="0" w:color="auto"/>
        <w:right w:val="none" w:sz="0" w:space="0" w:color="auto"/>
      </w:divBdr>
    </w:div>
    <w:div w:id="1796679965">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065446263">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1767340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2b84acb-83d1-4581-a387-26d316f05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E897ADA2BA3E4B9127E7D7C7543A01" ma:contentTypeVersion="14" ma:contentTypeDescription="Ein neues Dokument erstellen." ma:contentTypeScope="" ma:versionID="b2b3a1f60c026e1319bfd379d48f3d23">
  <xsd:schema xmlns:xsd="http://www.w3.org/2001/XMLSchema" xmlns:xs="http://www.w3.org/2001/XMLSchema" xmlns:p="http://schemas.microsoft.com/office/2006/metadata/properties" xmlns:ns3="32b84acb-83d1-4581-a387-26d316f05392" xmlns:ns4="cc7e8c83-af32-4b31-8982-3cad3a375fc6" targetNamespace="http://schemas.microsoft.com/office/2006/metadata/properties" ma:root="true" ma:fieldsID="c3f973bf439296156717baae33bbf927" ns3:_="" ns4:_="">
    <xsd:import namespace="32b84acb-83d1-4581-a387-26d316f05392"/>
    <xsd:import namespace="cc7e8c83-af32-4b31-8982-3cad3a375f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84acb-83d1-4581-a387-26d316f0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e8c83-af32-4b31-8982-3cad3a375fc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298AAAF1-38A1-4F65-AD56-B9BB84E005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7e8c83-af32-4b31-8982-3cad3a375fc6"/>
    <ds:schemaRef ds:uri="32b84acb-83d1-4581-a387-26d316f05392"/>
    <ds:schemaRef ds:uri="http://www.w3.org/XML/1998/namespace"/>
    <ds:schemaRef ds:uri="http://purl.org/dc/dcmitype/"/>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B4830B9E-A313-466A-9E0A-3ED20EAAB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84acb-83d1-4581-a387-26d316f05392"/>
    <ds:schemaRef ds:uri="cc7e8c83-af32-4b31-8982-3cad3a375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18</Pages>
  <Words>3933</Words>
  <Characters>24779</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Coenen</cp:lastModifiedBy>
  <cp:revision>4</cp:revision>
  <cp:lastPrinted>2022-02-14T13:26:00Z</cp:lastPrinted>
  <dcterms:created xsi:type="dcterms:W3CDTF">2023-07-03T07:22:00Z</dcterms:created>
  <dcterms:modified xsi:type="dcterms:W3CDTF">2023-07-03T07:33:00Z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0x01010063E897ADA2BA3E4B9127E7D7C7543A01</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