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42D533E1" w:rsidR="005418F4" w:rsidRPr="005418F4" w:rsidRDefault="00707280" w:rsidP="005418F4">
                <w:pPr>
                  <w:spacing w:after="250"/>
                  <w:rPr>
                    <w:rFonts w:ascii="Arial" w:eastAsiaTheme="minorEastAsia" w:hAnsi="Arial" w:cs="Arial"/>
                    <w:color w:val="808080"/>
                    <w:szCs w:val="20"/>
                  </w:rPr>
                </w:pPr>
                <w:r>
                  <w:rPr>
                    <w:rFonts w:ascii="Arial" w:eastAsiaTheme="minorEastAsia" w:hAnsi="Arial" w:cs="Arial"/>
                    <w:color w:val="808080"/>
                    <w:szCs w:val="20"/>
                  </w:rPr>
                  <w:t>Finance Denmark</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B261776" w:rsidR="005418F4" w:rsidRPr="005418F4" w:rsidRDefault="00FE7CFE"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A49FB">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5A8419B9" w:rsidR="005418F4" w:rsidRPr="005418F4" w:rsidRDefault="00707280"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12781BD2" w:rsidR="005418F4" w:rsidRPr="005418F4" w:rsidRDefault="00707280"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Denmark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1AC629A8" w14:textId="3292916B" w:rsidR="00A82A70" w:rsidRPr="005D60AB" w:rsidRDefault="00A82A70" w:rsidP="00A82A70">
      <w:pPr>
        <w:rPr>
          <w:i/>
          <w:iCs/>
          <w:lang w:val="en-US"/>
        </w:rPr>
      </w:pPr>
      <w:r w:rsidRPr="005D60AB">
        <w:rPr>
          <w:i/>
          <w:iCs/>
          <w:lang w:val="en-US"/>
        </w:rPr>
        <w:t>We recognize and appreciate the effort from the ESAs to align PAIs with mandatory ESRS indicators to be reported under CSRD.  This will greatly help implementation and most importantly reporting on these indicators. However, while the ESA</w:t>
      </w:r>
      <w:r>
        <w:rPr>
          <w:i/>
          <w:iCs/>
          <w:lang w:val="en-US"/>
        </w:rPr>
        <w:t>s</w:t>
      </w:r>
      <w:r w:rsidRPr="005D60AB">
        <w:rPr>
          <w:i/>
          <w:iCs/>
          <w:lang w:val="en-US"/>
        </w:rPr>
        <w:t>’ proposal assumes</w:t>
      </w:r>
      <w:r>
        <w:rPr>
          <w:i/>
          <w:iCs/>
          <w:lang w:val="en-US"/>
        </w:rPr>
        <w:t xml:space="preserve"> that</w:t>
      </w:r>
      <w:r w:rsidRPr="005D60AB">
        <w:rPr>
          <w:i/>
          <w:iCs/>
          <w:lang w:val="en-US"/>
        </w:rPr>
        <w:t xml:space="preserve"> ESRS indicators will be mandatory reportable items under CSRD, we note that there is discussion </w:t>
      </w:r>
      <w:r>
        <w:rPr>
          <w:i/>
          <w:iCs/>
          <w:lang w:val="en-US"/>
        </w:rPr>
        <w:t>in the</w:t>
      </w:r>
      <w:r w:rsidRPr="005D60AB">
        <w:rPr>
          <w:i/>
          <w:iCs/>
          <w:lang w:val="en-US"/>
        </w:rPr>
        <w:t xml:space="preserve"> European Commission contemplating not to require mandatory publication of indicators </w:t>
      </w:r>
      <w:r w:rsidRPr="00BE5F88">
        <w:rPr>
          <w:i/>
          <w:iCs/>
          <w:lang w:val="en-US"/>
        </w:rPr>
        <w:t>which</w:t>
      </w:r>
      <w:r w:rsidRPr="005D60AB">
        <w:rPr>
          <w:i/>
          <w:iCs/>
          <w:lang w:val="en-US"/>
        </w:rPr>
        <w:t xml:space="preserve"> should instead be subject to</w:t>
      </w:r>
      <w:r>
        <w:rPr>
          <w:i/>
          <w:iCs/>
          <w:lang w:val="en-US"/>
        </w:rPr>
        <w:t xml:space="preserve"> a</w:t>
      </w:r>
      <w:r w:rsidRPr="005D60AB">
        <w:rPr>
          <w:i/>
          <w:iCs/>
          <w:lang w:val="en-US"/>
        </w:rPr>
        <w:t xml:space="preserve"> materiality assessment and thus not reported. </w:t>
      </w:r>
      <w:r w:rsidRPr="009776E9">
        <w:rPr>
          <w:i/>
          <w:iCs/>
          <w:lang w:val="en-US"/>
        </w:rPr>
        <w:t xml:space="preserve">In line with this, Finance Denmark </w:t>
      </w:r>
      <w:r>
        <w:rPr>
          <w:i/>
          <w:iCs/>
          <w:lang w:val="en-US"/>
        </w:rPr>
        <w:t xml:space="preserve">stresses that it is important to reflect </w:t>
      </w:r>
      <w:r w:rsidRPr="009776E9">
        <w:rPr>
          <w:i/>
          <w:iCs/>
          <w:lang w:val="en-US"/>
        </w:rPr>
        <w:t>any burden reductions in the reporting requirements for companies</w:t>
      </w:r>
      <w:r>
        <w:rPr>
          <w:i/>
          <w:iCs/>
          <w:lang w:val="en-US"/>
        </w:rPr>
        <w:t xml:space="preserve"> </w:t>
      </w:r>
      <w:r w:rsidRPr="009776E9">
        <w:rPr>
          <w:i/>
          <w:iCs/>
          <w:lang w:val="en-US"/>
        </w:rPr>
        <w:t>in</w:t>
      </w:r>
      <w:r>
        <w:rPr>
          <w:i/>
          <w:iCs/>
          <w:lang w:val="en-US"/>
        </w:rPr>
        <w:t xml:space="preserve"> the SFDR</w:t>
      </w:r>
      <w:r w:rsidRPr="009776E9">
        <w:rPr>
          <w:i/>
          <w:iCs/>
          <w:lang w:val="en-US"/>
        </w:rPr>
        <w:t xml:space="preserve"> delegated regulation</w:t>
      </w:r>
      <w:r>
        <w:rPr>
          <w:i/>
          <w:iCs/>
          <w:lang w:val="en-US"/>
        </w:rPr>
        <w:t>.</w:t>
      </w:r>
    </w:p>
    <w:p w14:paraId="3F38E43A" w14:textId="77777777" w:rsidR="00A82A70" w:rsidRDefault="00A82A70" w:rsidP="00A82A70">
      <w:pPr>
        <w:jc w:val="both"/>
        <w:rPr>
          <w:i/>
          <w:iCs/>
          <w:lang w:val="en-US"/>
        </w:rPr>
      </w:pPr>
      <w:r w:rsidRPr="005D60AB">
        <w:rPr>
          <w:i/>
          <w:iCs/>
          <w:lang w:val="en-US"/>
        </w:rPr>
        <w:t>At the same time</w:t>
      </w:r>
      <w:r>
        <w:rPr>
          <w:i/>
          <w:iCs/>
          <w:lang w:val="en-US"/>
        </w:rPr>
        <w:t>,</w:t>
      </w:r>
      <w:r w:rsidRPr="005D60AB">
        <w:rPr>
          <w:i/>
          <w:iCs/>
          <w:lang w:val="en-US"/>
        </w:rPr>
        <w:t xml:space="preserve"> it </w:t>
      </w:r>
      <w:r>
        <w:rPr>
          <w:i/>
          <w:iCs/>
          <w:lang w:val="en-US"/>
        </w:rPr>
        <w:t>must</w:t>
      </w:r>
      <w:r w:rsidRPr="005D60AB">
        <w:rPr>
          <w:i/>
          <w:iCs/>
          <w:lang w:val="en-US"/>
        </w:rPr>
        <w:t xml:space="preserve"> be recognized that a large part </w:t>
      </w:r>
      <w:r w:rsidRPr="00BE5F88">
        <w:rPr>
          <w:i/>
          <w:iCs/>
          <w:lang w:val="en-US"/>
        </w:rPr>
        <w:t>of</w:t>
      </w:r>
      <w:r>
        <w:rPr>
          <w:i/>
          <w:iCs/>
          <w:lang w:val="en-US"/>
        </w:rPr>
        <w:t xml:space="preserve"> the</w:t>
      </w:r>
      <w:r w:rsidRPr="00BE5F88">
        <w:rPr>
          <w:i/>
          <w:iCs/>
          <w:lang w:val="en-US"/>
        </w:rPr>
        <w:t xml:space="preserve"> investable</w:t>
      </w:r>
      <w:r w:rsidRPr="005D60AB">
        <w:rPr>
          <w:i/>
          <w:iCs/>
          <w:lang w:val="en-US"/>
        </w:rPr>
        <w:t xml:space="preserve"> universe may not</w:t>
      </w:r>
      <w:r>
        <w:rPr>
          <w:i/>
          <w:iCs/>
          <w:lang w:val="en-US"/>
        </w:rPr>
        <w:t xml:space="preserve"> still</w:t>
      </w:r>
      <w:r w:rsidRPr="005D60AB">
        <w:rPr>
          <w:i/>
          <w:iCs/>
          <w:lang w:val="en-US"/>
        </w:rPr>
        <w:t xml:space="preserve"> be subject to CSRD</w:t>
      </w:r>
      <w:r>
        <w:rPr>
          <w:i/>
          <w:iCs/>
          <w:lang w:val="en-US"/>
        </w:rPr>
        <w:t>, since investments are inherently global</w:t>
      </w:r>
      <w:r w:rsidRPr="005D60AB">
        <w:rPr>
          <w:i/>
          <w:iCs/>
          <w:lang w:val="en-US"/>
        </w:rPr>
        <w:t>. Without clear guidance</w:t>
      </w:r>
      <w:r>
        <w:rPr>
          <w:i/>
          <w:iCs/>
          <w:lang w:val="en-US"/>
        </w:rPr>
        <w:t>,</w:t>
      </w:r>
      <w:r w:rsidRPr="005D60AB">
        <w:rPr>
          <w:i/>
          <w:iCs/>
          <w:lang w:val="en-US"/>
        </w:rPr>
        <w:t xml:space="preserve"> it may be difficult to obtain meaningful data on these new indicators. Especially</w:t>
      </w:r>
      <w:r>
        <w:rPr>
          <w:i/>
          <w:iCs/>
          <w:lang w:val="en-US"/>
        </w:rPr>
        <w:t>,</w:t>
      </w:r>
      <w:r w:rsidRPr="005D60AB">
        <w:rPr>
          <w:i/>
          <w:iCs/>
          <w:lang w:val="en-US"/>
        </w:rPr>
        <w:t xml:space="preserve"> it may be difficult to retrieve data for non-CSRD investments because investments with a social objective are often linked to investments in developing countries – </w:t>
      </w:r>
      <w:proofErr w:type="gramStart"/>
      <w:r w:rsidRPr="005D60AB">
        <w:rPr>
          <w:i/>
          <w:iCs/>
          <w:lang w:val="en-US"/>
        </w:rPr>
        <w:t>e.g.</w:t>
      </w:r>
      <w:proofErr w:type="gramEnd"/>
      <w:r w:rsidRPr="005D60AB">
        <w:rPr>
          <w:i/>
          <w:iCs/>
          <w:lang w:val="en-US"/>
        </w:rPr>
        <w:t xml:space="preserve"> microcredit initiatives – and therefore are likely to be non-CSRD.</w:t>
      </w:r>
      <w:r w:rsidRPr="003564C9">
        <w:rPr>
          <w:i/>
          <w:iCs/>
          <w:lang w:val="en-US"/>
        </w:rPr>
        <w:t xml:space="preserve"> </w:t>
      </w:r>
      <w:r>
        <w:rPr>
          <w:i/>
          <w:iCs/>
          <w:lang w:val="en-US"/>
        </w:rPr>
        <w:t xml:space="preserve">Introducing more mandatory PAIs </w:t>
      </w:r>
      <w:r w:rsidRPr="009776E9">
        <w:rPr>
          <w:i/>
          <w:iCs/>
          <w:lang w:val="en-US"/>
        </w:rPr>
        <w:t>means an aggravation of the data deficit and yet more estimations must be used instead by the financial market participants. Consequently, the comparability of the financial market participant will be decreased to the detriment of the investor.</w:t>
      </w:r>
    </w:p>
    <w:p w14:paraId="049868E1" w14:textId="77777777" w:rsidR="00A82A70" w:rsidRDefault="00A82A70" w:rsidP="00A82A70">
      <w:pPr>
        <w:jc w:val="both"/>
        <w:rPr>
          <w:i/>
          <w:iCs/>
          <w:lang w:val="en-US"/>
        </w:rPr>
      </w:pPr>
    </w:p>
    <w:p w14:paraId="16F51A47" w14:textId="73482A7A" w:rsidR="00A82A70" w:rsidRPr="009776E9" w:rsidRDefault="00A82A70" w:rsidP="00A82A70">
      <w:pPr>
        <w:rPr>
          <w:i/>
          <w:iCs/>
          <w:lang w:val="en-US"/>
        </w:rPr>
      </w:pPr>
      <w:r w:rsidRPr="009776E9">
        <w:rPr>
          <w:i/>
          <w:iCs/>
          <w:lang w:val="en-US"/>
        </w:rPr>
        <w:lastRenderedPageBreak/>
        <w:t xml:space="preserve">Finance Denmark supports in principle the aims of reducing the risks of “false certainty” and potential “safeguard washing”. Any requirements with this aim should be carefully constructed so that they are proportionate and implementable for financial market participants.   </w:t>
      </w:r>
    </w:p>
    <w:p w14:paraId="4A196DFF" w14:textId="4D73EC97" w:rsidR="00A82A70" w:rsidRDefault="00A82A70" w:rsidP="00A82A70">
      <w:pPr>
        <w:jc w:val="both"/>
        <w:rPr>
          <w:i/>
          <w:iCs/>
          <w:lang w:val="en-US"/>
        </w:rPr>
      </w:pPr>
      <w:r w:rsidRPr="009776E9">
        <w:rPr>
          <w:i/>
          <w:iCs/>
          <w:lang w:val="en-US"/>
        </w:rPr>
        <w:t>As financial market participants are reliant on the data that companies report, Finance Denmark disagrees with the introduction of any</w:t>
      </w:r>
      <w:r>
        <w:rPr>
          <w:i/>
          <w:iCs/>
          <w:lang w:val="en-US"/>
        </w:rPr>
        <w:t xml:space="preserve"> mandatory</w:t>
      </w:r>
      <w:r w:rsidRPr="009776E9">
        <w:rPr>
          <w:i/>
          <w:iCs/>
          <w:lang w:val="en-US"/>
        </w:rPr>
        <w:t xml:space="preserve"> social indicator that is not covered by a corresponding</w:t>
      </w:r>
      <w:r>
        <w:rPr>
          <w:i/>
          <w:iCs/>
          <w:lang w:val="en-US"/>
        </w:rPr>
        <w:t xml:space="preserve"> mandatory</w:t>
      </w:r>
      <w:r w:rsidRPr="009776E9">
        <w:rPr>
          <w:i/>
          <w:iCs/>
          <w:lang w:val="en-US"/>
        </w:rPr>
        <w:t xml:space="preserve"> reporting requirement in the CSRD and the ESRS</w:t>
      </w:r>
      <w:r>
        <w:rPr>
          <w:i/>
          <w:iCs/>
          <w:lang w:val="en-US"/>
        </w:rPr>
        <w:t xml:space="preserve">. </w:t>
      </w:r>
      <w:r w:rsidRPr="00CB53F7">
        <w:rPr>
          <w:i/>
          <w:iCs/>
          <w:lang w:val="en-US"/>
        </w:rPr>
        <w:t xml:space="preserve">Identification </w:t>
      </w:r>
      <w:r w:rsidRPr="005D60AB">
        <w:rPr>
          <w:i/>
          <w:iCs/>
          <w:lang w:val="en-US"/>
        </w:rPr>
        <w:t xml:space="preserve">of further mandatory indicators (both in the social and other spheres) can only take place based on a substantive analysis of the type of information </w:t>
      </w:r>
      <w:r>
        <w:rPr>
          <w:i/>
          <w:iCs/>
          <w:lang w:val="en-US"/>
        </w:rPr>
        <w:t xml:space="preserve">that </w:t>
      </w:r>
      <w:r w:rsidRPr="005D60AB">
        <w:rPr>
          <w:i/>
          <w:iCs/>
          <w:lang w:val="en-US"/>
        </w:rPr>
        <w:t>companies report on sustainability. Any new indicators added to the current framework must be based on available data to allow for the necessary calculations and disclosures by financial intermediaries</w:t>
      </w:r>
      <w:r>
        <w:rPr>
          <w:i/>
          <w:iCs/>
          <w:lang w:val="en-US"/>
        </w:rPr>
        <w:t xml:space="preserve"> </w:t>
      </w:r>
      <w:r w:rsidRPr="009776E9">
        <w:rPr>
          <w:i/>
          <w:iCs/>
          <w:lang w:val="en-US"/>
        </w:rPr>
        <w:t xml:space="preserve"> </w:t>
      </w:r>
      <w:r w:rsidRPr="005D60AB">
        <w:rPr>
          <w:i/>
          <w:iCs/>
          <w:lang w:val="en-US"/>
        </w:rPr>
        <w:t>For the purposes of alignment</w:t>
      </w:r>
      <w:r>
        <w:rPr>
          <w:i/>
          <w:iCs/>
          <w:lang w:val="en-US"/>
        </w:rPr>
        <w:t xml:space="preserve"> and data availability</w:t>
      </w:r>
      <w:r w:rsidRPr="005D60AB">
        <w:rPr>
          <w:i/>
          <w:iCs/>
          <w:lang w:val="en-US"/>
        </w:rPr>
        <w:t xml:space="preserve">, it is essential that the final version of the RTS 2.0 </w:t>
      </w:r>
      <w:r w:rsidRPr="004F509A">
        <w:rPr>
          <w:i/>
          <w:iCs/>
          <w:lang w:val="en-US"/>
        </w:rPr>
        <w:t>aligns</w:t>
      </w:r>
      <w:r w:rsidRPr="005D60AB">
        <w:rPr>
          <w:i/>
          <w:iCs/>
          <w:lang w:val="en-US"/>
        </w:rPr>
        <w:t xml:space="preserve"> with the</w:t>
      </w:r>
      <w:r>
        <w:rPr>
          <w:i/>
          <w:iCs/>
          <w:lang w:val="en-US"/>
        </w:rPr>
        <w:t xml:space="preserve"> </w:t>
      </w:r>
      <w:r w:rsidRPr="005D60AB">
        <w:rPr>
          <w:i/>
          <w:iCs/>
          <w:lang w:val="en-US"/>
        </w:rPr>
        <w:t xml:space="preserve">first set </w:t>
      </w:r>
      <w:r w:rsidRPr="0001701A">
        <w:rPr>
          <w:i/>
          <w:iCs/>
          <w:lang w:val="en-US"/>
        </w:rPr>
        <w:t>of ESRS</w:t>
      </w:r>
      <w:r w:rsidRPr="005D60AB">
        <w:rPr>
          <w:i/>
          <w:iCs/>
          <w:lang w:val="en-US"/>
        </w:rPr>
        <w:t xml:space="preserve"> </w:t>
      </w:r>
      <w:r>
        <w:rPr>
          <w:i/>
          <w:iCs/>
          <w:lang w:val="en-US"/>
        </w:rPr>
        <w:t xml:space="preserve">standards </w:t>
      </w:r>
      <w:r w:rsidRPr="005D60AB">
        <w:rPr>
          <w:i/>
          <w:iCs/>
          <w:lang w:val="en-US"/>
        </w:rPr>
        <w:t xml:space="preserve">both in the content and timing (assuming </w:t>
      </w:r>
      <w:r>
        <w:rPr>
          <w:i/>
          <w:iCs/>
          <w:lang w:val="en-US"/>
        </w:rPr>
        <w:t xml:space="preserve">that </w:t>
      </w:r>
      <w:r w:rsidRPr="005D60AB">
        <w:rPr>
          <w:i/>
          <w:iCs/>
          <w:lang w:val="en-US"/>
        </w:rPr>
        <w:t xml:space="preserve">ESRS will retain mandatory requirements of social indicators - (Table 1) "in the "ESRS Reference" column of the consultative document). The entry into force of the RTS 2.0 should </w:t>
      </w:r>
      <w:r>
        <w:rPr>
          <w:i/>
          <w:iCs/>
          <w:lang w:val="en-US"/>
        </w:rPr>
        <w:t xml:space="preserve">therefore not be before </w:t>
      </w:r>
      <w:r w:rsidRPr="005D60AB">
        <w:rPr>
          <w:i/>
          <w:iCs/>
          <w:lang w:val="en-US"/>
        </w:rPr>
        <w:t>2025</w:t>
      </w:r>
      <w:r>
        <w:rPr>
          <w:i/>
          <w:iCs/>
          <w:lang w:val="en-US"/>
        </w:rPr>
        <w:t xml:space="preserve"> at the earliest.  </w:t>
      </w:r>
    </w:p>
    <w:p w14:paraId="58A6718B" w14:textId="07BBDF58" w:rsidR="00A82A70" w:rsidRDefault="00A82A70" w:rsidP="00A82A70">
      <w:pPr>
        <w:jc w:val="both"/>
        <w:rPr>
          <w:i/>
          <w:iCs/>
          <w:lang w:val="en-US"/>
        </w:rPr>
      </w:pPr>
      <w:r>
        <w:rPr>
          <w:i/>
          <w:iCs/>
          <w:lang w:val="en-US"/>
        </w:rPr>
        <w:t xml:space="preserve">Given that we are expected to see discussions on a revision of the level 1 SFDR regulation – which would again bring changes to the RTS - we would urge for a holistic approach to the revision of the RTS and the regulation. This to mature data availability and to ensure the proper alignment and sequencing, allow for more certainty on data availability and avoid too many revisions, which bear costs for the market participants and confusion for the investors. These costs will inevitably be borne by the investors. </w:t>
      </w:r>
    </w:p>
    <w:p w14:paraId="045EB44C" w14:textId="77777777" w:rsidR="00A82A70" w:rsidRPr="005D60AB" w:rsidRDefault="00A82A70" w:rsidP="00A82A70">
      <w:pPr>
        <w:rPr>
          <w:b/>
          <w:bCs/>
          <w:i/>
          <w:iCs/>
          <w:lang w:val="en-US"/>
        </w:rPr>
      </w:pPr>
      <w:r w:rsidRPr="005D60AB">
        <w:rPr>
          <w:b/>
          <w:bCs/>
          <w:i/>
          <w:iCs/>
          <w:lang w:val="en-US"/>
        </w:rPr>
        <w:t xml:space="preserve">Comments on individual PAIs </w:t>
      </w:r>
    </w:p>
    <w:p w14:paraId="40377012" w14:textId="77777777" w:rsidR="00A82A70" w:rsidRPr="009776E9" w:rsidRDefault="00A82A70" w:rsidP="00A82A70">
      <w:pPr>
        <w:rPr>
          <w:i/>
          <w:iCs/>
          <w:lang w:val="en-US"/>
        </w:rPr>
      </w:pPr>
      <w:r w:rsidRPr="005D60AB">
        <w:rPr>
          <w:i/>
          <w:iCs/>
          <w:u w:val="single"/>
          <w:lang w:val="en-US"/>
        </w:rPr>
        <w:t>PAI 14. Amount of accumulated earnings in non-cooperative tax jurisdictions</w:t>
      </w:r>
      <w:r w:rsidRPr="005D60AB">
        <w:rPr>
          <w:b/>
          <w:bCs/>
          <w:i/>
          <w:iCs/>
          <w:lang w:val="en-US"/>
        </w:rPr>
        <w:t>:</w:t>
      </w:r>
    </w:p>
    <w:p w14:paraId="283EA139" w14:textId="2D0A85CD" w:rsidR="00A82A70" w:rsidRDefault="00A82A70" w:rsidP="00A82A70">
      <w:pPr>
        <w:rPr>
          <w:i/>
          <w:iCs/>
          <w:lang w:val="en-US"/>
        </w:rPr>
      </w:pPr>
      <w:r w:rsidRPr="009776E9">
        <w:rPr>
          <w:i/>
          <w:iCs/>
          <w:lang w:val="en-US"/>
        </w:rPr>
        <w:t>Without a corresponding</w:t>
      </w:r>
      <w:r>
        <w:rPr>
          <w:i/>
          <w:iCs/>
          <w:lang w:val="en-US"/>
        </w:rPr>
        <w:t xml:space="preserve"> mandatory</w:t>
      </w:r>
      <w:r w:rsidRPr="009776E9">
        <w:rPr>
          <w:i/>
          <w:iCs/>
          <w:lang w:val="en-US"/>
        </w:rPr>
        <w:t xml:space="preserve"> reporting requirement there will be no real-life data from the investees for the financial markets participants to report on. This is for example the case with the social indicator “Amount of accumulated earnings in non-cooperative tax jurisdictions” that is not covered by a corresponding </w:t>
      </w:r>
      <w:r>
        <w:rPr>
          <w:i/>
          <w:iCs/>
          <w:lang w:val="en-US"/>
        </w:rPr>
        <w:t xml:space="preserve">mandatory </w:t>
      </w:r>
      <w:r w:rsidRPr="009776E9">
        <w:rPr>
          <w:i/>
          <w:iCs/>
          <w:lang w:val="en-US"/>
        </w:rPr>
        <w:t xml:space="preserve">reporting requirement.   </w:t>
      </w:r>
    </w:p>
    <w:p w14:paraId="05BBC53A" w14:textId="77777777" w:rsidR="00A82A70" w:rsidRPr="00790AC6" w:rsidRDefault="00A82A70" w:rsidP="00A82A70">
      <w:pPr>
        <w:rPr>
          <w:i/>
          <w:iCs/>
          <w:u w:val="single"/>
          <w:lang w:val="en-US"/>
        </w:rPr>
      </w:pPr>
      <w:r w:rsidRPr="00790AC6">
        <w:rPr>
          <w:i/>
          <w:iCs/>
          <w:u w:val="single"/>
          <w:lang w:val="en-US"/>
        </w:rPr>
        <w:t xml:space="preserve">“Share of employees earning less than the adequate wage” </w:t>
      </w:r>
      <w:r>
        <w:rPr>
          <w:i/>
          <w:iCs/>
          <w:u w:val="single"/>
          <w:lang w:val="en-US"/>
        </w:rPr>
        <w:t>and other such social indicators:</w:t>
      </w:r>
    </w:p>
    <w:p w14:paraId="3B58A520" w14:textId="4B9BA4B5" w:rsidR="00A82A70" w:rsidRPr="009776E9" w:rsidRDefault="00A82A70" w:rsidP="00A82A70">
      <w:pPr>
        <w:rPr>
          <w:i/>
          <w:iCs/>
          <w:lang w:val="en-US"/>
        </w:rPr>
      </w:pPr>
      <w:r w:rsidRPr="009776E9">
        <w:rPr>
          <w:i/>
          <w:iCs/>
          <w:lang w:val="en-US"/>
        </w:rPr>
        <w:t xml:space="preserve">Furthermore, some of the suggested social indicators are based on subjective assessments, difficult to measure.  For example, for the social indicator “Share of employees earning less than the adequate wage”, it is very difficult to rationally define what constitutes an “adequate” wage. What constitutes an “adequate” wage depends on </w:t>
      </w:r>
      <w:r>
        <w:rPr>
          <w:i/>
          <w:iCs/>
          <w:lang w:val="en-US"/>
        </w:rPr>
        <w:t xml:space="preserve">a </w:t>
      </w:r>
      <w:r w:rsidRPr="009776E9">
        <w:rPr>
          <w:i/>
          <w:iCs/>
          <w:lang w:val="en-US"/>
        </w:rPr>
        <w:t xml:space="preserve">wide and non-exhaustive range of factors, such as jurisdiction, supply and demand qualifications, as well as experience of the relevant employees, and in </w:t>
      </w:r>
      <w:r>
        <w:rPr>
          <w:i/>
          <w:iCs/>
          <w:lang w:val="en-US"/>
        </w:rPr>
        <w:t>the</w:t>
      </w:r>
      <w:r w:rsidRPr="009776E9">
        <w:rPr>
          <w:i/>
          <w:iCs/>
          <w:lang w:val="en-US"/>
        </w:rPr>
        <w:t xml:space="preserve"> end</w:t>
      </w:r>
      <w:r>
        <w:rPr>
          <w:i/>
          <w:iCs/>
          <w:lang w:val="en-US"/>
        </w:rPr>
        <w:t>,</w:t>
      </w:r>
      <w:r w:rsidRPr="009776E9">
        <w:rPr>
          <w:i/>
          <w:iCs/>
          <w:lang w:val="en-US"/>
        </w:rPr>
        <w:t xml:space="preserve"> it will be decided by a subjective assessment made by each financial market participant. This also makes it very difficult to measure the share of employees earning less than the adequate wage. In addition, the comparability of financial market participants is reduced as the number of such social indicators increases. We therefore believe that such social indicators based on subjective assessments should be left out of Annex I. </w:t>
      </w:r>
    </w:p>
    <w:p w14:paraId="52C396B0" w14:textId="77777777" w:rsidR="00A82A70" w:rsidRPr="009776E9" w:rsidRDefault="00A82A70" w:rsidP="00A82A70">
      <w:pPr>
        <w:rPr>
          <w:i/>
          <w:iCs/>
          <w:lang w:val="en-US"/>
        </w:rPr>
      </w:pPr>
      <w:r w:rsidRPr="009776E9">
        <w:rPr>
          <w:i/>
          <w:iCs/>
          <w:lang w:val="en-US"/>
        </w:rPr>
        <w:lastRenderedPageBreak/>
        <w:t xml:space="preserve">Furthermore, the social indicators may cause practical problems outside of the EU. This is for example the case for the social indicator “Interference in the formation of trade unions or election of worker representatives”. In the US, companies will not guarantee that </w:t>
      </w:r>
      <w:r>
        <w:rPr>
          <w:i/>
          <w:iCs/>
          <w:lang w:val="en-US"/>
        </w:rPr>
        <w:t xml:space="preserve">they </w:t>
      </w:r>
      <w:r w:rsidRPr="009776E9">
        <w:rPr>
          <w:i/>
          <w:iCs/>
          <w:lang w:val="en-US"/>
        </w:rPr>
        <w:t xml:space="preserve">will not interfere with the formation of workers’ unions.  </w:t>
      </w:r>
    </w:p>
    <w:p w14:paraId="48EE2711" w14:textId="68492AF9" w:rsidR="009C41BB" w:rsidRPr="00E434F2" w:rsidRDefault="009C41BB" w:rsidP="00E434F2">
      <w:pPr>
        <w:jc w:val="both"/>
        <w:rPr>
          <w:i/>
          <w:iCs/>
          <w:lang w:val="en-US"/>
        </w:rPr>
      </w:pPr>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3A425EFC" w14:textId="3BE17C87" w:rsidR="00A82A70" w:rsidRDefault="00A82A70" w:rsidP="00A82A70">
      <w:pPr>
        <w:rPr>
          <w:i/>
          <w:iCs/>
          <w:lang w:val="en-US"/>
        </w:rPr>
      </w:pPr>
      <w:r w:rsidRPr="009776E9">
        <w:rPr>
          <w:i/>
          <w:iCs/>
          <w:lang w:val="en-US"/>
        </w:rPr>
        <w:t>The existing regulation of SFDR has not settled yet.</w:t>
      </w:r>
      <w:r>
        <w:rPr>
          <w:i/>
          <w:iCs/>
          <w:lang w:val="en-US"/>
        </w:rPr>
        <w:t xml:space="preserve"> The financial market participants have not even had the chance to publish a single PAI report based on the current RTS. </w:t>
      </w:r>
      <w:r w:rsidRPr="009776E9">
        <w:rPr>
          <w:i/>
          <w:iCs/>
          <w:lang w:val="en-US"/>
        </w:rPr>
        <w:t xml:space="preserve"> </w:t>
      </w:r>
      <w:r>
        <w:rPr>
          <w:i/>
          <w:iCs/>
          <w:lang w:val="en-US"/>
        </w:rPr>
        <w:t>We would caution against introducing</w:t>
      </w:r>
      <w:r>
        <w:rPr>
          <w:i/>
          <w:lang w:val="en-US"/>
        </w:rPr>
        <w:t xml:space="preserve"> t</w:t>
      </w:r>
      <w:r w:rsidRPr="009776E9">
        <w:rPr>
          <w:i/>
          <w:iCs/>
          <w:lang w:val="en-US"/>
        </w:rPr>
        <w:t xml:space="preserve">oo many </w:t>
      </w:r>
      <w:r>
        <w:rPr>
          <w:i/>
          <w:iCs/>
          <w:lang w:val="en-US"/>
        </w:rPr>
        <w:t xml:space="preserve">untimely adjustments in the disclosures </w:t>
      </w:r>
      <w:r w:rsidRPr="009776E9">
        <w:rPr>
          <w:i/>
          <w:iCs/>
          <w:lang w:val="en-US"/>
        </w:rPr>
        <w:t>within a short span of time</w:t>
      </w:r>
      <w:r>
        <w:rPr>
          <w:i/>
          <w:iCs/>
          <w:lang w:val="en-US"/>
        </w:rPr>
        <w:t xml:space="preserve"> because it</w:t>
      </w:r>
      <w:r w:rsidRPr="009776E9">
        <w:rPr>
          <w:i/>
          <w:iCs/>
          <w:lang w:val="en-US"/>
        </w:rPr>
        <w:t xml:space="preserve"> will </w:t>
      </w:r>
      <w:r>
        <w:rPr>
          <w:i/>
          <w:iCs/>
          <w:lang w:val="en-US"/>
        </w:rPr>
        <w:t xml:space="preserve">only </w:t>
      </w:r>
      <w:r w:rsidRPr="009776E9">
        <w:rPr>
          <w:i/>
          <w:iCs/>
          <w:lang w:val="en-US"/>
        </w:rPr>
        <w:t>confuse the investors</w:t>
      </w:r>
      <w:r>
        <w:rPr>
          <w:i/>
          <w:iCs/>
          <w:lang w:val="en-US"/>
        </w:rPr>
        <w:t xml:space="preserve">, lead to greenwashing claims and increase costs for the market participants and ultimately also for the investors. </w:t>
      </w:r>
      <w:r w:rsidRPr="009776E9">
        <w:rPr>
          <w:i/>
          <w:iCs/>
          <w:lang w:val="en-US"/>
        </w:rPr>
        <w:t xml:space="preserve">Since SFDR´s introduction in March 2021, many changes have been made through issuances of Level 3 guidance, including guidelines and Q&amp;A´s. These changes are not only confusing for the investors but also expensive for them as the market participants spend a lot of resources on adjusting for example their processes, compliance and portfolios in accordance with the legal updates. </w:t>
      </w:r>
      <w:r>
        <w:rPr>
          <w:i/>
          <w:iCs/>
          <w:lang w:val="en-US"/>
        </w:rPr>
        <w:t xml:space="preserve">Further, in general, financial market participants should not be required to disclosure a piece of information that does not correspond to or is aligned with a mandatory reporting requirement in CSRD or the ESRS-standards. </w:t>
      </w:r>
    </w:p>
    <w:p w14:paraId="1F42AE1C" w14:textId="77777777" w:rsidR="00A82A70" w:rsidRDefault="00A82A70" w:rsidP="00A82A70">
      <w:pPr>
        <w:rPr>
          <w:i/>
          <w:lang w:val="en-US"/>
        </w:rPr>
      </w:pPr>
      <w:r>
        <w:rPr>
          <w:i/>
          <w:lang w:val="en-US"/>
        </w:rPr>
        <w:t xml:space="preserve">Therefore, </w:t>
      </w:r>
      <w:r w:rsidRPr="00B738C0">
        <w:rPr>
          <w:i/>
          <w:lang w:val="en-US"/>
        </w:rPr>
        <w:t xml:space="preserve">Finance Danmark </w:t>
      </w:r>
      <w:r>
        <w:rPr>
          <w:i/>
          <w:lang w:val="en-US"/>
        </w:rPr>
        <w:t>doe</w:t>
      </w:r>
      <w:r w:rsidRPr="00B738C0">
        <w:rPr>
          <w:i/>
          <w:lang w:val="en-US"/>
        </w:rPr>
        <w:t>s no</w:t>
      </w:r>
      <w:r>
        <w:rPr>
          <w:i/>
          <w:lang w:val="en-US"/>
        </w:rPr>
        <w:t>t</w:t>
      </w:r>
      <w:r w:rsidRPr="00B738C0">
        <w:rPr>
          <w:i/>
          <w:lang w:val="en-US"/>
        </w:rPr>
        <w:t xml:space="preserve"> suggest any further mandatory social indicators as these indicators </w:t>
      </w:r>
      <w:r>
        <w:rPr>
          <w:i/>
          <w:lang w:val="en-US"/>
        </w:rPr>
        <w:t>will</w:t>
      </w:r>
      <w:r w:rsidRPr="00B738C0">
        <w:rPr>
          <w:i/>
          <w:lang w:val="en-US"/>
        </w:rPr>
        <w:t xml:space="preserve"> lead to a decreased comparability between financial market participants, please</w:t>
      </w:r>
      <w:r>
        <w:rPr>
          <w:i/>
          <w:lang w:val="en-US"/>
        </w:rPr>
        <w:t xml:space="preserve"> also</w:t>
      </w:r>
      <w:r w:rsidRPr="00B738C0">
        <w:rPr>
          <w:i/>
          <w:lang w:val="en-US"/>
        </w:rPr>
        <w:t xml:space="preserve"> see the answer to Q1 above. </w:t>
      </w:r>
    </w:p>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7028C072" w14:textId="77E56BB9" w:rsidR="00A82A70" w:rsidRPr="009776E9" w:rsidRDefault="00A82A70" w:rsidP="00A82A70">
      <w:pPr>
        <w:rPr>
          <w:i/>
          <w:iCs/>
          <w:lang w:val="en-US"/>
        </w:rPr>
      </w:pPr>
      <w:r w:rsidRPr="009776E9">
        <w:rPr>
          <w:i/>
          <w:iCs/>
          <w:lang w:val="en-US"/>
        </w:rPr>
        <w:t>In our view, many of the proposed opt-in social indicators have scopes that are very difficult to define and to quantify. It is for example very difficult to establish what is meant by “insufficient employment</w:t>
      </w:r>
      <w:r>
        <w:rPr>
          <w:i/>
          <w:iCs/>
          <w:lang w:val="en-US"/>
        </w:rPr>
        <w:t xml:space="preserve"> </w:t>
      </w:r>
      <w:r>
        <w:rPr>
          <w:i/>
          <w:iCs/>
          <w:lang w:val="en-US"/>
        </w:rPr>
        <w:lastRenderedPageBreak/>
        <w:t>persons</w:t>
      </w:r>
      <w:r w:rsidRPr="009776E9">
        <w:rPr>
          <w:i/>
          <w:iCs/>
          <w:lang w:val="en-US"/>
        </w:rPr>
        <w:t xml:space="preserve"> of with disabilities within the workforce”</w:t>
      </w:r>
      <w:proofErr w:type="gramStart"/>
      <w:r w:rsidRPr="009776E9">
        <w:rPr>
          <w:i/>
          <w:iCs/>
          <w:lang w:val="en-US"/>
        </w:rPr>
        <w:t>, ”excessive</w:t>
      </w:r>
      <w:proofErr w:type="gramEnd"/>
      <w:r w:rsidRPr="009776E9">
        <w:rPr>
          <w:i/>
          <w:iCs/>
          <w:lang w:val="en-US"/>
        </w:rPr>
        <w:t xml:space="preserve"> use of non-employee workers” and “excessive use of temporary contract employees”. One financial market participant might use one definition for one of these indicators, while another financial market participant might use another definition for the same indicator. Unfortunately, this will inevitably lead to a decreased comparability between financial market participants to the detriment of the investors. </w:t>
      </w:r>
    </w:p>
    <w:p w14:paraId="666BC97A" w14:textId="77777777" w:rsidR="00A82A70" w:rsidRPr="009776E9" w:rsidRDefault="00A82A70" w:rsidP="00A82A70">
      <w:pPr>
        <w:rPr>
          <w:i/>
          <w:iCs/>
          <w:lang w:val="en-US"/>
        </w:rPr>
      </w:pPr>
      <w:r>
        <w:rPr>
          <w:i/>
          <w:iCs/>
          <w:lang w:val="en-US"/>
        </w:rPr>
        <w:t xml:space="preserve">Finance Denmark does not as such oppose including additional opt-in indicators, but we do not believe that adding more disclosures will be beneficial for the simplification efforts, nor help the end investor.  </w:t>
      </w:r>
    </w:p>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01D8AABE" w14:textId="147E5DA5" w:rsidR="00A82A70" w:rsidRPr="009776E9" w:rsidRDefault="00A82A70" w:rsidP="00A82A70">
      <w:pPr>
        <w:rPr>
          <w:i/>
          <w:iCs/>
          <w:lang w:val="en-US"/>
        </w:rPr>
      </w:pPr>
      <w:r w:rsidRPr="009776E9">
        <w:rPr>
          <w:i/>
          <w:iCs/>
          <w:lang w:val="en-US"/>
        </w:rPr>
        <w:t>No, please see answers above.</w:t>
      </w:r>
      <w:r>
        <w:rPr>
          <w:i/>
          <w:iCs/>
          <w:lang w:val="en-US"/>
        </w:rPr>
        <w:t xml:space="preserve"> </w:t>
      </w:r>
      <w:r w:rsidRPr="009776E9">
        <w:rPr>
          <w:i/>
          <w:iCs/>
          <w:lang w:val="en-US"/>
        </w:rPr>
        <w:t>We acknowledge the fact that the ESG markets are evolving quickly, and that there is a high demand for ESG investments. Especially due to these facts, it is essential that any disclosure framework should have the best interests of the investors at its core. With that in mind, any amendments should carefully consider how the constant update</w:t>
      </w:r>
      <w:r>
        <w:rPr>
          <w:i/>
          <w:iCs/>
          <w:lang w:val="en-US"/>
        </w:rPr>
        <w:t>s</w:t>
      </w:r>
      <w:r w:rsidRPr="009776E9">
        <w:rPr>
          <w:i/>
          <w:iCs/>
          <w:lang w:val="en-US"/>
        </w:rPr>
        <w:t xml:space="preserve"> to disclosure documentation impact consumer trust and confidence. Not just on sustainable products but the wider sustainable finance agenda. </w:t>
      </w:r>
    </w:p>
    <w:p w14:paraId="701AE475" w14:textId="77777777" w:rsidR="00A82A70" w:rsidRPr="009776E9" w:rsidRDefault="00A82A70" w:rsidP="00A82A70">
      <w:pPr>
        <w:rPr>
          <w:i/>
          <w:iCs/>
          <w:lang w:val="en-US"/>
        </w:rPr>
      </w:pPr>
      <w:proofErr w:type="gramStart"/>
      <w:r w:rsidRPr="009776E9">
        <w:rPr>
          <w:i/>
          <w:iCs/>
          <w:lang w:val="en-US"/>
        </w:rPr>
        <w:t>In order to</w:t>
      </w:r>
      <w:proofErr w:type="gramEnd"/>
      <w:r w:rsidRPr="009776E9">
        <w:rPr>
          <w:i/>
          <w:iCs/>
          <w:lang w:val="en-US"/>
        </w:rPr>
        <w:t xml:space="preserve"> promote real investor protection, we believe that it is important that the ESG disclosures made are relevant and concise. The information given according to the delegated regulation is highly complex and diverse. </w:t>
      </w:r>
    </w:p>
    <w:p w14:paraId="52BB4781" w14:textId="77777777" w:rsidR="00A82A70" w:rsidRPr="009776E9" w:rsidRDefault="00A82A70" w:rsidP="00A82A70">
      <w:pPr>
        <w:rPr>
          <w:i/>
          <w:iCs/>
          <w:lang w:val="en-US"/>
        </w:rPr>
      </w:pPr>
      <w:r w:rsidRPr="009776E9">
        <w:rPr>
          <w:i/>
          <w:iCs/>
          <w:lang w:val="en-US"/>
        </w:rPr>
        <w:t>For an average retail investor, the existing disclosure requirements already constitute a certain degree of information overload and</w:t>
      </w:r>
      <w:r>
        <w:rPr>
          <w:i/>
          <w:iCs/>
          <w:lang w:val="en-US"/>
        </w:rPr>
        <w:t>, in our view,</w:t>
      </w:r>
      <w:r w:rsidRPr="009776E9">
        <w:rPr>
          <w:i/>
          <w:iCs/>
          <w:lang w:val="en-US"/>
        </w:rPr>
        <w:t xml:space="preserve"> adding further indicators would not increase investor protection</w:t>
      </w:r>
      <w:r>
        <w:rPr>
          <w:i/>
          <w:iCs/>
          <w:lang w:val="en-US"/>
        </w:rPr>
        <w:t>, please also see the second paragraph in Q21 on the readability of the templates</w:t>
      </w:r>
      <w:r w:rsidRPr="009776E9">
        <w:rPr>
          <w:i/>
          <w:iCs/>
          <w:lang w:val="en-US"/>
        </w:rPr>
        <w:t xml:space="preserve">. </w:t>
      </w:r>
    </w:p>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339CA466" w14:textId="77777777" w:rsidR="00A82A70" w:rsidRDefault="00A82A70" w:rsidP="00A82A70">
      <w:pPr>
        <w:rPr>
          <w:i/>
          <w:iCs/>
          <w:lang w:val="en-US"/>
        </w:rPr>
      </w:pPr>
      <w:r w:rsidRPr="009776E9">
        <w:rPr>
          <w:i/>
          <w:iCs/>
          <w:lang w:val="en-US"/>
        </w:rPr>
        <w:lastRenderedPageBreak/>
        <w:t xml:space="preserve">Finance Denmark does not </w:t>
      </w:r>
      <w:r>
        <w:rPr>
          <w:i/>
          <w:iCs/>
          <w:lang w:val="en-US"/>
        </w:rPr>
        <w:t>oppose</w:t>
      </w:r>
      <w:r w:rsidRPr="009776E9">
        <w:rPr>
          <w:i/>
          <w:iCs/>
          <w:lang w:val="en-US"/>
        </w:rPr>
        <w:t xml:space="preserve"> the replacement of the UN Global Compact Principles with the UN Guiding Principles and ILO Declaration on Fundamental Principles and Rights at Work.  </w:t>
      </w:r>
      <w:r>
        <w:rPr>
          <w:i/>
          <w:iCs/>
          <w:lang w:val="en-US"/>
        </w:rPr>
        <w:t xml:space="preserve">However, Finance Denmark urges the ESAs to keep the comments made in Q2 in mind. </w:t>
      </w:r>
    </w:p>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66B551C2" w14:textId="77777777" w:rsidR="00A82A70" w:rsidRDefault="00A82A70" w:rsidP="00A82A70">
      <w:pPr>
        <w:rPr>
          <w:i/>
          <w:iCs/>
          <w:lang w:val="en-US"/>
        </w:rPr>
      </w:pPr>
      <w:r w:rsidRPr="005D60AB">
        <w:rPr>
          <w:i/>
          <w:iCs/>
          <w:lang w:val="en-US"/>
        </w:rPr>
        <w:t>Finance Denmark does not consider it relevant</w:t>
      </w:r>
      <w:r>
        <w:rPr>
          <w:i/>
          <w:iCs/>
          <w:lang w:val="en-US"/>
        </w:rPr>
        <w:t xml:space="preserve"> to apply any PAI indicator related to social matters to the entity in charge of the management of real estate assets the financial market participant has invested in.  However, </w:t>
      </w:r>
      <w:proofErr w:type="gramStart"/>
      <w:r>
        <w:rPr>
          <w:i/>
          <w:iCs/>
          <w:lang w:val="en-US"/>
        </w:rPr>
        <w:t>in order to</w:t>
      </w:r>
      <w:proofErr w:type="gramEnd"/>
      <w:r>
        <w:rPr>
          <w:i/>
          <w:iCs/>
          <w:lang w:val="en-US"/>
        </w:rPr>
        <w:t xml:space="preserve"> promote comparability and accessibility of the disclosures, Finance Denmark suggests leaving out any PAI indicator related to social matters to the entity in charge of the real estate assets the financial market participant has invested in. Adding such PAI indicators would contribute to existing information overload that the existing disclosures constitute for the investors, especially the retail investors. </w:t>
      </w:r>
    </w:p>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6AE6F77D" w14:textId="06D9B0B4" w:rsidR="00A82A70" w:rsidRPr="00A82A70" w:rsidRDefault="00A82A70" w:rsidP="00A82A70">
      <w:pPr>
        <w:rPr>
          <w:i/>
          <w:lang w:val="en-US"/>
        </w:rPr>
      </w:pPr>
      <w:r>
        <w:rPr>
          <w:i/>
          <w:lang w:val="en-US"/>
        </w:rPr>
        <w:t>I</w:t>
      </w:r>
      <w:r w:rsidRPr="00DE675D">
        <w:rPr>
          <w:i/>
          <w:lang w:val="en-US"/>
        </w:rPr>
        <w:t>n principle</w:t>
      </w:r>
      <w:r>
        <w:rPr>
          <w:i/>
          <w:lang w:val="en-US"/>
        </w:rPr>
        <w:t>, w</w:t>
      </w:r>
      <w:r w:rsidRPr="00DE675D">
        <w:rPr>
          <w:i/>
          <w:lang w:val="en-US"/>
        </w:rPr>
        <w:t xml:space="preserve">e support alignment with the taxonomy </w:t>
      </w:r>
      <w:proofErr w:type="gramStart"/>
      <w:r w:rsidRPr="00DE675D">
        <w:rPr>
          <w:i/>
          <w:lang w:val="en-US"/>
        </w:rPr>
        <w:t>in order to</w:t>
      </w:r>
      <w:proofErr w:type="gramEnd"/>
      <w:r w:rsidRPr="00DE675D">
        <w:rPr>
          <w:i/>
          <w:lang w:val="en-US"/>
        </w:rPr>
        <w:t xml:space="preserve"> simplify and standardize</w:t>
      </w:r>
      <w:r w:rsidRPr="005D60AB">
        <w:rPr>
          <w:i/>
          <w:lang w:val="en-US"/>
        </w:rPr>
        <w:t xml:space="preserve"> </w:t>
      </w:r>
      <w:r w:rsidRPr="00DE675D">
        <w:rPr>
          <w:i/>
          <w:lang w:val="en-US"/>
        </w:rPr>
        <w:t xml:space="preserve">PAI indicators. However, </w:t>
      </w:r>
      <w:r w:rsidRPr="005D60AB">
        <w:rPr>
          <w:i/>
          <w:lang w:val="en-US"/>
        </w:rPr>
        <w:t>before doing so</w:t>
      </w:r>
      <w:r>
        <w:rPr>
          <w:i/>
          <w:lang w:val="en-US"/>
        </w:rPr>
        <w:t>,</w:t>
      </w:r>
      <w:r w:rsidRPr="005D60AB">
        <w:rPr>
          <w:i/>
          <w:lang w:val="en-US"/>
        </w:rPr>
        <w:t xml:space="preserve"> </w:t>
      </w:r>
      <w:r w:rsidRPr="00DE675D">
        <w:rPr>
          <w:i/>
          <w:lang w:val="en-US"/>
        </w:rPr>
        <w:t xml:space="preserve">there are some practical problems </w:t>
      </w:r>
      <w:r w:rsidRPr="005D60AB">
        <w:rPr>
          <w:i/>
          <w:lang w:val="en-US"/>
        </w:rPr>
        <w:t>t</w:t>
      </w:r>
      <w:r w:rsidRPr="00DE675D">
        <w:rPr>
          <w:i/>
          <w:lang w:val="en-US"/>
        </w:rPr>
        <w:t xml:space="preserve">hat need to be addressed.   </w:t>
      </w:r>
    </w:p>
    <w:p w14:paraId="65DB90E7" w14:textId="5A123074" w:rsidR="00A82A70" w:rsidRDefault="00A82A70" w:rsidP="00A82A70">
      <w:pPr>
        <w:rPr>
          <w:i/>
          <w:lang w:val="en-US"/>
        </w:rPr>
      </w:pPr>
      <w:r>
        <w:rPr>
          <w:i/>
          <w:lang w:val="en-US"/>
        </w:rPr>
        <w:t xml:space="preserve">Firstly, </w:t>
      </w:r>
      <w:r w:rsidRPr="00F44A9E">
        <w:rPr>
          <w:i/>
          <w:lang w:val="en-US"/>
        </w:rPr>
        <w:t>DNSH assessments within the scope of SFDR are closely tied to the PAI-indicators while the taxonomy DNSH assessment is not</w:t>
      </w:r>
      <w:r>
        <w:rPr>
          <w:i/>
          <w:lang w:val="en-US"/>
        </w:rPr>
        <w:t xml:space="preserve">. </w:t>
      </w:r>
      <w:r w:rsidRPr="00F44A9E">
        <w:rPr>
          <w:i/>
          <w:lang w:val="en-US"/>
        </w:rPr>
        <w:t xml:space="preserve"> </w:t>
      </w:r>
      <w:r>
        <w:rPr>
          <w:i/>
          <w:lang w:val="en-US"/>
        </w:rPr>
        <w:t xml:space="preserve">The </w:t>
      </w:r>
      <w:r w:rsidRPr="00F44A9E">
        <w:rPr>
          <w:i/>
          <w:lang w:val="en-US"/>
        </w:rPr>
        <w:t>taxonomy DNSH assessment</w:t>
      </w:r>
      <w:r>
        <w:rPr>
          <w:i/>
          <w:lang w:val="en-US"/>
        </w:rPr>
        <w:t xml:space="preserve"> is, on the other hand, based on predefined criteria. </w:t>
      </w:r>
    </w:p>
    <w:p w14:paraId="3352E91A" w14:textId="77777777" w:rsidR="00A82A70" w:rsidRDefault="00A82A70" w:rsidP="00A82A70">
      <w:pPr>
        <w:rPr>
          <w:i/>
          <w:lang w:val="en-US"/>
        </w:rPr>
      </w:pPr>
      <w:r>
        <w:rPr>
          <w:i/>
          <w:lang w:val="en-US"/>
        </w:rPr>
        <w:t xml:space="preserve">Secondly, the taxonomy, including its DNSH-assessment, is based on activity-level measurements while SFDR’s main definitions, including SFDR´s sustainable investment in accordance with Article 2(17) and DNSH-assessment, can be entity-based. This means that a financial market participant in practice must perform two DNSH tests on one product simultaneously. One DNSH test for the taxonomy-aligned activities of the investee companies in the product and another for the non-taxonomy-aligned activities of the investee companies. Simultaneously, social features of a DSNH </w:t>
      </w:r>
      <w:r>
        <w:rPr>
          <w:i/>
          <w:lang w:val="en-US"/>
        </w:rPr>
        <w:lastRenderedPageBreak/>
        <w:t xml:space="preserve">assessment in SFDR are not taken into consideration by the taxonomy DNSH.  These discrepancies must be addressed before the PAI indicator 22 can be aligned with the taxonomy criteria.  </w:t>
      </w:r>
    </w:p>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3B032FC8" w14:textId="77777777" w:rsidR="00A82A70" w:rsidRDefault="00A82A70" w:rsidP="00A82A70">
      <w:pPr>
        <w:rPr>
          <w:i/>
          <w:iCs/>
          <w:lang w:val="en-US"/>
        </w:rPr>
      </w:pPr>
      <w:r w:rsidRPr="009776E9">
        <w:rPr>
          <w:i/>
          <w:iCs/>
          <w:lang w:val="en-US"/>
        </w:rPr>
        <w:t>Finance Denmark</w:t>
      </w:r>
      <w:r>
        <w:rPr>
          <w:i/>
          <w:iCs/>
          <w:lang w:val="en-US"/>
        </w:rPr>
        <w:t xml:space="preserve"> sees a challenge in estimating </w:t>
      </w:r>
      <w:r w:rsidRPr="005D60AB">
        <w:rPr>
          <w:i/>
          <w:iCs/>
          <w:lang w:val="en-US"/>
        </w:rPr>
        <w:t>the detention percentage (current value of the investment/investee company’s enterprise value)</w:t>
      </w:r>
      <w:r w:rsidRPr="009776E9">
        <w:rPr>
          <w:i/>
          <w:iCs/>
          <w:lang w:val="en-US"/>
        </w:rPr>
        <w:t xml:space="preserve"> </w:t>
      </w:r>
      <w:r>
        <w:rPr>
          <w:i/>
          <w:iCs/>
          <w:lang w:val="en-US"/>
        </w:rPr>
        <w:t xml:space="preserve">as the delegated regulation does not include any indication on how to determine the detention percentage for periods other than year-end. The detention percentages during the year also </w:t>
      </w:r>
      <w:proofErr w:type="gramStart"/>
      <w:r>
        <w:rPr>
          <w:i/>
          <w:iCs/>
          <w:lang w:val="en-US"/>
        </w:rPr>
        <w:t>have to</w:t>
      </w:r>
      <w:proofErr w:type="gramEnd"/>
      <w:r>
        <w:rPr>
          <w:i/>
          <w:iCs/>
          <w:lang w:val="en-US"/>
        </w:rPr>
        <w:t xml:space="preserve"> be consistent with the impact figures published at year end by the company. </w:t>
      </w:r>
    </w:p>
    <w:p w14:paraId="11F68E60" w14:textId="43832965" w:rsidR="00A82A70" w:rsidRPr="005D60AB" w:rsidRDefault="00A82A70" w:rsidP="00A82A70">
      <w:pPr>
        <w:rPr>
          <w:i/>
          <w:iCs/>
          <w:lang w:val="en-US"/>
        </w:rPr>
      </w:pPr>
      <w:r w:rsidRPr="005D60AB">
        <w:rPr>
          <w:i/>
          <w:iCs/>
          <w:lang w:val="en-US"/>
        </w:rPr>
        <w:t xml:space="preserve">The approach described in the Q&amp;A consists in calculating the detention percentage from the number of securities held by investors at the end of each quarter. </w:t>
      </w:r>
    </w:p>
    <w:p w14:paraId="3AC0C0A8" w14:textId="77777777" w:rsidR="00A82A70" w:rsidRPr="005D60AB" w:rsidRDefault="00A82A70" w:rsidP="00A82A70">
      <w:pPr>
        <w:rPr>
          <w:i/>
          <w:iCs/>
          <w:lang w:val="en-US"/>
        </w:rPr>
      </w:pPr>
      <w:r w:rsidRPr="005D60AB">
        <w:rPr>
          <w:i/>
          <w:iCs/>
          <w:lang w:val="en-US"/>
        </w:rPr>
        <w:t xml:space="preserve">However, this </w:t>
      </w:r>
    </w:p>
    <w:p w14:paraId="4C0A69E8" w14:textId="1AF48C57" w:rsidR="00A82A70" w:rsidRPr="00A82A70" w:rsidRDefault="00A82A70" w:rsidP="00A82A70">
      <w:pPr>
        <w:pStyle w:val="Listeafsnit"/>
        <w:widowControl w:val="0"/>
        <w:numPr>
          <w:ilvl w:val="0"/>
          <w:numId w:val="43"/>
        </w:numPr>
        <w:autoSpaceDE w:val="0"/>
        <w:autoSpaceDN w:val="0"/>
        <w:spacing w:after="0"/>
        <w:contextualSpacing w:val="0"/>
        <w:jc w:val="both"/>
        <w:rPr>
          <w:i/>
          <w:iCs/>
          <w:lang w:val="en-US"/>
        </w:rPr>
      </w:pPr>
      <w:r w:rsidRPr="005D60AB">
        <w:rPr>
          <w:i/>
          <w:iCs/>
          <w:lang w:val="en-US"/>
        </w:rPr>
        <w:t>does not solve the consistency issue: as it focuses on how to manage the impact of financial market fluctuations, it does not resolve issues regarding changes in debt profile, activity perimeter of the company, credit event</w:t>
      </w:r>
      <w:r>
        <w:rPr>
          <w:i/>
          <w:iCs/>
          <w:lang w:val="en-US"/>
        </w:rPr>
        <w:t>s</w:t>
      </w:r>
      <w:r w:rsidRPr="005D60AB">
        <w:rPr>
          <w:i/>
          <w:iCs/>
          <w:lang w:val="en-US"/>
        </w:rPr>
        <w:t>, etc., but introduces significant impact in case of changes in the capital</w:t>
      </w:r>
      <w:r w:rsidRPr="005D60AB">
        <w:rPr>
          <w:lang w:val="en-US"/>
        </w:rPr>
        <w:t xml:space="preserve"> </w:t>
      </w:r>
      <w:r w:rsidRPr="005D60AB">
        <w:rPr>
          <w:i/>
          <w:iCs/>
          <w:lang w:val="en-US"/>
        </w:rPr>
        <w:t xml:space="preserve">structure of the company (stock split, capital increase, corporate action). </w:t>
      </w:r>
    </w:p>
    <w:p w14:paraId="497D372C" w14:textId="7821072E" w:rsidR="00A82A70" w:rsidRPr="00A82A70" w:rsidRDefault="00A82A70" w:rsidP="00A82A70">
      <w:pPr>
        <w:pStyle w:val="Listeafsnit"/>
        <w:widowControl w:val="0"/>
        <w:numPr>
          <w:ilvl w:val="0"/>
          <w:numId w:val="43"/>
        </w:numPr>
        <w:autoSpaceDE w:val="0"/>
        <w:autoSpaceDN w:val="0"/>
        <w:spacing w:after="0"/>
        <w:contextualSpacing w:val="0"/>
        <w:jc w:val="both"/>
        <w:rPr>
          <w:i/>
          <w:iCs/>
          <w:lang w:val="en-US"/>
        </w:rPr>
      </w:pPr>
      <w:r w:rsidRPr="005D60AB">
        <w:rPr>
          <w:i/>
          <w:iCs/>
          <w:lang w:val="en-US"/>
        </w:rPr>
        <w:t xml:space="preserve">introduces unwelcome complexity on the calculation approaches for only a limited number of PAIs while the others can be calculated based on quarterly market valuations, </w:t>
      </w:r>
      <w:r>
        <w:rPr>
          <w:i/>
          <w:iCs/>
          <w:lang w:val="en-US"/>
        </w:rPr>
        <w:t xml:space="preserve">which </w:t>
      </w:r>
      <w:r w:rsidRPr="005D60AB">
        <w:rPr>
          <w:i/>
          <w:iCs/>
          <w:lang w:val="en-US"/>
        </w:rPr>
        <w:t>increas</w:t>
      </w:r>
      <w:r>
        <w:rPr>
          <w:i/>
          <w:iCs/>
          <w:lang w:val="en-US"/>
        </w:rPr>
        <w:t>es</w:t>
      </w:r>
      <w:r w:rsidRPr="005D60AB">
        <w:rPr>
          <w:i/>
          <w:iCs/>
          <w:lang w:val="en-US"/>
        </w:rPr>
        <w:t xml:space="preserve"> operational risks. </w:t>
      </w:r>
    </w:p>
    <w:p w14:paraId="63BA6FF8" w14:textId="77777777" w:rsidR="00A82A70" w:rsidRDefault="00A82A70" w:rsidP="00A82A70">
      <w:pPr>
        <w:pStyle w:val="Listeafsnit"/>
        <w:widowControl w:val="0"/>
        <w:numPr>
          <w:ilvl w:val="0"/>
          <w:numId w:val="43"/>
        </w:numPr>
        <w:autoSpaceDE w:val="0"/>
        <w:autoSpaceDN w:val="0"/>
        <w:spacing w:after="0"/>
        <w:contextualSpacing w:val="0"/>
        <w:jc w:val="both"/>
        <w:rPr>
          <w:i/>
          <w:iCs/>
          <w:lang w:val="en-US"/>
        </w:rPr>
      </w:pPr>
      <w:r w:rsidRPr="005D60AB">
        <w:rPr>
          <w:i/>
          <w:iCs/>
          <w:lang w:val="en-US"/>
        </w:rPr>
        <w:t>introduces a huge additional workload for reporting and is contrary to common practices for portfolio analysis (presentation of asset allocations, performance and risk calculations, look-through analysis for prudential reports), which are based on market valuations.</w:t>
      </w:r>
    </w:p>
    <w:p w14:paraId="026666E6" w14:textId="77777777" w:rsidR="00A82A70" w:rsidRDefault="00A82A70" w:rsidP="00A82A70">
      <w:pPr>
        <w:widowControl w:val="0"/>
        <w:autoSpaceDE w:val="0"/>
        <w:autoSpaceDN w:val="0"/>
        <w:jc w:val="both"/>
        <w:rPr>
          <w:i/>
          <w:iCs/>
          <w:lang w:val="en-US"/>
        </w:rPr>
      </w:pPr>
    </w:p>
    <w:p w14:paraId="0E445C3E" w14:textId="32B8AB4A" w:rsidR="00A82A70" w:rsidRDefault="00A82A70" w:rsidP="00A82A70">
      <w:pPr>
        <w:rPr>
          <w:i/>
          <w:iCs/>
          <w:lang w:val="en-US"/>
        </w:rPr>
      </w:pPr>
      <w:r w:rsidRPr="005D60AB">
        <w:rPr>
          <w:i/>
          <w:iCs/>
          <w:lang w:val="en-US"/>
        </w:rPr>
        <w:t>To reduce the bias in the PAI impact calculation, we recommend, for transparency and consistency purposes</w:t>
      </w:r>
      <w:r>
        <w:rPr>
          <w:i/>
          <w:iCs/>
          <w:lang w:val="en-US"/>
        </w:rPr>
        <w:t xml:space="preserve"> that the </w:t>
      </w:r>
      <w:r w:rsidRPr="005D60AB">
        <w:rPr>
          <w:i/>
          <w:iCs/>
          <w:lang w:val="en-US"/>
        </w:rPr>
        <w:t xml:space="preserve">Q&amp;A </w:t>
      </w:r>
      <w:r>
        <w:rPr>
          <w:i/>
          <w:iCs/>
          <w:lang w:val="en-US"/>
        </w:rPr>
        <w:t xml:space="preserve">is modified to </w:t>
      </w:r>
      <w:r w:rsidRPr="005D60AB">
        <w:rPr>
          <w:i/>
          <w:iCs/>
          <w:lang w:val="en-US"/>
        </w:rPr>
        <w:t>allow</w:t>
      </w:r>
      <w:r>
        <w:rPr>
          <w:i/>
          <w:iCs/>
          <w:lang w:val="en-US"/>
        </w:rPr>
        <w:t xml:space="preserve"> </w:t>
      </w:r>
      <w:r w:rsidRPr="005D60AB">
        <w:rPr>
          <w:i/>
          <w:iCs/>
          <w:lang w:val="en-US"/>
        </w:rPr>
        <w:t>an approach that relies on a quarterly estimation of the enterprise value based on market prices to calculate the detention percentage.</w:t>
      </w:r>
    </w:p>
    <w:p w14:paraId="6F937875" w14:textId="77777777" w:rsidR="00A82A70" w:rsidRDefault="00A82A70" w:rsidP="00A82A70">
      <w:pPr>
        <w:rPr>
          <w:i/>
          <w:iCs/>
          <w:lang w:val="en-US"/>
        </w:rPr>
      </w:pPr>
      <w:r>
        <w:rPr>
          <w:i/>
          <w:iCs/>
          <w:lang w:val="en-US"/>
        </w:rPr>
        <w:t>Another possible solution</w:t>
      </w:r>
      <w:r w:rsidRPr="003715AB">
        <w:rPr>
          <w:i/>
          <w:iCs/>
          <w:lang w:val="en-US"/>
        </w:rPr>
        <w:t xml:space="preserve"> to facilitate timely exchanges of information and to ensure that the reported average PAI reflect the indicators considered when forming the investment decision, we </w:t>
      </w:r>
      <w:r>
        <w:rPr>
          <w:i/>
          <w:iCs/>
          <w:lang w:val="en-US"/>
        </w:rPr>
        <w:t>could be to</w:t>
      </w:r>
      <w:r w:rsidRPr="003715AB">
        <w:rPr>
          <w:i/>
          <w:iCs/>
          <w:lang w:val="en-US"/>
        </w:rPr>
        <w:t xml:space="preserve"> allow the PAI calculation to be based on the indicators available at the quarter-end, without retrospective modification of the PAI average, based on information published after year-end.</w:t>
      </w:r>
    </w:p>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276FA375" w14:textId="7EBA0760" w:rsidR="00A82A70" w:rsidRDefault="00A82A70" w:rsidP="00A82A70">
      <w:pPr>
        <w:rPr>
          <w:i/>
          <w:iCs/>
          <w:lang w:val="en-US"/>
        </w:rPr>
      </w:pPr>
      <w:r w:rsidRPr="005D60AB">
        <w:rPr>
          <w:i/>
          <w:iCs/>
          <w:lang w:val="en-US"/>
        </w:rPr>
        <w:t xml:space="preserve">Finance Denmark suggests that the </w:t>
      </w:r>
      <w:r>
        <w:rPr>
          <w:i/>
          <w:iCs/>
          <w:lang w:val="en-US"/>
        </w:rPr>
        <w:t>columns</w:t>
      </w:r>
      <w:r w:rsidRPr="0009022D">
        <w:rPr>
          <w:i/>
          <w:iCs/>
          <w:lang w:val="en-US"/>
        </w:rPr>
        <w:t xml:space="preserve"> “actions planned” and “actions taken” are removed </w:t>
      </w:r>
      <w:r>
        <w:rPr>
          <w:i/>
          <w:iCs/>
          <w:lang w:val="en-US"/>
        </w:rPr>
        <w:t xml:space="preserve">from Annex 1 </w:t>
      </w:r>
      <w:r w:rsidRPr="0009022D">
        <w:rPr>
          <w:i/>
          <w:iCs/>
          <w:lang w:val="en-US"/>
        </w:rPr>
        <w:t xml:space="preserve">because they do not serve </w:t>
      </w:r>
      <w:r>
        <w:rPr>
          <w:i/>
          <w:iCs/>
          <w:lang w:val="en-US"/>
        </w:rPr>
        <w:t>the purpose of giving the investors meaningful information.</w:t>
      </w:r>
    </w:p>
    <w:p w14:paraId="72E2025A" w14:textId="41B9F891" w:rsidR="00A82A70" w:rsidRPr="005D60AB" w:rsidRDefault="00A82A70" w:rsidP="00A82A70">
      <w:pPr>
        <w:rPr>
          <w:i/>
          <w:iCs/>
          <w:lang w:val="en-US"/>
        </w:rPr>
      </w:pPr>
      <w:r w:rsidRPr="005D60AB">
        <w:rPr>
          <w:i/>
          <w:iCs/>
          <w:lang w:val="en-US"/>
        </w:rPr>
        <w:t xml:space="preserve">For a </w:t>
      </w:r>
      <w:r>
        <w:rPr>
          <w:i/>
          <w:iCs/>
          <w:lang w:val="en-US"/>
        </w:rPr>
        <w:t xml:space="preserve">financial market participant </w:t>
      </w:r>
      <w:r w:rsidRPr="005D60AB">
        <w:rPr>
          <w:i/>
          <w:iCs/>
          <w:lang w:val="en-US"/>
        </w:rPr>
        <w:t xml:space="preserve">offering customers a portfolio of funds from different fund providers, using different approaches to sustainability, summarizing actions planned, actions </w:t>
      </w:r>
      <w:proofErr w:type="gramStart"/>
      <w:r w:rsidRPr="005D60AB">
        <w:rPr>
          <w:i/>
          <w:iCs/>
          <w:lang w:val="en-US"/>
        </w:rPr>
        <w:t>taken</w:t>
      </w:r>
      <w:proofErr w:type="gramEnd"/>
      <w:r w:rsidRPr="005D60AB">
        <w:rPr>
          <w:i/>
          <w:iCs/>
          <w:lang w:val="en-US"/>
        </w:rPr>
        <w:t xml:space="preserve"> and targets set for a single PAI, is impossible without becoming abstract to a level, where almost no information is really given. Even for a </w:t>
      </w:r>
      <w:r>
        <w:rPr>
          <w:i/>
          <w:iCs/>
          <w:lang w:val="en-US"/>
        </w:rPr>
        <w:t>financial market participant</w:t>
      </w:r>
      <w:r w:rsidRPr="005D60AB">
        <w:rPr>
          <w:i/>
          <w:iCs/>
          <w:lang w:val="en-US"/>
        </w:rPr>
        <w:t xml:space="preserve"> only investing directly, but still having a </w:t>
      </w:r>
      <w:proofErr w:type="gramStart"/>
      <w:r w:rsidRPr="005D60AB">
        <w:rPr>
          <w:i/>
          <w:iCs/>
          <w:lang w:val="en-US"/>
        </w:rPr>
        <w:t>fairly diversified</w:t>
      </w:r>
      <w:proofErr w:type="gramEnd"/>
      <w:r w:rsidRPr="005D60AB">
        <w:rPr>
          <w:i/>
          <w:iCs/>
          <w:lang w:val="en-US"/>
        </w:rPr>
        <w:t xml:space="preserve"> portfolio, there is an issue.</w:t>
      </w:r>
    </w:p>
    <w:p w14:paraId="6B192165" w14:textId="1681B4E9" w:rsidR="00A82A70" w:rsidRPr="005D60AB" w:rsidRDefault="00A82A70" w:rsidP="00A82A70">
      <w:pPr>
        <w:rPr>
          <w:i/>
          <w:iCs/>
          <w:lang w:val="en-US"/>
        </w:rPr>
      </w:pPr>
      <w:r>
        <w:rPr>
          <w:i/>
          <w:iCs/>
          <w:lang w:val="en-US"/>
        </w:rPr>
        <w:t xml:space="preserve">It must further be </w:t>
      </w:r>
      <w:proofErr w:type="gramStart"/>
      <w:r>
        <w:rPr>
          <w:i/>
          <w:iCs/>
          <w:lang w:val="en-US"/>
        </w:rPr>
        <w:t>taken into account</w:t>
      </w:r>
      <w:proofErr w:type="gramEnd"/>
      <w:r>
        <w:rPr>
          <w:i/>
          <w:iCs/>
          <w:lang w:val="en-US"/>
        </w:rPr>
        <w:t xml:space="preserve"> that</w:t>
      </w:r>
      <w:r w:rsidRPr="005D60AB">
        <w:rPr>
          <w:i/>
          <w:iCs/>
          <w:lang w:val="en-US"/>
        </w:rPr>
        <w:t xml:space="preserve"> a portfolio of 10 funds could easily have 5000 underlying investments, meaning 5000</w:t>
      </w:r>
      <w:r>
        <w:rPr>
          <w:i/>
          <w:iCs/>
          <w:lang w:val="en-US"/>
        </w:rPr>
        <w:t xml:space="preserve"> investee</w:t>
      </w:r>
      <w:r w:rsidRPr="005D60AB">
        <w:rPr>
          <w:i/>
          <w:iCs/>
          <w:lang w:val="en-US"/>
        </w:rPr>
        <w:t xml:space="preserve"> companies</w:t>
      </w:r>
      <w:r>
        <w:rPr>
          <w:i/>
          <w:iCs/>
          <w:lang w:val="en-US"/>
        </w:rPr>
        <w:t xml:space="preserve"> with which</w:t>
      </w:r>
      <w:r w:rsidRPr="005D60AB">
        <w:rPr>
          <w:i/>
          <w:iCs/>
          <w:lang w:val="en-US"/>
        </w:rPr>
        <w:t xml:space="preserve"> to potentially </w:t>
      </w:r>
      <w:r>
        <w:rPr>
          <w:i/>
          <w:iCs/>
          <w:lang w:val="en-US"/>
        </w:rPr>
        <w:t xml:space="preserve">plan or </w:t>
      </w:r>
      <w:r w:rsidRPr="005D60AB">
        <w:rPr>
          <w:i/>
          <w:iCs/>
          <w:lang w:val="en-US"/>
        </w:rPr>
        <w:t xml:space="preserve">take action. </w:t>
      </w:r>
      <w:r>
        <w:rPr>
          <w:i/>
          <w:iCs/>
          <w:lang w:val="en-US"/>
        </w:rPr>
        <w:t>Even t</w:t>
      </w:r>
      <w:r w:rsidRPr="005D60AB">
        <w:rPr>
          <w:i/>
          <w:iCs/>
          <w:lang w:val="en-US"/>
        </w:rPr>
        <w:t>aking a top 20 investments approach will not solve much, since top 20 investments will most likely be less than 1% of the total investment. Targets on for example CO2 emissions can hardly be meaningful without taking sector and geography into consideration.</w:t>
      </w:r>
    </w:p>
    <w:p w14:paraId="3E2318C7" w14:textId="77777777" w:rsidR="00A82A70" w:rsidRPr="005D60AB" w:rsidRDefault="00A82A70" w:rsidP="00A82A70">
      <w:pPr>
        <w:rPr>
          <w:i/>
          <w:iCs/>
          <w:lang w:val="en-US"/>
        </w:rPr>
      </w:pPr>
      <w:r w:rsidRPr="005D60AB">
        <w:rPr>
          <w:i/>
          <w:iCs/>
          <w:lang w:val="en-US"/>
        </w:rPr>
        <w:t>A further issue is that actions will to a large degree be taken on a</w:t>
      </w:r>
      <w:r>
        <w:rPr>
          <w:i/>
          <w:iCs/>
          <w:lang w:val="en-US"/>
        </w:rPr>
        <w:t>n</w:t>
      </w:r>
      <w:r w:rsidRPr="005D60AB">
        <w:rPr>
          <w:i/>
          <w:iCs/>
          <w:lang w:val="en-US"/>
        </w:rPr>
        <w:t xml:space="preserve"> investee company level, not on PAI level. Thus, if a </w:t>
      </w:r>
      <w:r>
        <w:rPr>
          <w:i/>
          <w:iCs/>
          <w:lang w:val="en-US"/>
        </w:rPr>
        <w:t>financial market participant</w:t>
      </w:r>
      <w:r w:rsidRPr="005D60AB">
        <w:rPr>
          <w:i/>
          <w:iCs/>
          <w:lang w:val="en-US"/>
        </w:rPr>
        <w:t xml:space="preserve"> has a series of meetings with a specific investee company, covering </w:t>
      </w:r>
      <w:proofErr w:type="gramStart"/>
      <w:r w:rsidRPr="005D60AB">
        <w:rPr>
          <w:i/>
          <w:iCs/>
          <w:lang w:val="en-US"/>
        </w:rPr>
        <w:t>a number of</w:t>
      </w:r>
      <w:proofErr w:type="gramEnd"/>
      <w:r w:rsidRPr="005D60AB">
        <w:rPr>
          <w:i/>
          <w:iCs/>
          <w:lang w:val="en-US"/>
        </w:rPr>
        <w:t xml:space="preserve"> PAIs, this series of meetings should in principle be described for each PAI, each time with a certain angle of that PAI. This adds up to a lot of repetition which is extra problematic given the extremely limited page space available.</w:t>
      </w:r>
      <w:r>
        <w:rPr>
          <w:i/>
          <w:iCs/>
          <w:lang w:val="en-US"/>
        </w:rPr>
        <w:t xml:space="preserve"> </w:t>
      </w:r>
    </w:p>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1DB02CCD" w14:textId="667214E9" w:rsidR="00A82A70" w:rsidRPr="00F9329C" w:rsidRDefault="00A82A70" w:rsidP="00A82A70">
      <w:pPr>
        <w:rPr>
          <w:i/>
          <w:iCs/>
          <w:lang w:val="en-US"/>
        </w:rPr>
      </w:pPr>
      <w:r w:rsidRPr="00F9329C">
        <w:rPr>
          <w:i/>
          <w:iCs/>
          <w:lang w:val="en-US"/>
        </w:rPr>
        <w:t xml:space="preserve">Generally, we propose to simplify the list of indicators and avoid technical changes of them </w:t>
      </w:r>
      <w:proofErr w:type="gramStart"/>
      <w:r w:rsidRPr="00F9329C">
        <w:rPr>
          <w:i/>
          <w:iCs/>
          <w:lang w:val="en-US"/>
        </w:rPr>
        <w:t>in order to</w:t>
      </w:r>
      <w:proofErr w:type="gramEnd"/>
      <w:r w:rsidRPr="00F9329C">
        <w:rPr>
          <w:i/>
          <w:iCs/>
          <w:lang w:val="en-US"/>
        </w:rPr>
        <w:t xml:space="preserve"> promote comparability and the value of the disclosures for the end investor, especially the retail investors.   </w:t>
      </w:r>
    </w:p>
    <w:p w14:paraId="0AB36674" w14:textId="77777777" w:rsidR="00A82A70" w:rsidRDefault="00A82A70" w:rsidP="00A82A70">
      <w:pPr>
        <w:rPr>
          <w:i/>
          <w:iCs/>
          <w:lang w:val="en-US"/>
        </w:rPr>
      </w:pPr>
      <w:r w:rsidRPr="00F9329C">
        <w:rPr>
          <w:i/>
          <w:iCs/>
          <w:lang w:val="en-US"/>
        </w:rPr>
        <w:t>T</w:t>
      </w:r>
      <w:r w:rsidRPr="005D60AB">
        <w:rPr>
          <w:i/>
          <w:iCs/>
          <w:lang w:val="en-US"/>
        </w:rPr>
        <w:t>he list of indicators</w:t>
      </w:r>
      <w:r w:rsidRPr="00F9329C">
        <w:rPr>
          <w:i/>
          <w:iCs/>
          <w:lang w:val="en-US"/>
        </w:rPr>
        <w:t xml:space="preserve"> must be</w:t>
      </w:r>
      <w:r w:rsidRPr="005D60AB">
        <w:rPr>
          <w:i/>
          <w:iCs/>
          <w:lang w:val="en-US"/>
        </w:rPr>
        <w:t xml:space="preserve"> </w:t>
      </w:r>
      <w:r w:rsidRPr="00F9329C">
        <w:rPr>
          <w:i/>
          <w:iCs/>
          <w:lang w:val="en-US"/>
        </w:rPr>
        <w:t>aligned with the</w:t>
      </w:r>
      <w:r>
        <w:rPr>
          <w:i/>
          <w:iCs/>
          <w:lang w:val="en-US"/>
        </w:rPr>
        <w:t xml:space="preserve"> mandatory</w:t>
      </w:r>
      <w:r w:rsidRPr="00F9329C">
        <w:rPr>
          <w:i/>
          <w:iCs/>
          <w:lang w:val="en-US"/>
        </w:rPr>
        <w:t xml:space="preserve"> reporting requirements in the CSRD and the ESRS</w:t>
      </w:r>
      <w:r>
        <w:rPr>
          <w:i/>
          <w:iCs/>
          <w:lang w:val="en-US"/>
        </w:rPr>
        <w:t xml:space="preserve"> </w:t>
      </w:r>
      <w:r w:rsidRPr="00F9329C">
        <w:rPr>
          <w:i/>
          <w:iCs/>
          <w:lang w:val="en-US"/>
        </w:rPr>
        <w:t xml:space="preserve">standards as the reporting requirements in the SFDR should be limited to reported data. </w:t>
      </w:r>
      <w:r>
        <w:rPr>
          <w:i/>
          <w:iCs/>
          <w:lang w:val="en-US"/>
        </w:rPr>
        <w:t xml:space="preserve">In this line, it should be a general rule that financial market participants should only report on data reported by investee companies. </w:t>
      </w:r>
    </w:p>
    <w:p w14:paraId="603C4BDA" w14:textId="541C99D0" w:rsidR="00A82A70" w:rsidRPr="00F9329C" w:rsidRDefault="00A82A70" w:rsidP="00A82A70">
      <w:pPr>
        <w:rPr>
          <w:i/>
          <w:iCs/>
          <w:lang w:val="en-US"/>
        </w:rPr>
      </w:pPr>
      <w:r w:rsidRPr="00F9329C">
        <w:rPr>
          <w:i/>
          <w:iCs/>
          <w:lang w:val="en-US"/>
        </w:rPr>
        <w:lastRenderedPageBreak/>
        <w:t>Otherwise, financial market participants must use estimations. This use of estimations will inevitably lead to less comparability between financial market participants to the detriment of the investors.</w:t>
      </w:r>
    </w:p>
    <w:p w14:paraId="0436D74B" w14:textId="77777777" w:rsidR="00A82A70" w:rsidRPr="005D60AB" w:rsidRDefault="00A82A70" w:rsidP="00A82A70">
      <w:pPr>
        <w:rPr>
          <w:i/>
          <w:lang w:val="en-US"/>
        </w:rPr>
      </w:pPr>
      <w:r w:rsidRPr="00F9329C">
        <w:rPr>
          <w:i/>
          <w:iCs/>
          <w:lang w:val="en-US"/>
        </w:rPr>
        <w:t>We</w:t>
      </w:r>
      <w:r>
        <w:rPr>
          <w:i/>
          <w:iCs/>
          <w:lang w:val="en-US"/>
        </w:rPr>
        <w:t xml:space="preserve"> fully</w:t>
      </w:r>
      <w:r w:rsidRPr="00F9329C">
        <w:rPr>
          <w:i/>
          <w:iCs/>
          <w:lang w:val="en-US"/>
        </w:rPr>
        <w:t xml:space="preserve"> agree with the ESAs that ESG-data are quickly evolving and increasingly becoming better. Therefore, we would suggest the ESAs to bring forth further guidance on the use of updated ESG-data</w:t>
      </w:r>
      <w:r>
        <w:rPr>
          <w:i/>
          <w:iCs/>
          <w:lang w:val="en-US"/>
        </w:rPr>
        <w:t>,</w:t>
      </w:r>
      <w:r w:rsidRPr="00F9329C">
        <w:rPr>
          <w:i/>
          <w:iCs/>
          <w:lang w:val="en-US"/>
        </w:rPr>
        <w:t xml:space="preserve"> </w:t>
      </w:r>
      <w:r>
        <w:rPr>
          <w:i/>
          <w:iCs/>
          <w:lang w:val="en-US"/>
        </w:rPr>
        <w:t>especially,</w:t>
      </w:r>
      <w:r w:rsidRPr="00F9329C">
        <w:rPr>
          <w:i/>
          <w:iCs/>
          <w:lang w:val="en-US"/>
        </w:rPr>
        <w:t xml:space="preserve"> </w:t>
      </w:r>
      <w:r>
        <w:rPr>
          <w:i/>
          <w:iCs/>
          <w:lang w:val="en-US"/>
        </w:rPr>
        <w:t>concerning</w:t>
      </w:r>
      <w:r w:rsidRPr="00F9329C">
        <w:rPr>
          <w:i/>
          <w:iCs/>
          <w:lang w:val="en-US"/>
        </w:rPr>
        <w:t xml:space="preserve"> past reporting periods.</w:t>
      </w:r>
      <w:r>
        <w:rPr>
          <w:i/>
          <w:lang w:val="en-US"/>
        </w:rPr>
        <w:t xml:space="preserve">   </w:t>
      </w:r>
      <w:r w:rsidRPr="005D60AB">
        <w:rPr>
          <w:i/>
          <w:lang w:val="en-US"/>
        </w:rPr>
        <w:t xml:space="preserve"> </w:t>
      </w:r>
    </w:p>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01EBBA18" w14:textId="0A7C0D95" w:rsidR="00A82A70" w:rsidRPr="00F9329C" w:rsidRDefault="00A82A70" w:rsidP="00A82A70">
      <w:pPr>
        <w:rPr>
          <w:i/>
          <w:iCs/>
          <w:lang w:val="en-US"/>
        </w:rPr>
      </w:pPr>
      <w:r w:rsidRPr="005D60AB">
        <w:rPr>
          <w:i/>
          <w:iCs/>
          <w:lang w:val="en-US"/>
        </w:rPr>
        <w:t>Finance Denmark does not agree with the proposal</w:t>
      </w:r>
      <w:r w:rsidRPr="00F9329C">
        <w:rPr>
          <w:i/>
          <w:iCs/>
          <w:lang w:val="en-US"/>
        </w:rPr>
        <w:t xml:space="preserve">. Firstly, it is not easy to ascertain what the share of information from investee companies for the PAI indicators for which the financial market participants relies on information directly as these data are very complicated. Therefore, financial market participants would in practice be required to set up advanced and costly it-solutions to meet the proposal. </w:t>
      </w:r>
    </w:p>
    <w:p w14:paraId="4B4ED594" w14:textId="77777777" w:rsidR="00A82A70" w:rsidRPr="00F9329C" w:rsidRDefault="00A82A70" w:rsidP="00A82A70">
      <w:pPr>
        <w:rPr>
          <w:i/>
          <w:iCs/>
          <w:lang w:val="en-US"/>
        </w:rPr>
      </w:pPr>
      <w:r w:rsidRPr="00F9329C">
        <w:rPr>
          <w:i/>
          <w:iCs/>
          <w:lang w:val="en-US"/>
        </w:rPr>
        <w:t>Secondly, it</w:t>
      </w:r>
      <w:r>
        <w:rPr>
          <w:i/>
          <w:iCs/>
          <w:lang w:val="en-US"/>
        </w:rPr>
        <w:t xml:space="preserve"> is</w:t>
      </w:r>
      <w:r w:rsidRPr="00F9329C">
        <w:rPr>
          <w:i/>
          <w:iCs/>
          <w:lang w:val="en-US"/>
        </w:rPr>
        <w:t xml:space="preserve"> very dou</w:t>
      </w:r>
      <w:r w:rsidRPr="005D60AB">
        <w:rPr>
          <w:i/>
          <w:iCs/>
          <w:lang w:val="en-US"/>
        </w:rPr>
        <w:t>btful whether this piece</w:t>
      </w:r>
      <w:r w:rsidRPr="00F9329C">
        <w:rPr>
          <w:i/>
          <w:iCs/>
          <w:lang w:val="en-US"/>
        </w:rPr>
        <w:t xml:space="preserve"> of information would be of any value to the end investor, especially the retail investors.</w:t>
      </w:r>
    </w:p>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5EC695FA" w14:textId="565E6280" w:rsidR="00A82A70" w:rsidRPr="005D60AB" w:rsidRDefault="00A82A70" w:rsidP="00A82A70">
      <w:pPr>
        <w:rPr>
          <w:i/>
          <w:iCs/>
          <w:lang w:val="en-US"/>
        </w:rPr>
      </w:pPr>
      <w:r w:rsidRPr="005D60AB">
        <w:rPr>
          <w:i/>
          <w:iCs/>
          <w:lang w:val="en-US"/>
        </w:rPr>
        <w:t xml:space="preserve">Finance Denmark is of the view that no change to the current definition of “all investments” is needed. A change of the definition would increase the complexity of the disclosures. The disclosures are already too complex for the investors to understand.  </w:t>
      </w:r>
    </w:p>
    <w:p w14:paraId="037471F7" w14:textId="77777777" w:rsidR="00A82A70" w:rsidRPr="005D60AB" w:rsidRDefault="00A82A70" w:rsidP="00A82A70">
      <w:pPr>
        <w:rPr>
          <w:i/>
          <w:iCs/>
          <w:lang w:val="en-US"/>
        </w:rPr>
      </w:pPr>
      <w:r w:rsidRPr="005D60AB">
        <w:rPr>
          <w:i/>
          <w:iCs/>
          <w:lang w:val="en-US"/>
        </w:rPr>
        <w:t xml:space="preserve">This should </w:t>
      </w:r>
      <w:r>
        <w:rPr>
          <w:i/>
          <w:iCs/>
          <w:lang w:val="en-US"/>
        </w:rPr>
        <w:t xml:space="preserve">also </w:t>
      </w:r>
      <w:r w:rsidRPr="005D60AB">
        <w:rPr>
          <w:i/>
          <w:iCs/>
          <w:lang w:val="en-US"/>
        </w:rPr>
        <w:t>be seen in the light of the fact that the</w:t>
      </w:r>
      <w:r>
        <w:rPr>
          <w:i/>
          <w:iCs/>
          <w:lang w:val="en-US"/>
        </w:rPr>
        <w:t xml:space="preserve"> financial market participants have not even had the chance to publish the first PAI report while the delegated regulation has been in force. </w:t>
      </w:r>
      <w:r w:rsidRPr="009776E9">
        <w:rPr>
          <w:i/>
          <w:iCs/>
          <w:lang w:val="en-US"/>
        </w:rPr>
        <w:t xml:space="preserve"> </w:t>
      </w:r>
    </w:p>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lastRenderedPageBreak/>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3242CB31" w14:textId="51B257D1" w:rsidR="00A82A70" w:rsidRPr="00F90651" w:rsidRDefault="00A82A70" w:rsidP="00A82A70">
      <w:pPr>
        <w:rPr>
          <w:i/>
          <w:lang w:val="en-US"/>
        </w:rPr>
      </w:pPr>
      <w:r w:rsidRPr="00F90651">
        <w:rPr>
          <w:i/>
          <w:lang w:val="en-US"/>
        </w:rPr>
        <w:t xml:space="preserve">Requiring the inclusion of information on investee companies’ value chain would be a difficult requirement to fulfill in practice due to a significant lack of data. </w:t>
      </w:r>
      <w:r>
        <w:rPr>
          <w:i/>
          <w:lang w:val="en-US"/>
        </w:rPr>
        <w:t xml:space="preserve">If a proposal to require the inclusion of information on investee companies´ value chains in the PAI calculations is adopted, Finance Denmark would like to stress that it is important that it should apply to reported data only and that it may not be applicable to all PAIs. In general, estimations are problematic in terms of comparability and precision and should, as much as possible, be avoided. </w:t>
      </w:r>
    </w:p>
    <w:p w14:paraId="4779F390" w14:textId="77777777" w:rsidR="00A82A70" w:rsidRPr="00F90651" w:rsidRDefault="00A82A70" w:rsidP="00A82A70">
      <w:pPr>
        <w:rPr>
          <w:i/>
          <w:lang w:val="en-US"/>
        </w:rPr>
      </w:pPr>
      <w:r>
        <w:rPr>
          <w:i/>
          <w:lang w:val="en-US"/>
        </w:rPr>
        <w:t>However</w:t>
      </w:r>
      <w:r w:rsidRPr="00F90651">
        <w:rPr>
          <w:i/>
          <w:lang w:val="en-US"/>
        </w:rPr>
        <w:t xml:space="preserve">, as described above, cf.  Q1, investments are inherently international. Requiring the inclusion of information on investee companies´ value chains in the PAI calculations </w:t>
      </w:r>
      <w:r>
        <w:rPr>
          <w:i/>
          <w:lang w:val="en-US"/>
        </w:rPr>
        <w:t>only in cases where</w:t>
      </w:r>
      <w:r w:rsidRPr="00F90651">
        <w:rPr>
          <w:i/>
          <w:lang w:val="en-US"/>
        </w:rPr>
        <w:t xml:space="preserve"> the investee company reports on them would introduce a very uneven playing field. This applies </w:t>
      </w:r>
      <w:proofErr w:type="gramStart"/>
      <w:r w:rsidRPr="00F90651">
        <w:rPr>
          <w:i/>
          <w:lang w:val="en-US"/>
        </w:rPr>
        <w:t>in particular for</w:t>
      </w:r>
      <w:proofErr w:type="gramEnd"/>
      <w:r w:rsidRPr="00F90651">
        <w:rPr>
          <w:i/>
          <w:lang w:val="en-US"/>
        </w:rPr>
        <w:t xml:space="preserve"> EU</w:t>
      </w:r>
      <w:r>
        <w:rPr>
          <w:i/>
          <w:lang w:val="en-US"/>
        </w:rPr>
        <w:t xml:space="preserve"> </w:t>
      </w:r>
      <w:r w:rsidRPr="00F90651">
        <w:rPr>
          <w:i/>
          <w:lang w:val="en-US"/>
        </w:rPr>
        <w:t>companies that find themselves in competition with non-EU</w:t>
      </w:r>
      <w:r>
        <w:rPr>
          <w:i/>
          <w:lang w:val="en-US"/>
        </w:rPr>
        <w:t xml:space="preserve"> </w:t>
      </w:r>
      <w:r w:rsidRPr="00F90651">
        <w:rPr>
          <w:i/>
          <w:lang w:val="en-US"/>
        </w:rPr>
        <w:t>companies as the non-EU-companies will not be required to report on the PAI calculations in their value chains. In this way, financial market participants would be incentivized to invest in non-EU</w:t>
      </w:r>
      <w:r>
        <w:rPr>
          <w:i/>
          <w:lang w:val="en-US"/>
        </w:rPr>
        <w:t xml:space="preserve"> </w:t>
      </w:r>
      <w:r w:rsidRPr="00F90651">
        <w:rPr>
          <w:i/>
          <w:lang w:val="en-US"/>
        </w:rPr>
        <w:t xml:space="preserve">companies as they do not report on PAI in their value chains. </w:t>
      </w:r>
    </w:p>
    <w:p w14:paraId="0651B361" w14:textId="765FBBBE" w:rsidR="00A82A70" w:rsidRPr="00F90651" w:rsidRDefault="00A82A70" w:rsidP="00A82A70">
      <w:pPr>
        <w:rPr>
          <w:i/>
          <w:lang w:val="en-US"/>
        </w:rPr>
      </w:pPr>
      <w:r w:rsidRPr="00F90651">
        <w:rPr>
          <w:i/>
          <w:lang w:val="en-US"/>
        </w:rPr>
        <w:t>The requirement would also be problematic for the many EU</w:t>
      </w:r>
      <w:r>
        <w:rPr>
          <w:i/>
          <w:lang w:val="en-US"/>
        </w:rPr>
        <w:t xml:space="preserve"> </w:t>
      </w:r>
      <w:r w:rsidRPr="00F90651">
        <w:rPr>
          <w:i/>
          <w:lang w:val="en-US"/>
        </w:rPr>
        <w:t xml:space="preserve">companies whose value chains include business with companies outside of the EU. </w:t>
      </w:r>
    </w:p>
    <w:p w14:paraId="075B46B7" w14:textId="77777777" w:rsidR="00A82A70" w:rsidRDefault="00A82A70" w:rsidP="00A82A70">
      <w:pPr>
        <w:rPr>
          <w:i/>
          <w:lang w:val="en-US"/>
        </w:rPr>
      </w:pPr>
      <w:r w:rsidRPr="00F90651">
        <w:rPr>
          <w:i/>
          <w:lang w:val="en-US"/>
        </w:rPr>
        <w:t xml:space="preserve">Finance Denmark would like to stress that it is very important that disclosures for which there is no data should not be introduced or included in the delegated regulation. This is </w:t>
      </w:r>
      <w:proofErr w:type="gramStart"/>
      <w:r w:rsidRPr="00F90651">
        <w:rPr>
          <w:i/>
          <w:lang w:val="en-US"/>
        </w:rPr>
        <w:t>due to the fact that</w:t>
      </w:r>
      <w:proofErr w:type="gramEnd"/>
      <w:r w:rsidRPr="00F90651">
        <w:rPr>
          <w:i/>
          <w:lang w:val="en-US"/>
        </w:rPr>
        <w:t xml:space="preserve"> reporting from the estimations ha</w:t>
      </w:r>
      <w:r>
        <w:rPr>
          <w:i/>
          <w:lang w:val="en-US"/>
        </w:rPr>
        <w:t>s</w:t>
      </w:r>
      <w:r w:rsidRPr="00F90651">
        <w:rPr>
          <w:i/>
          <w:lang w:val="en-US"/>
        </w:rPr>
        <w:t xml:space="preserve"> to be made in the absence of real data. These estimations will inevitable differ widely across data providers and thus</w:t>
      </w:r>
      <w:r>
        <w:rPr>
          <w:i/>
          <w:lang w:val="en-US"/>
        </w:rPr>
        <w:t>,</w:t>
      </w:r>
      <w:r w:rsidRPr="00F90651">
        <w:rPr>
          <w:i/>
          <w:lang w:val="en-US"/>
        </w:rPr>
        <w:t xml:space="preserve"> decrease the comparability between entities.</w:t>
      </w:r>
    </w:p>
    <w:p w14:paraId="51045E2F" w14:textId="33C15DD8" w:rsidR="00A82A70" w:rsidRDefault="00A82A70" w:rsidP="00A82A70">
      <w:pPr>
        <w:rPr>
          <w:i/>
          <w:lang w:val="en-US"/>
        </w:rPr>
      </w:pPr>
      <w:r>
        <w:rPr>
          <w:i/>
          <w:lang w:val="en-US"/>
        </w:rPr>
        <w:t>Finance Denmark</w:t>
      </w:r>
      <w:r w:rsidRPr="00EA6A4E">
        <w:rPr>
          <w:i/>
          <w:lang w:val="en-US"/>
        </w:rPr>
        <w:t xml:space="preserve"> would also like to raise the issue of using non-public information that could be deemed material. The ESAs should not encourage </w:t>
      </w:r>
      <w:r>
        <w:rPr>
          <w:i/>
          <w:lang w:val="en-US"/>
        </w:rPr>
        <w:t>financial market participant</w:t>
      </w:r>
      <w:r w:rsidRPr="00EA6A4E">
        <w:rPr>
          <w:i/>
          <w:lang w:val="en-US"/>
        </w:rPr>
        <w:t xml:space="preserve">s to disclose information that would not be reported but obtained directly from the companies when that information could constitute material non-public information.  </w:t>
      </w:r>
      <w:r>
        <w:rPr>
          <w:i/>
          <w:lang w:val="en-US"/>
        </w:rPr>
        <w:t xml:space="preserve">This would among other create disparity in the information given concerning the same investees and hinder comparability among financial market participants.  </w:t>
      </w:r>
    </w:p>
    <w:p w14:paraId="5D96DEDC" w14:textId="1C39F459" w:rsidR="00A82A70" w:rsidRDefault="00A82A70" w:rsidP="00A82A70">
      <w:pPr>
        <w:rPr>
          <w:i/>
          <w:lang w:val="en-US"/>
        </w:rPr>
      </w:pPr>
      <w:r w:rsidRPr="00276850">
        <w:rPr>
          <w:i/>
          <w:lang w:val="en-US"/>
        </w:rPr>
        <w:t xml:space="preserve">In addition, while some additional information </w:t>
      </w:r>
      <w:r>
        <w:rPr>
          <w:i/>
          <w:lang w:val="en-US"/>
        </w:rPr>
        <w:t>could</w:t>
      </w:r>
      <w:r w:rsidRPr="00276850">
        <w:rPr>
          <w:i/>
          <w:lang w:val="en-US"/>
        </w:rPr>
        <w:t xml:space="preserve"> be found by including information from the investee companies’ value chains (</w:t>
      </w:r>
      <w:proofErr w:type="gramStart"/>
      <w:r w:rsidRPr="00276850">
        <w:rPr>
          <w:i/>
          <w:lang w:val="en-US"/>
        </w:rPr>
        <w:t>e.g.</w:t>
      </w:r>
      <w:proofErr w:type="gramEnd"/>
      <w:r w:rsidRPr="00276850">
        <w:rPr>
          <w:i/>
          <w:lang w:val="en-US"/>
        </w:rPr>
        <w:t xml:space="preserve"> </w:t>
      </w:r>
      <w:r>
        <w:rPr>
          <w:i/>
          <w:lang w:val="en-US"/>
        </w:rPr>
        <w:t>s</w:t>
      </w:r>
      <w:r w:rsidRPr="00276850">
        <w:rPr>
          <w:i/>
          <w:lang w:val="en-US"/>
        </w:rPr>
        <w:t xml:space="preserve">cope 3 </w:t>
      </w:r>
      <w:r>
        <w:rPr>
          <w:i/>
          <w:lang w:val="en-US"/>
        </w:rPr>
        <w:t>e</w:t>
      </w:r>
      <w:r w:rsidRPr="00276850">
        <w:rPr>
          <w:i/>
          <w:lang w:val="en-US"/>
        </w:rPr>
        <w:t xml:space="preserve">missions), it is important to be aware of the high </w:t>
      </w:r>
      <w:r>
        <w:rPr>
          <w:i/>
          <w:lang w:val="en-US"/>
        </w:rPr>
        <w:t>risk</w:t>
      </w:r>
      <w:r w:rsidRPr="00276850">
        <w:rPr>
          <w:i/>
          <w:lang w:val="en-US"/>
        </w:rPr>
        <w:t xml:space="preserve"> of </w:t>
      </w:r>
      <w:r>
        <w:rPr>
          <w:i/>
          <w:lang w:val="en-US"/>
        </w:rPr>
        <w:t>introducing</w:t>
      </w:r>
      <w:r w:rsidRPr="00276850">
        <w:rPr>
          <w:i/>
          <w:lang w:val="en-US"/>
        </w:rPr>
        <w:t xml:space="preserve"> of double counting </w:t>
      </w:r>
      <w:r>
        <w:rPr>
          <w:i/>
          <w:lang w:val="en-US"/>
        </w:rPr>
        <w:t xml:space="preserve">in </w:t>
      </w:r>
      <w:r w:rsidRPr="00276850">
        <w:rPr>
          <w:i/>
          <w:lang w:val="en-US"/>
        </w:rPr>
        <w:t xml:space="preserve">a portfolio context, where the </w:t>
      </w:r>
      <w:r>
        <w:rPr>
          <w:i/>
          <w:lang w:val="en-US"/>
        </w:rPr>
        <w:t>financial market participant</w:t>
      </w:r>
      <w:r w:rsidRPr="00276850">
        <w:rPr>
          <w:i/>
          <w:lang w:val="en-US"/>
        </w:rPr>
        <w:t xml:space="preserve">s invests in </w:t>
      </w:r>
      <w:r>
        <w:rPr>
          <w:i/>
          <w:lang w:val="en-US"/>
        </w:rPr>
        <w:t xml:space="preserve">investee </w:t>
      </w:r>
      <w:r w:rsidRPr="00276850">
        <w:rPr>
          <w:i/>
          <w:lang w:val="en-US"/>
        </w:rPr>
        <w:t>companies that are part of the same value chain. Hence, until it is possible to identify and adjust for the double counting elements from overlapping value chains</w:t>
      </w:r>
      <w:r w:rsidRPr="00FF6491">
        <w:rPr>
          <w:i/>
          <w:lang w:val="en-US"/>
        </w:rPr>
        <w:t>, it would be preferrable to calculate separate versions of the metrics with and without the inclusion of value chain contributions,</w:t>
      </w:r>
      <w:r>
        <w:rPr>
          <w:i/>
          <w:lang w:val="en-US"/>
        </w:rPr>
        <w:t xml:space="preserve"> if value chains are included.  </w:t>
      </w:r>
    </w:p>
    <w:p w14:paraId="7FF07DAD" w14:textId="77777777" w:rsidR="00A82A70" w:rsidRPr="00F90651" w:rsidRDefault="00A82A70" w:rsidP="00A82A70">
      <w:pPr>
        <w:rPr>
          <w:i/>
          <w:lang w:val="en-US"/>
        </w:rPr>
      </w:pPr>
      <w:r>
        <w:rPr>
          <w:i/>
          <w:lang w:val="en-US"/>
        </w:rPr>
        <w:lastRenderedPageBreak/>
        <w:t xml:space="preserve">In the light of the concerns above, it is highly doubtful whether introducing information on the investee companies’ value chain would provide the investors with any meaningful information. This is especially the case given the information overload that investors already are exposed to, please also see Q21.  </w:t>
      </w:r>
    </w:p>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6313BCE1" w14:textId="5E929295" w:rsidR="00A82A70" w:rsidRDefault="00A82A70" w:rsidP="00A82A70">
      <w:pPr>
        <w:rPr>
          <w:i/>
          <w:lang w:val="en-US"/>
        </w:rPr>
      </w:pPr>
      <w:r w:rsidRPr="005D60AB">
        <w:rPr>
          <w:i/>
          <w:lang w:val="en-US"/>
        </w:rPr>
        <w:t xml:space="preserve">We welcome this Consultation Paper which reiterates the role of derivatives in the sustainable economy and aims to clarify the methodologies to take them into account in investors’ ESG disclosures. </w:t>
      </w:r>
      <w:r>
        <w:rPr>
          <w:i/>
          <w:lang w:val="en-US"/>
        </w:rPr>
        <w:t>In considering the inclusion of derivatives, one important issue is that derivates do not directly finance an entity. In addition, total market exposure across derivatives nets to zero. Moreover, there is a clear danger of double counting when including derivatives.</w:t>
      </w:r>
    </w:p>
    <w:p w14:paraId="08454141" w14:textId="380E3678" w:rsidR="00A82A70" w:rsidRDefault="00A82A70" w:rsidP="00A82A70">
      <w:pPr>
        <w:rPr>
          <w:i/>
          <w:lang w:val="en-US"/>
        </w:rPr>
      </w:pPr>
      <w:r>
        <w:rPr>
          <w:i/>
          <w:lang w:val="en-US"/>
        </w:rPr>
        <w:t>In our view, it</w:t>
      </w:r>
      <w:r w:rsidRPr="005D60AB">
        <w:rPr>
          <w:i/>
          <w:lang w:val="en-US"/>
        </w:rPr>
        <w:t xml:space="preserve"> should be clear that a PAI for derivatives transactions is only relevant when </w:t>
      </w:r>
      <w:r>
        <w:rPr>
          <w:i/>
          <w:lang w:val="en-US"/>
        </w:rPr>
        <w:t>such transactions</w:t>
      </w:r>
      <w:r w:rsidRPr="005D60AB">
        <w:rPr>
          <w:i/>
          <w:lang w:val="en-US"/>
        </w:rPr>
        <w:t xml:space="preserve"> can be seen as an </w:t>
      </w:r>
      <w:r>
        <w:rPr>
          <w:i/>
          <w:lang w:val="en-US"/>
        </w:rPr>
        <w:t xml:space="preserve">alternative to a direct </w:t>
      </w:r>
      <w:r w:rsidRPr="005D60AB">
        <w:rPr>
          <w:i/>
          <w:lang w:val="en-US"/>
        </w:rPr>
        <w:t>investment of the financial institution. In most cases</w:t>
      </w:r>
      <w:r>
        <w:rPr>
          <w:i/>
          <w:lang w:val="en-US"/>
        </w:rPr>
        <w:t>,</w:t>
      </w:r>
      <w:r w:rsidRPr="005D60AB">
        <w:rPr>
          <w:i/>
          <w:lang w:val="en-US"/>
        </w:rPr>
        <w:t xml:space="preserve"> derivative</w:t>
      </w:r>
      <w:r>
        <w:rPr>
          <w:i/>
          <w:lang w:val="en-US"/>
        </w:rPr>
        <w:t xml:space="preserve"> transactions </w:t>
      </w:r>
      <w:r w:rsidRPr="005D60AB">
        <w:rPr>
          <w:i/>
          <w:lang w:val="en-US"/>
        </w:rPr>
        <w:t>are for hedging purposes (</w:t>
      </w:r>
      <w:proofErr w:type="gramStart"/>
      <w:r w:rsidRPr="005D60AB">
        <w:rPr>
          <w:i/>
          <w:lang w:val="en-US"/>
        </w:rPr>
        <w:t>e.g.</w:t>
      </w:r>
      <w:proofErr w:type="gramEnd"/>
      <w:r w:rsidRPr="005D60AB">
        <w:rPr>
          <w:i/>
          <w:lang w:val="en-US"/>
        </w:rPr>
        <w:t xml:space="preserve"> hedging interest rate risks</w:t>
      </w:r>
      <w:r>
        <w:rPr>
          <w:i/>
          <w:lang w:val="en-US"/>
        </w:rPr>
        <w:t xml:space="preserve"> or exchange rate risks</w:t>
      </w:r>
      <w:r w:rsidRPr="005D60AB">
        <w:rPr>
          <w:i/>
          <w:lang w:val="en-US"/>
        </w:rPr>
        <w:t xml:space="preserve">) or giving opportunity for extra return of an already existing investment portfolio (e.g. writing call options on shares in the portfolio of the client). In these cases, there are no investments in economic activities and no investment decision as meant for the PAI (see article 4, paragraph 1a of the SFDR). In those cases, derivates should be excluded from the PAI indicators.  </w:t>
      </w:r>
    </w:p>
    <w:p w14:paraId="67E11CED" w14:textId="144C795B" w:rsidR="00A82A70" w:rsidRDefault="00A82A70" w:rsidP="00A82A70">
      <w:pPr>
        <w:rPr>
          <w:i/>
          <w:lang w:val="en-US"/>
        </w:rPr>
      </w:pPr>
      <w:r>
        <w:rPr>
          <w:i/>
          <w:lang w:val="en-US"/>
        </w:rPr>
        <w:t xml:space="preserve">If derivatives are included, it is important that only derivates equivalent to long positions and physical ownership should be included and that the ESAs clarify this. </w:t>
      </w:r>
    </w:p>
    <w:p w14:paraId="421FA955" w14:textId="77777777" w:rsidR="00A82A70" w:rsidRPr="00DA5696" w:rsidRDefault="00A82A70" w:rsidP="00A82A70">
      <w:pPr>
        <w:rPr>
          <w:i/>
          <w:lang w:val="en-US"/>
        </w:rPr>
      </w:pPr>
      <w:r>
        <w:rPr>
          <w:i/>
          <w:lang w:val="en-US"/>
        </w:rPr>
        <w:t xml:space="preserve">On that basis, Finance Denmark would like to encourage the ESAs to further elaborate which specific derivates that should be covered by the PAI indicators and bear in mind that data for these derivate exposures might not be available.   </w:t>
      </w:r>
    </w:p>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771DC579" w14:textId="77777777" w:rsidR="00DC0E17" w:rsidRPr="000D23B3" w:rsidRDefault="00DC0E17" w:rsidP="00DC0E17">
      <w:pPr>
        <w:rPr>
          <w:i/>
          <w:lang w:val="en-US"/>
        </w:rPr>
      </w:pPr>
      <w:r w:rsidRPr="000D23B3">
        <w:rPr>
          <w:i/>
          <w:lang w:val="en-US"/>
        </w:rPr>
        <w:lastRenderedPageBreak/>
        <w:t>In addition to the comment made above in Q14, Finance Denmark would</w:t>
      </w:r>
      <w:r>
        <w:rPr>
          <w:i/>
          <w:lang w:val="en-US"/>
        </w:rPr>
        <w:t xml:space="preserve"> also</w:t>
      </w:r>
      <w:r w:rsidRPr="000D23B3">
        <w:rPr>
          <w:i/>
          <w:lang w:val="en-US"/>
        </w:rPr>
        <w:t xml:space="preserve"> encourage the ESAs to ensure alignment of the treatment of derivates across regulations.</w:t>
      </w:r>
      <w:r>
        <w:rPr>
          <w:i/>
          <w:lang w:val="en-US"/>
        </w:rPr>
        <w:t xml:space="preserve"> The ESAs should keep the difference between long and short positions in mind when treating the derivatives. </w:t>
      </w:r>
    </w:p>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743356F7" w14:textId="77777777" w:rsidR="00DC0E17" w:rsidRPr="00B81170" w:rsidRDefault="00DC0E17" w:rsidP="00DC0E17">
      <w:pPr>
        <w:rPr>
          <w:i/>
          <w:iCs/>
          <w:lang w:val="en-US"/>
        </w:rPr>
      </w:pPr>
      <w:r w:rsidRPr="000D23B3">
        <w:rPr>
          <w:i/>
          <w:lang w:val="en-US"/>
        </w:rPr>
        <w:t>Finance Denmark believes that an</w:t>
      </w:r>
      <w:r>
        <w:rPr>
          <w:i/>
          <w:lang w:val="en-US"/>
        </w:rPr>
        <w:t>y</w:t>
      </w:r>
      <w:r w:rsidRPr="000D23B3">
        <w:rPr>
          <w:i/>
          <w:lang w:val="en-US"/>
        </w:rPr>
        <w:t xml:space="preserve"> extension of the scope of the provision to other asset classes in Article 17</w:t>
      </w:r>
      <w:r>
        <w:rPr>
          <w:i/>
          <w:lang w:val="en-US"/>
        </w:rPr>
        <w:t xml:space="preserve"> should be done with great caution.  If other asset classes are included in the scope of Article 17, it should be clear from the wording that these asset classes may be netted with share capital and sovereign debt.  </w:t>
      </w:r>
    </w:p>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3C188996" w14:textId="1634EACB" w:rsidR="00DC0E17" w:rsidRDefault="00DC0E17" w:rsidP="00DC0E17">
      <w:pPr>
        <w:rPr>
          <w:i/>
          <w:lang w:val="en-US"/>
        </w:rPr>
      </w:pPr>
      <w:r w:rsidRPr="005D60AB">
        <w:rPr>
          <w:i/>
          <w:lang w:val="en-US"/>
        </w:rPr>
        <w:t xml:space="preserve">Finance Denmark supports the </w:t>
      </w:r>
      <w:r>
        <w:rPr>
          <w:i/>
          <w:lang w:val="en-US"/>
        </w:rPr>
        <w:t xml:space="preserve">overarching aim of increasing comparability and transparency. However, we believe that introducing new concepts and changing existing concepts is counterproductive to the aim and will confuse the investors. On the contrary, the ESAs should, in our opinion, simplify disclosures and standardize concepts. </w:t>
      </w:r>
    </w:p>
    <w:p w14:paraId="1463010F" w14:textId="77777777" w:rsidR="00DC0E17" w:rsidRPr="00B06F12" w:rsidRDefault="00DC0E17" w:rsidP="00DC0E17">
      <w:pPr>
        <w:rPr>
          <w:i/>
          <w:lang w:val="en-US"/>
        </w:rPr>
      </w:pPr>
      <w:r>
        <w:rPr>
          <w:i/>
          <w:lang w:val="en-US"/>
        </w:rPr>
        <w:t xml:space="preserve">Finance Denmark also needs to highlight that questions concerning DNSH are questions that are integral parts of the definition of a sustainable investment in accordance with Article 2(17) of the SFDR and, thus, a part of the discussions on a level 1 revision. Therefore, the ESAs should leave these questions to a level 1-review of SFDR. All our comments below concerning DNSH should be seen in this light.  In the same vein, it is important that standardization of concepts is done through level 1 changes. </w:t>
      </w:r>
    </w:p>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lastRenderedPageBreak/>
        <w:t>&lt;ESMA_QUESTION_SFDR_18&gt;</w:t>
      </w:r>
    </w:p>
    <w:p w14:paraId="04C3F34E" w14:textId="60D3249D" w:rsidR="00365D31" w:rsidRPr="00C00428" w:rsidRDefault="00365D31" w:rsidP="00365D31">
      <w:pPr>
        <w:rPr>
          <w:i/>
          <w:lang w:val="en-US"/>
        </w:rPr>
      </w:pPr>
      <w:r w:rsidRPr="00C00428">
        <w:rPr>
          <w:i/>
          <w:lang w:val="en-US"/>
        </w:rPr>
        <w:t>Finance Denmark finds the disclosure</w:t>
      </w:r>
      <w:r>
        <w:rPr>
          <w:i/>
          <w:lang w:val="en-US"/>
        </w:rPr>
        <w:t>s</w:t>
      </w:r>
      <w:r w:rsidRPr="00C00428">
        <w:rPr>
          <w:i/>
          <w:lang w:val="en-US"/>
        </w:rPr>
        <w:t xml:space="preserve"> of possible quantitative thresholds problematic as such quantitative thresholds must take into consideration in which specific sectors investments are made. </w:t>
      </w:r>
    </w:p>
    <w:p w14:paraId="4557121E" w14:textId="1F307FF7" w:rsidR="00365D31" w:rsidRDefault="00365D31" w:rsidP="00365D31">
      <w:pPr>
        <w:rPr>
          <w:i/>
          <w:lang w:val="en-US"/>
        </w:rPr>
      </w:pPr>
      <w:r w:rsidRPr="00C00428">
        <w:rPr>
          <w:i/>
          <w:lang w:val="en-US"/>
        </w:rPr>
        <w:t xml:space="preserve">To secure diversification and high yield for the investor, financial products contain a wide range of financial instruments covering very different kinds of businesses. Therefore, one threshold would have to be applied for one kind of economic activity while another threshold applies for another economic activity.   </w:t>
      </w:r>
    </w:p>
    <w:p w14:paraId="294A540F" w14:textId="22A9F3E9" w:rsidR="00365D31" w:rsidRPr="00C00428" w:rsidRDefault="00365D31" w:rsidP="00365D31">
      <w:pPr>
        <w:rPr>
          <w:i/>
          <w:lang w:val="en-US"/>
        </w:rPr>
      </w:pPr>
      <w:r>
        <w:rPr>
          <w:i/>
          <w:lang w:val="en-US"/>
        </w:rPr>
        <w:t xml:space="preserve">Introducing quantitative thresholds would also not </w:t>
      </w:r>
      <w:proofErr w:type="gramStart"/>
      <w:r>
        <w:rPr>
          <w:i/>
          <w:lang w:val="en-US"/>
        </w:rPr>
        <w:t>take into account</w:t>
      </w:r>
      <w:proofErr w:type="gramEnd"/>
      <w:r>
        <w:rPr>
          <w:i/>
          <w:lang w:val="en-US"/>
        </w:rPr>
        <w:t xml:space="preserve"> that investment products are different to each other. This also applies to products offered by the same financial market participant. Thus, </w:t>
      </w:r>
      <w:proofErr w:type="gramStart"/>
      <w:r>
        <w:rPr>
          <w:i/>
          <w:lang w:val="en-US"/>
        </w:rPr>
        <w:t>in order for</w:t>
      </w:r>
      <w:proofErr w:type="gramEnd"/>
      <w:r>
        <w:rPr>
          <w:i/>
          <w:lang w:val="en-US"/>
        </w:rPr>
        <w:t xml:space="preserve"> the minimum thresholds to be usable in practice, a minimum threshold would have to be applied on one product while another minimum threshold must be applied on another product. This would be very difficult for financial market participants to implement and even more difficult for retail investors to understand. Further, it would not be conducive to transparency.</w:t>
      </w:r>
    </w:p>
    <w:p w14:paraId="23879EA4" w14:textId="77777777" w:rsidR="00365D31" w:rsidRDefault="00365D31" w:rsidP="00365D31">
      <w:pPr>
        <w:rPr>
          <w:i/>
          <w:lang w:val="en-US"/>
        </w:rPr>
      </w:pPr>
      <w:r>
        <w:rPr>
          <w:i/>
          <w:lang w:val="en-US"/>
        </w:rPr>
        <w:t>T</w:t>
      </w:r>
      <w:r w:rsidRPr="00C00428">
        <w:rPr>
          <w:i/>
          <w:lang w:val="en-US"/>
        </w:rPr>
        <w:t xml:space="preserve">he technology applied in different businesses will </w:t>
      </w:r>
      <w:r>
        <w:rPr>
          <w:i/>
          <w:lang w:val="en-US"/>
        </w:rPr>
        <w:t xml:space="preserve">furthermore </w:t>
      </w:r>
      <w:r w:rsidRPr="00C00428">
        <w:rPr>
          <w:i/>
          <w:lang w:val="en-US"/>
        </w:rPr>
        <w:t xml:space="preserve">change over time as more effective and more sustainable technologies will be developed and applied over time. The investors would, therefore, be subject to </w:t>
      </w:r>
      <w:r>
        <w:rPr>
          <w:i/>
          <w:lang w:val="en-US"/>
        </w:rPr>
        <w:t>further</w:t>
      </w:r>
      <w:r w:rsidRPr="00C00428">
        <w:rPr>
          <w:i/>
          <w:lang w:val="en-US"/>
        </w:rPr>
        <w:t xml:space="preserve"> information overload if they should take very technical and business specific quantitative thresholds into account. </w:t>
      </w:r>
    </w:p>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12109C38" w14:textId="3B6435CE" w:rsidR="00365D31" w:rsidRPr="005D60AB" w:rsidRDefault="00365D31" w:rsidP="00365D31">
      <w:pPr>
        <w:jc w:val="both"/>
        <w:rPr>
          <w:i/>
          <w:lang w:val="en-US"/>
        </w:rPr>
      </w:pPr>
      <w:r w:rsidRPr="005D60AB">
        <w:rPr>
          <w:i/>
          <w:lang w:val="en-US"/>
        </w:rPr>
        <w:t>Allowing companies aligned to the EU Taxonomy to benefit from an “automatic pass” of the SI environmental DNSH would be welcome, however</w:t>
      </w:r>
      <w:r>
        <w:rPr>
          <w:i/>
          <w:lang w:val="en-US"/>
        </w:rPr>
        <w:t>,</w:t>
      </w:r>
      <w:r w:rsidRPr="005D60AB">
        <w:rPr>
          <w:i/>
          <w:lang w:val="en-US"/>
        </w:rPr>
        <w:t xml:space="preserve"> </w:t>
      </w:r>
      <w:proofErr w:type="gramStart"/>
      <w:r w:rsidRPr="005D60AB">
        <w:rPr>
          <w:i/>
          <w:lang w:val="en-US"/>
        </w:rPr>
        <w:t>in light of</w:t>
      </w:r>
      <w:proofErr w:type="gramEnd"/>
      <w:r w:rsidRPr="005D60AB">
        <w:rPr>
          <w:i/>
          <w:lang w:val="en-US"/>
        </w:rPr>
        <w:t xml:space="preserve"> the difference between DNSH notions in the SFDR and the Taxonomy</w:t>
      </w:r>
      <w:r>
        <w:rPr>
          <w:i/>
          <w:lang w:val="en-US"/>
        </w:rPr>
        <w:t>,</w:t>
      </w:r>
      <w:r w:rsidRPr="005D60AB">
        <w:rPr>
          <w:i/>
          <w:lang w:val="en-US"/>
        </w:rPr>
        <w:t xml:space="preserve"> we do not see how a </w:t>
      </w:r>
      <w:r w:rsidRPr="002B66B3">
        <w:rPr>
          <w:i/>
          <w:lang w:val="en-US"/>
        </w:rPr>
        <w:t>safe harbor</w:t>
      </w:r>
      <w:r w:rsidRPr="005D60AB">
        <w:rPr>
          <w:i/>
          <w:lang w:val="en-US"/>
        </w:rPr>
        <w:t xml:space="preserve"> would work in practice and how it can be of more than limited assistance in demonstrating compliance with DNSH.</w:t>
      </w:r>
    </w:p>
    <w:p w14:paraId="2245D31B" w14:textId="77777777" w:rsidR="00365D31" w:rsidRDefault="00365D31" w:rsidP="00365D31">
      <w:pPr>
        <w:rPr>
          <w:i/>
          <w:lang w:val="en-US"/>
        </w:rPr>
      </w:pPr>
      <w:r w:rsidRPr="00F44A9E">
        <w:rPr>
          <w:i/>
          <w:lang w:val="en-US"/>
        </w:rPr>
        <w:t>DNSH assessments within the scope of SFDR are closely tied to the PAI</w:t>
      </w:r>
      <w:r>
        <w:rPr>
          <w:i/>
          <w:lang w:val="en-US"/>
        </w:rPr>
        <w:t xml:space="preserve"> </w:t>
      </w:r>
      <w:r w:rsidRPr="00F44A9E">
        <w:rPr>
          <w:i/>
          <w:lang w:val="en-US"/>
        </w:rPr>
        <w:t>indicators while the taxonomy DNSH assessment in the taxonomy is not</w:t>
      </w:r>
      <w:r>
        <w:rPr>
          <w:i/>
          <w:lang w:val="en-US"/>
        </w:rPr>
        <w:t xml:space="preserve">. </w:t>
      </w:r>
      <w:r w:rsidRPr="00F44A9E">
        <w:rPr>
          <w:i/>
          <w:lang w:val="en-US"/>
        </w:rPr>
        <w:t xml:space="preserve"> </w:t>
      </w:r>
      <w:r>
        <w:rPr>
          <w:i/>
          <w:lang w:val="en-US"/>
        </w:rPr>
        <w:t xml:space="preserve">The </w:t>
      </w:r>
      <w:r w:rsidRPr="00F44A9E">
        <w:rPr>
          <w:i/>
          <w:lang w:val="en-US"/>
        </w:rPr>
        <w:t>taxonomy DNSH assessment</w:t>
      </w:r>
      <w:r>
        <w:rPr>
          <w:i/>
          <w:lang w:val="en-US"/>
        </w:rPr>
        <w:t xml:space="preserve"> is, on the other hand, based on predefined criteria. </w:t>
      </w:r>
    </w:p>
    <w:p w14:paraId="6BC08693" w14:textId="77777777" w:rsidR="00365D31" w:rsidRDefault="00365D31" w:rsidP="00365D31">
      <w:pPr>
        <w:rPr>
          <w:i/>
          <w:lang w:val="en-US"/>
        </w:rPr>
      </w:pPr>
      <w:r>
        <w:rPr>
          <w:i/>
          <w:lang w:val="en-US"/>
        </w:rPr>
        <w:t xml:space="preserve">Further, the taxonomy, including its DNSH assessment, is based on activity-level measurements while SFDR main definitions, including SFDR´s sustainable investment in accordance with Article 2(17) and DNSH-assessment, are in practice entity-based. This means that a financial market participant in practice must do two DNSH tests on one product simultaneously. One DNSH test for the taxonomy-aligned activities of the investee companies in the product and another for the non-taxonomy-aligned activities of the investee companies.  Simultaneously, social features of a DSNH assessment in </w:t>
      </w:r>
      <w:r>
        <w:rPr>
          <w:i/>
          <w:lang w:val="en-US"/>
        </w:rPr>
        <w:lastRenderedPageBreak/>
        <w:t>SFDR are not taken into consideration by the taxonomy DNSH. These discrepancies and asymmetry must be addressed by the ESAs before the taxonomy can act as a “safe harbor”.</w:t>
      </w:r>
    </w:p>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6F58B4D4" w14:textId="0FEB9CDC" w:rsidR="00365D31" w:rsidRPr="00F44A9E" w:rsidRDefault="00365D31" w:rsidP="00365D31">
      <w:pPr>
        <w:rPr>
          <w:i/>
          <w:lang w:val="en-US"/>
        </w:rPr>
      </w:pPr>
      <w:r w:rsidRPr="00F44A9E">
        <w:rPr>
          <w:i/>
          <w:lang w:val="en-US"/>
        </w:rPr>
        <w:t xml:space="preserve">Finance Denmark </w:t>
      </w:r>
      <w:r>
        <w:rPr>
          <w:i/>
          <w:lang w:val="en-US"/>
        </w:rPr>
        <w:t xml:space="preserve">welcomes the notion of alignment in the longer term but sees a range of difficult issues that must be addressed by the legislators. </w:t>
      </w:r>
      <w:r w:rsidRPr="00F44A9E" w:rsidDel="00FB2149">
        <w:rPr>
          <w:i/>
          <w:lang w:val="en-US"/>
        </w:rPr>
        <w:t xml:space="preserve"> </w:t>
      </w:r>
    </w:p>
    <w:p w14:paraId="391E1511" w14:textId="77777777" w:rsidR="00365D31" w:rsidRPr="00F44A9E" w:rsidRDefault="00365D31" w:rsidP="00365D31">
      <w:pPr>
        <w:rPr>
          <w:i/>
          <w:lang w:val="en-US"/>
        </w:rPr>
      </w:pPr>
      <w:r w:rsidRPr="00F44A9E">
        <w:rPr>
          <w:i/>
          <w:lang w:val="en-US"/>
        </w:rPr>
        <w:t xml:space="preserve">DNSH assessments within the scope of SFDR </w:t>
      </w:r>
      <w:r>
        <w:rPr>
          <w:i/>
          <w:lang w:val="en-US"/>
        </w:rPr>
        <w:t>are</w:t>
      </w:r>
      <w:r w:rsidRPr="00F44A9E">
        <w:rPr>
          <w:i/>
          <w:lang w:val="en-US"/>
        </w:rPr>
        <w:t xml:space="preserve"> inherently different to the DNSH assessments made in accordance with the taxonomy. DNSH assessments within the scope of SFDR are closely tied to the PAI</w:t>
      </w:r>
      <w:r>
        <w:rPr>
          <w:i/>
          <w:lang w:val="en-US"/>
        </w:rPr>
        <w:t xml:space="preserve"> </w:t>
      </w:r>
      <w:r w:rsidRPr="00F44A9E">
        <w:rPr>
          <w:i/>
          <w:lang w:val="en-US"/>
        </w:rPr>
        <w:t xml:space="preserve">indicators while the taxonomy DNSH assessment in the taxonomy is not. </w:t>
      </w:r>
    </w:p>
    <w:p w14:paraId="521AF4E2" w14:textId="77777777" w:rsidR="00365D31" w:rsidRPr="00F44A9E" w:rsidRDefault="00365D31" w:rsidP="00365D31">
      <w:pPr>
        <w:rPr>
          <w:i/>
          <w:lang w:val="en-US"/>
        </w:rPr>
      </w:pPr>
      <w:r w:rsidRPr="00F44A9E">
        <w:rPr>
          <w:i/>
          <w:lang w:val="en-US"/>
        </w:rPr>
        <w:t>Further</w:t>
      </w:r>
      <w:r>
        <w:rPr>
          <w:i/>
          <w:lang w:val="en-US"/>
        </w:rPr>
        <w:t>more</w:t>
      </w:r>
      <w:r w:rsidRPr="00F44A9E">
        <w:rPr>
          <w:i/>
          <w:lang w:val="en-US"/>
        </w:rPr>
        <w:t xml:space="preserve">, the taxonomy sets very high standards that most economic activities cannot meet. There is also the practical problem that SFDR for most financial market participants is applied at an entity-level, while the taxonomy is based on an activity level.   </w:t>
      </w:r>
    </w:p>
    <w:p w14:paraId="6F31556B" w14:textId="77777777" w:rsidR="00365D31" w:rsidRDefault="00365D31" w:rsidP="00365D31">
      <w:pPr>
        <w:rPr>
          <w:i/>
          <w:lang w:val="en-US"/>
        </w:rPr>
      </w:pPr>
      <w:r>
        <w:rPr>
          <w:i/>
          <w:lang w:val="en-US"/>
        </w:rPr>
        <w:t>T</w:t>
      </w:r>
      <w:r w:rsidRPr="00F44A9E">
        <w:rPr>
          <w:i/>
          <w:lang w:val="en-US"/>
        </w:rPr>
        <w:t>he taxonomy only covers parts of the real economy</w:t>
      </w:r>
      <w:r>
        <w:rPr>
          <w:i/>
          <w:lang w:val="en-US"/>
        </w:rPr>
        <w:t xml:space="preserve"> while the SFDR covers </w:t>
      </w:r>
      <w:proofErr w:type="gramStart"/>
      <w:r>
        <w:rPr>
          <w:i/>
          <w:lang w:val="en-US"/>
        </w:rPr>
        <w:t>all of</w:t>
      </w:r>
      <w:proofErr w:type="gramEnd"/>
      <w:r>
        <w:rPr>
          <w:i/>
          <w:lang w:val="en-US"/>
        </w:rPr>
        <w:t xml:space="preserve"> the economy. </w:t>
      </w:r>
      <w:r w:rsidRPr="00F44A9E">
        <w:rPr>
          <w:i/>
          <w:lang w:val="en-US"/>
        </w:rPr>
        <w:t xml:space="preserve"> </w:t>
      </w:r>
    </w:p>
    <w:p w14:paraId="52A6E979" w14:textId="77777777" w:rsidR="00365D31" w:rsidRPr="00F44A9E" w:rsidRDefault="00365D31" w:rsidP="00365D31">
      <w:pPr>
        <w:rPr>
          <w:i/>
          <w:lang w:val="en-US"/>
        </w:rPr>
      </w:pPr>
      <w:r>
        <w:rPr>
          <w:i/>
          <w:lang w:val="en-US"/>
        </w:rPr>
        <w:t xml:space="preserve">Also, as described above in Q19, the issue concerning the taxonomy being activity based must also be addressed before the taxonomy TSCs can or should form basis of DNSH assessments of the SFDR. </w:t>
      </w:r>
    </w:p>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583CCDA" w14:textId="7E7EDD69" w:rsidR="00365D31" w:rsidRPr="0022429A" w:rsidRDefault="00365D31" w:rsidP="00365D31">
      <w:pPr>
        <w:rPr>
          <w:i/>
          <w:lang w:val="en-US"/>
        </w:rPr>
      </w:pPr>
      <w:r>
        <w:rPr>
          <w:i/>
          <w:lang w:val="en-US"/>
        </w:rPr>
        <w:t>In our view, s</w:t>
      </w:r>
      <w:r w:rsidRPr="0022429A">
        <w:rPr>
          <w:i/>
          <w:lang w:val="en-US"/>
        </w:rPr>
        <w:t>implification</w:t>
      </w:r>
      <w:r>
        <w:rPr>
          <w:i/>
          <w:lang w:val="en-US"/>
        </w:rPr>
        <w:t>s</w:t>
      </w:r>
      <w:r w:rsidRPr="0022429A">
        <w:rPr>
          <w:i/>
          <w:lang w:val="en-US"/>
        </w:rPr>
        <w:t xml:space="preserve"> </w:t>
      </w:r>
      <w:r>
        <w:rPr>
          <w:i/>
          <w:lang w:val="en-US"/>
        </w:rPr>
        <w:t xml:space="preserve">and standardizations of key concepts </w:t>
      </w:r>
      <w:r w:rsidRPr="0022429A">
        <w:rPr>
          <w:i/>
          <w:lang w:val="en-US"/>
        </w:rPr>
        <w:t>would serve better t</w:t>
      </w:r>
      <w:r>
        <w:rPr>
          <w:i/>
          <w:lang w:val="en-US"/>
        </w:rPr>
        <w:t>o reduce the risk of greenwashing and increase comparability.</w:t>
      </w:r>
      <w:r>
        <w:rPr>
          <w:i/>
          <w:lang w:val="en-US"/>
        </w:rPr>
        <w:br/>
      </w:r>
      <w:r>
        <w:rPr>
          <w:i/>
          <w:lang w:val="en-US"/>
        </w:rPr>
        <w:t xml:space="preserve">Such standardizations must, however, be made within the framework of a SFDR level 1 revision.  </w:t>
      </w:r>
    </w:p>
    <w:p w14:paraId="66777962" w14:textId="6400FC47" w:rsidR="00365D31" w:rsidRDefault="00365D31" w:rsidP="00365D31">
      <w:pPr>
        <w:rPr>
          <w:i/>
          <w:lang w:val="en-US"/>
        </w:rPr>
      </w:pPr>
      <w:r>
        <w:rPr>
          <w:i/>
          <w:lang w:val="en-US"/>
        </w:rPr>
        <w:t xml:space="preserve">The current templates result in information overload for the investors. The Annexes contain information and concepts that a normal retail investor cannot be expected to understand.   </w:t>
      </w:r>
    </w:p>
    <w:p w14:paraId="10788A95" w14:textId="77777777" w:rsidR="00365D31" w:rsidRDefault="00365D31" w:rsidP="00365D31">
      <w:pPr>
        <w:rPr>
          <w:i/>
          <w:lang w:val="en-US"/>
        </w:rPr>
      </w:pPr>
      <w:r>
        <w:rPr>
          <w:i/>
          <w:lang w:val="en-US"/>
        </w:rPr>
        <w:t xml:space="preserve">The readability of just the Annexes themselves without any inserted information is so difficult that it requires a university degree to read them.  The Danish sector has experiences with journalists misunderstanding the concepts of for </w:t>
      </w:r>
      <w:proofErr w:type="gramStart"/>
      <w:r>
        <w:rPr>
          <w:i/>
          <w:lang w:val="en-US"/>
        </w:rPr>
        <w:t>example ”minimum</w:t>
      </w:r>
      <w:proofErr w:type="gramEnd"/>
      <w:r w:rsidRPr="00E0103D">
        <w:rPr>
          <w:i/>
          <w:lang w:val="en-US"/>
        </w:rPr>
        <w:t xml:space="preserve"> commitments” </w:t>
      </w:r>
      <w:r>
        <w:rPr>
          <w:i/>
          <w:lang w:val="en-US"/>
        </w:rPr>
        <w:t xml:space="preserve">and </w:t>
      </w:r>
      <w:r w:rsidRPr="00E86AB6">
        <w:rPr>
          <w:i/>
          <w:lang w:val="en-US"/>
        </w:rPr>
        <w:t>”</w:t>
      </w:r>
      <w:r w:rsidRPr="00E0103D">
        <w:rPr>
          <w:i/>
          <w:lang w:val="en-US"/>
        </w:rPr>
        <w:t>asset allocation”</w:t>
      </w:r>
      <w:r>
        <w:rPr>
          <w:i/>
          <w:lang w:val="en-US"/>
        </w:rPr>
        <w:t xml:space="preserve"> in the Annexes. This gives rise to unfounded bad publicity hurting the image of the sector and exposing </w:t>
      </w:r>
      <w:r>
        <w:rPr>
          <w:i/>
          <w:lang w:val="en-US"/>
        </w:rPr>
        <w:lastRenderedPageBreak/>
        <w:t xml:space="preserve">it to ungrounded accusations of greenwashing. It is also to the detriment of the investors´ trust in the sector.  </w:t>
      </w:r>
    </w:p>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47ECD952" w14:textId="2C4D0A73" w:rsidR="00365D31" w:rsidRDefault="00365D31" w:rsidP="00365D31">
      <w:pPr>
        <w:rPr>
          <w:i/>
          <w:lang w:val="en-US"/>
        </w:rPr>
      </w:pPr>
      <w:r>
        <w:rPr>
          <w:i/>
          <w:lang w:val="en-US"/>
        </w:rPr>
        <w:t xml:space="preserve">In our view, the proposed disclosures do not strike the right balance. The disclosures are too detailed and difficult to understand for the investors which means prospectuses are exclusively read by NCAs. </w:t>
      </w:r>
    </w:p>
    <w:p w14:paraId="6A33EF34" w14:textId="2296A9FB" w:rsidR="00365D31" w:rsidRDefault="00365D31" w:rsidP="00365D31">
      <w:pPr>
        <w:rPr>
          <w:i/>
          <w:lang w:val="en-US"/>
        </w:rPr>
      </w:pPr>
      <w:r>
        <w:rPr>
          <w:i/>
          <w:lang w:val="en-US"/>
        </w:rPr>
        <w:t xml:space="preserve">The </w:t>
      </w:r>
      <w:proofErr w:type="gramStart"/>
      <w:r>
        <w:rPr>
          <w:i/>
          <w:lang w:val="en-US"/>
        </w:rPr>
        <w:t>main focus</w:t>
      </w:r>
      <w:proofErr w:type="gramEnd"/>
      <w:r>
        <w:rPr>
          <w:i/>
          <w:lang w:val="en-US"/>
        </w:rPr>
        <w:t xml:space="preserve"> of the disclosures, in our view, should be on what the relevant commitments for the products in question are, and how the product in question follows its trajectory for GHG emissions reductions.  Otherwise, a normal investor, including a retail investor, has no chance to understand the information that is presented to him. </w:t>
      </w:r>
    </w:p>
    <w:p w14:paraId="656C7E8C" w14:textId="77777777" w:rsidR="00365D31" w:rsidRDefault="00365D31" w:rsidP="00365D31">
      <w:pPr>
        <w:rPr>
          <w:i/>
          <w:lang w:val="en-US"/>
        </w:rPr>
      </w:pPr>
      <w:r>
        <w:rPr>
          <w:i/>
          <w:lang w:val="en-US"/>
        </w:rPr>
        <w:t xml:space="preserve">Furthermore, Finance Denmark notes that there is no mandate to introduce calculation requirements for GHG emissions in the delegated regulation. Such requirements belong to SFDR, level 1.  All our comments must be seen in the light of this missing mandate.   </w:t>
      </w:r>
    </w:p>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0472290D" w14:textId="0D2F16CA" w:rsidR="00365D31" w:rsidRDefault="00365D31" w:rsidP="00365D31">
      <w:pPr>
        <w:rPr>
          <w:i/>
          <w:lang w:val="en-US"/>
        </w:rPr>
      </w:pPr>
      <w:r w:rsidRPr="00770741">
        <w:rPr>
          <w:i/>
          <w:lang w:val="en-US"/>
        </w:rPr>
        <w:t>Finance Denmark support</w:t>
      </w:r>
      <w:r>
        <w:rPr>
          <w:i/>
          <w:lang w:val="en-US"/>
        </w:rPr>
        <w:t>s</w:t>
      </w:r>
      <w:r w:rsidRPr="00770741">
        <w:rPr>
          <w:i/>
          <w:lang w:val="en-US"/>
        </w:rPr>
        <w:t xml:space="preserve"> the approach of providing a hyperlink to the benchmark disclosures for products having GHG emissions reduction as their investment objective under Article 9(3) SFDR</w:t>
      </w:r>
      <w:r>
        <w:rPr>
          <w:i/>
          <w:lang w:val="en-US"/>
        </w:rPr>
        <w:t xml:space="preserve">. </w:t>
      </w:r>
    </w:p>
    <w:p w14:paraId="2A9D8E59" w14:textId="77777777" w:rsidR="00365D31" w:rsidRPr="00770741" w:rsidRDefault="00365D31" w:rsidP="00365D31">
      <w:pPr>
        <w:rPr>
          <w:i/>
          <w:lang w:val="en-US"/>
        </w:rPr>
      </w:pPr>
      <w:r w:rsidRPr="002705F1">
        <w:rPr>
          <w:i/>
          <w:lang w:val="en-US"/>
        </w:rPr>
        <w:t>If hyperlinks are not introduced</w:t>
      </w:r>
      <w:r>
        <w:rPr>
          <w:i/>
          <w:lang w:val="en-US"/>
        </w:rPr>
        <w:t>,</w:t>
      </w:r>
      <w:r w:rsidRPr="00770741">
        <w:rPr>
          <w:i/>
          <w:lang w:val="en-US"/>
        </w:rPr>
        <w:t xml:space="preserve"> the prospectuses will b</w:t>
      </w:r>
      <w:r>
        <w:rPr>
          <w:i/>
          <w:lang w:val="en-US"/>
        </w:rPr>
        <w:t>ecome</w:t>
      </w:r>
      <w:r w:rsidRPr="00770741">
        <w:rPr>
          <w:i/>
          <w:lang w:val="en-US"/>
        </w:rPr>
        <w:t xml:space="preserve"> </w:t>
      </w:r>
      <w:r>
        <w:rPr>
          <w:i/>
          <w:lang w:val="en-US"/>
        </w:rPr>
        <w:t>even</w:t>
      </w:r>
      <w:r w:rsidRPr="00770741">
        <w:rPr>
          <w:i/>
          <w:lang w:val="en-US"/>
        </w:rPr>
        <w:t xml:space="preserve"> long</w:t>
      </w:r>
      <w:r>
        <w:rPr>
          <w:i/>
          <w:lang w:val="en-US"/>
        </w:rPr>
        <w:t>er</w:t>
      </w:r>
      <w:r w:rsidRPr="00770741">
        <w:rPr>
          <w:i/>
          <w:lang w:val="en-US"/>
        </w:rPr>
        <w:t>.</w:t>
      </w:r>
      <w:r>
        <w:rPr>
          <w:i/>
          <w:lang w:val="en-US"/>
        </w:rPr>
        <w:t xml:space="preserve"> </w:t>
      </w:r>
      <w:r w:rsidRPr="00061326">
        <w:rPr>
          <w:i/>
          <w:lang w:val="en-US"/>
        </w:rPr>
        <w:t xml:space="preserve">The prospectuses are in </w:t>
      </w:r>
      <w:r w:rsidRPr="00770741">
        <w:rPr>
          <w:i/>
          <w:lang w:val="en-US"/>
        </w:rPr>
        <w:t>our opinion</w:t>
      </w:r>
      <w:r>
        <w:rPr>
          <w:i/>
          <w:lang w:val="en-US"/>
        </w:rPr>
        <w:t xml:space="preserve"> already</w:t>
      </w:r>
      <w:r w:rsidRPr="00770741">
        <w:rPr>
          <w:i/>
          <w:lang w:val="en-US"/>
        </w:rPr>
        <w:t xml:space="preserve"> too long for</w:t>
      </w:r>
      <w:r>
        <w:rPr>
          <w:i/>
          <w:lang w:val="en-US"/>
        </w:rPr>
        <w:t xml:space="preserve"> the</w:t>
      </w:r>
      <w:r w:rsidRPr="00770741">
        <w:rPr>
          <w:i/>
          <w:lang w:val="en-US"/>
        </w:rPr>
        <w:t xml:space="preserve"> investors to read.   </w:t>
      </w:r>
    </w:p>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lastRenderedPageBreak/>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53551384" w14:textId="77777777" w:rsidR="00365D31" w:rsidRDefault="00365D31" w:rsidP="00365D31">
      <w:pPr>
        <w:rPr>
          <w:i/>
          <w:lang w:val="en-US"/>
        </w:rPr>
      </w:pPr>
      <w:r w:rsidRPr="00770741">
        <w:rPr>
          <w:i/>
          <w:lang w:val="en-US"/>
        </w:rPr>
        <w:t>Finance Denmark supports this distinction a</w:t>
      </w:r>
      <w:r>
        <w:rPr>
          <w:i/>
          <w:lang w:val="en-US"/>
        </w:rPr>
        <w:t xml:space="preserve">s financial market participants and their products often have diverging reduction targets. </w:t>
      </w:r>
    </w:p>
    <w:p w14:paraId="39795181" w14:textId="2FEDABB7" w:rsidR="00365D31" w:rsidRDefault="00365D31" w:rsidP="00365D31">
      <w:pPr>
        <w:rPr>
          <w:i/>
          <w:lang w:val="en-US"/>
        </w:rPr>
      </w:pPr>
      <w:r>
        <w:rPr>
          <w:i/>
          <w:lang w:val="en-US"/>
        </w:rPr>
        <w:t>Finance Denmark also supports</w:t>
      </w:r>
      <w:r w:rsidRPr="00770741">
        <w:rPr>
          <w:i/>
          <w:lang w:val="en-US"/>
        </w:rPr>
        <w:t xml:space="preserve"> </w:t>
      </w:r>
      <w:r>
        <w:rPr>
          <w:i/>
          <w:lang w:val="en-US"/>
        </w:rPr>
        <w:t xml:space="preserve">measures enabling the possibilities to invest in companies that are in transition. </w:t>
      </w:r>
    </w:p>
    <w:p w14:paraId="7E38866C" w14:textId="77777777" w:rsidR="00365D31" w:rsidRPr="00770741" w:rsidRDefault="00365D31" w:rsidP="00365D31">
      <w:pPr>
        <w:rPr>
          <w:i/>
          <w:lang w:val="en-US"/>
        </w:rPr>
      </w:pPr>
      <w:r>
        <w:rPr>
          <w:i/>
          <w:lang w:val="en-US"/>
        </w:rPr>
        <w:t xml:space="preserve">Furthermore, we would like to point out that it is a practical problem that investee companies that have reached their transition targets have to be divested by the financial market participants.  In that sense, the product </w:t>
      </w:r>
      <w:proofErr w:type="gramStart"/>
      <w:r>
        <w:rPr>
          <w:i/>
          <w:lang w:val="en-US"/>
        </w:rPr>
        <w:t>as a whole will</w:t>
      </w:r>
      <w:proofErr w:type="gramEnd"/>
      <w:r>
        <w:rPr>
          <w:i/>
          <w:lang w:val="en-US"/>
        </w:rPr>
        <w:t xml:space="preserve"> not necessarily have a CO2 reduction trajectory.</w:t>
      </w:r>
    </w:p>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EAE66D9" w14:textId="77777777" w:rsidR="00365D31" w:rsidRPr="00770741" w:rsidRDefault="00365D31" w:rsidP="00365D31">
      <w:pPr>
        <w:rPr>
          <w:i/>
          <w:lang w:val="en-US"/>
        </w:rPr>
      </w:pPr>
      <w:r w:rsidRPr="00770741">
        <w:rPr>
          <w:i/>
          <w:lang w:val="en-US"/>
        </w:rPr>
        <w:t>Finance Denmark supports any a</w:t>
      </w:r>
      <w:r>
        <w:rPr>
          <w:i/>
          <w:lang w:val="en-US"/>
        </w:rPr>
        <w:t xml:space="preserve">pproach that can cater for net zero commitments and possibilities for financial market participants to offer products with active investment strategies. Therefore, Finance Denmark supports these specific disclosures as they help the investors in a simple way to understand the trajectory of the GHG emissions of the relevant investment product. </w:t>
      </w:r>
    </w:p>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235D9333" w14:textId="77777777" w:rsidR="00365D31" w:rsidRPr="00770741" w:rsidRDefault="00365D31" w:rsidP="00365D31">
      <w:pPr>
        <w:spacing w:line="240" w:lineRule="auto"/>
        <w:rPr>
          <w:i/>
          <w:lang w:val="en-US"/>
        </w:rPr>
      </w:pPr>
      <w:r w:rsidRPr="00770741">
        <w:rPr>
          <w:i/>
          <w:lang w:val="en-US"/>
        </w:rPr>
        <w:t>Finance Denmark agrees with the proposed approach.</w:t>
      </w:r>
      <w:r>
        <w:rPr>
          <w:i/>
          <w:lang w:val="en-US"/>
        </w:rPr>
        <w:t xml:space="preserve"> </w:t>
      </w:r>
      <w:r w:rsidRPr="00770741">
        <w:rPr>
          <w:i/>
          <w:lang w:val="en-US"/>
        </w:rPr>
        <w:t xml:space="preserve"> </w:t>
      </w:r>
    </w:p>
    <w:p w14:paraId="6D51DAEC" w14:textId="77777777" w:rsidR="009C41BB" w:rsidRDefault="009C41BB" w:rsidP="009C41BB">
      <w:r>
        <w:lastRenderedPageBreak/>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20FB68AD" w14:textId="06A547FB" w:rsidR="00365D31" w:rsidRPr="00365D31" w:rsidRDefault="00365D31" w:rsidP="00365D31">
      <w:pPr>
        <w:rPr>
          <w:i/>
          <w:lang w:val="en-US"/>
        </w:rPr>
      </w:pPr>
      <w:r w:rsidRPr="00770741">
        <w:rPr>
          <w:i/>
          <w:lang w:val="en-US"/>
        </w:rPr>
        <w:t xml:space="preserve">Finance Denmark agrees with proposed approach and supports </w:t>
      </w:r>
      <w:r>
        <w:rPr>
          <w:i/>
          <w:lang w:val="en-US"/>
        </w:rPr>
        <w:t xml:space="preserve">measures that </w:t>
      </w:r>
      <w:r w:rsidRPr="00770741">
        <w:rPr>
          <w:i/>
          <w:lang w:val="en-US"/>
        </w:rPr>
        <w:t>align</w:t>
      </w:r>
      <w:r>
        <w:rPr>
          <w:i/>
          <w:lang w:val="en-US"/>
        </w:rPr>
        <w:t xml:space="preserve"> mandatory</w:t>
      </w:r>
      <w:r w:rsidRPr="00770741">
        <w:rPr>
          <w:i/>
          <w:lang w:val="en-US"/>
        </w:rPr>
        <w:t xml:space="preserve"> reporting requirement</w:t>
      </w:r>
      <w:r>
        <w:rPr>
          <w:i/>
          <w:lang w:val="en-US"/>
        </w:rPr>
        <w:t>s</w:t>
      </w:r>
      <w:r w:rsidRPr="00770741">
        <w:rPr>
          <w:i/>
          <w:lang w:val="en-US"/>
        </w:rPr>
        <w:t xml:space="preserve"> for investee companies and disclosure</w:t>
      </w:r>
      <w:r>
        <w:rPr>
          <w:i/>
          <w:lang w:val="en-US"/>
        </w:rPr>
        <w:t>s</w:t>
      </w:r>
      <w:r w:rsidRPr="00770741">
        <w:rPr>
          <w:i/>
          <w:lang w:val="en-US"/>
        </w:rPr>
        <w:t xml:space="preserve"> for financial market participants. </w:t>
      </w:r>
    </w:p>
    <w:p w14:paraId="4FDF895D" w14:textId="0DC7197D" w:rsidR="00365D31" w:rsidRPr="00770741" w:rsidRDefault="00365D31" w:rsidP="00365D31">
      <w:pPr>
        <w:rPr>
          <w:i/>
          <w:lang w:val="en-US"/>
        </w:rPr>
      </w:pPr>
      <w:r w:rsidRPr="00B750D4">
        <w:rPr>
          <w:i/>
          <w:lang w:val="en-US"/>
        </w:rPr>
        <w:t>However, we would highlight that the Danish financial sector has developed a framework for financed Emissions Accounting with recommendations on how to determine the carbon footprint covering ten asset classes. The framework is inspired by PCAF but allow for specific Danish circumstances including covered bond</w:t>
      </w:r>
      <w:r>
        <w:rPr>
          <w:i/>
          <w:lang w:val="en-US"/>
        </w:rPr>
        <w:t>s</w:t>
      </w:r>
      <w:r w:rsidRPr="00B750D4">
        <w:rPr>
          <w:i/>
          <w:lang w:val="en-US"/>
        </w:rPr>
        <w:t>. We would, therefore, propose to allow for local amendments to the PCAF standard.</w:t>
      </w:r>
    </w:p>
    <w:p w14:paraId="4DA58F99" w14:textId="77777777" w:rsidR="00365D31" w:rsidRPr="00770741" w:rsidRDefault="00365D31" w:rsidP="00365D31">
      <w:pPr>
        <w:rPr>
          <w:i/>
          <w:lang w:val="en-US"/>
        </w:rPr>
      </w:pPr>
      <w:r>
        <w:rPr>
          <w:i/>
          <w:lang w:val="en-US"/>
        </w:rPr>
        <w:t>If PCAF is required as the only standard it is very important to ensure good governance of PCAF.</w:t>
      </w:r>
    </w:p>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18B20ABD" w14:textId="77777777" w:rsidR="00365D31" w:rsidRPr="009B176F" w:rsidRDefault="00365D31" w:rsidP="00365D31">
      <w:pPr>
        <w:rPr>
          <w:i/>
          <w:lang w:val="en-US"/>
        </w:rPr>
      </w:pPr>
      <w:r w:rsidRPr="009B176F">
        <w:rPr>
          <w:i/>
          <w:lang w:val="en-US"/>
        </w:rPr>
        <w:t xml:space="preserve">Finance Denmark agrees with </w:t>
      </w:r>
      <w:r>
        <w:rPr>
          <w:i/>
          <w:lang w:val="en-US"/>
        </w:rPr>
        <w:t xml:space="preserve">the </w:t>
      </w:r>
      <w:r w:rsidRPr="009B176F">
        <w:rPr>
          <w:i/>
          <w:lang w:val="en-US"/>
        </w:rPr>
        <w:t>proposed approach and supports the alignment of</w:t>
      </w:r>
      <w:r>
        <w:rPr>
          <w:i/>
          <w:lang w:val="en-US"/>
        </w:rPr>
        <w:t xml:space="preserve"> mandatory</w:t>
      </w:r>
      <w:r w:rsidRPr="009B176F">
        <w:rPr>
          <w:i/>
          <w:lang w:val="en-US"/>
        </w:rPr>
        <w:t xml:space="preserve"> reporting requirement</w:t>
      </w:r>
      <w:r>
        <w:rPr>
          <w:i/>
          <w:lang w:val="en-US"/>
        </w:rPr>
        <w:t>s</w:t>
      </w:r>
      <w:r w:rsidRPr="009B176F">
        <w:rPr>
          <w:i/>
          <w:lang w:val="en-US"/>
        </w:rPr>
        <w:t xml:space="preserve"> for investee companies and disclosure</w:t>
      </w:r>
      <w:r>
        <w:rPr>
          <w:i/>
          <w:lang w:val="en-US"/>
        </w:rPr>
        <w:t>s</w:t>
      </w:r>
      <w:r w:rsidRPr="009B176F">
        <w:rPr>
          <w:i/>
          <w:lang w:val="en-US"/>
        </w:rPr>
        <w:t xml:space="preserve"> for financial market participants. </w:t>
      </w:r>
    </w:p>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lastRenderedPageBreak/>
        <w:t>&lt;ESMA_QUESTION_SFDR_29&gt;</w:t>
      </w:r>
    </w:p>
    <w:p w14:paraId="6315B54D" w14:textId="77777777" w:rsidR="00365D31" w:rsidRDefault="00365D31" w:rsidP="00365D31">
      <w:pPr>
        <w:rPr>
          <w:i/>
          <w:lang w:val="en-US"/>
        </w:rPr>
      </w:pPr>
      <w:r w:rsidRPr="00A75BB4">
        <w:rPr>
          <w:i/>
          <w:lang w:val="en-US"/>
        </w:rPr>
        <w:t xml:space="preserve">Adding disclosures regarding the consistency </w:t>
      </w:r>
      <w:r>
        <w:rPr>
          <w:i/>
          <w:lang w:val="en-US"/>
        </w:rPr>
        <w:t>between</w:t>
      </w:r>
      <w:r w:rsidRPr="00A75BB4">
        <w:rPr>
          <w:i/>
          <w:lang w:val="en-US"/>
        </w:rPr>
        <w:t xml:space="preserve"> the product targets and the financial market participants entity-level targets and transition plan for climate change mitigation</w:t>
      </w:r>
      <w:r>
        <w:rPr>
          <w:i/>
          <w:lang w:val="en-US"/>
        </w:rPr>
        <w:t xml:space="preserve"> would increase the complexity of the disclosures and increase the total amount of information that the investors need to consider. In addition, the needed information is also published through the policies of the financial market participants and, therefore, this measure would not add any value to the investor. </w:t>
      </w:r>
    </w:p>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F9B30A7" w14:textId="77777777" w:rsidR="00365D31" w:rsidRDefault="00365D31" w:rsidP="00365D31">
      <w:pPr>
        <w:rPr>
          <w:i/>
          <w:lang w:val="en-US"/>
        </w:rPr>
      </w:pPr>
      <w:r w:rsidRPr="00017EF3">
        <w:rPr>
          <w:i/>
          <w:lang w:val="en-US"/>
        </w:rPr>
        <w:t>Finance Denmark supports</w:t>
      </w:r>
      <w:r>
        <w:rPr>
          <w:i/>
          <w:lang w:val="en-US"/>
        </w:rPr>
        <w:t>, in principle,</w:t>
      </w:r>
      <w:r w:rsidRPr="00017EF3">
        <w:rPr>
          <w:i/>
          <w:lang w:val="en-US"/>
        </w:rPr>
        <w:t xml:space="preserve"> the introduction of a dashboard in the Annexes II-V. </w:t>
      </w:r>
      <w:r>
        <w:rPr>
          <w:i/>
          <w:lang w:val="en-US"/>
        </w:rPr>
        <w:t xml:space="preserve">We are, however, not convinced that the benefits for the investor will outweigh the costs the market participant will have to incur in terms of changing administrative processes and IT development. </w:t>
      </w:r>
    </w:p>
    <w:p w14:paraId="3532B909" w14:textId="5D3B5C80" w:rsidR="00365D31" w:rsidRPr="00017EF3" w:rsidRDefault="00365D31" w:rsidP="00365D31">
      <w:pPr>
        <w:rPr>
          <w:i/>
          <w:lang w:val="en-US"/>
        </w:rPr>
      </w:pPr>
      <w:r>
        <w:rPr>
          <w:i/>
          <w:lang w:val="en-US"/>
        </w:rPr>
        <w:t xml:space="preserve">Further, we are not sure that the dashboard serves to simplify the template.  </w:t>
      </w:r>
    </w:p>
    <w:p w14:paraId="48DAAFDA" w14:textId="5F04FBC3" w:rsidR="00365D31" w:rsidRPr="00017EF3" w:rsidRDefault="00365D31" w:rsidP="00365D31">
      <w:pPr>
        <w:rPr>
          <w:i/>
          <w:lang w:val="en-US"/>
        </w:rPr>
      </w:pPr>
      <w:r>
        <w:rPr>
          <w:i/>
          <w:lang w:val="en-US"/>
        </w:rPr>
        <w:t>In our opinion, simplification should start with shortening the list of questions. M</w:t>
      </w:r>
      <w:r w:rsidRPr="00017EF3">
        <w:rPr>
          <w:i/>
          <w:lang w:val="en-US"/>
        </w:rPr>
        <w:t>any of the following questions can be removed</w:t>
      </w:r>
      <w:r>
        <w:rPr>
          <w:i/>
          <w:lang w:val="en-US"/>
        </w:rPr>
        <w:t xml:space="preserve"> and/or exceeds the mandate given in SFDR</w:t>
      </w:r>
      <w:r w:rsidRPr="00017EF3">
        <w:rPr>
          <w:i/>
          <w:lang w:val="en-US"/>
        </w:rPr>
        <w:t>. Some questions are repe</w:t>
      </w:r>
      <w:r>
        <w:rPr>
          <w:i/>
          <w:lang w:val="en-US"/>
        </w:rPr>
        <w:t xml:space="preserve">titions </w:t>
      </w:r>
      <w:r w:rsidRPr="00017EF3">
        <w:rPr>
          <w:i/>
          <w:lang w:val="en-US"/>
        </w:rPr>
        <w:t xml:space="preserve">and </w:t>
      </w:r>
      <w:r>
        <w:rPr>
          <w:i/>
          <w:lang w:val="en-US"/>
        </w:rPr>
        <w:t>should</w:t>
      </w:r>
      <w:r w:rsidRPr="00017EF3">
        <w:rPr>
          <w:i/>
          <w:lang w:val="en-US"/>
        </w:rPr>
        <w:t xml:space="preserve"> be merged. This would shorten the templates and make them more readable, especially for the retail investors. For example, “How do sustainable investments not cause significant harm to any environmental or social investment objective?” in Annex III and the sub-question “How have the indicators for adverse impacts on sustainability factors have taken into account?” </w:t>
      </w:r>
    </w:p>
    <w:p w14:paraId="08992454" w14:textId="77777777" w:rsidR="00365D31" w:rsidRPr="00017EF3" w:rsidRDefault="00365D31" w:rsidP="00365D31">
      <w:pPr>
        <w:rPr>
          <w:i/>
          <w:lang w:val="en-US"/>
        </w:rPr>
      </w:pPr>
      <w:r>
        <w:rPr>
          <w:i/>
          <w:lang w:val="en-US"/>
        </w:rPr>
        <w:t>We would furthermore suggest</w:t>
      </w:r>
      <w:r w:rsidRPr="00017EF3">
        <w:rPr>
          <w:i/>
          <w:lang w:val="en-US"/>
        </w:rPr>
        <w:t xml:space="preserve"> that the </w:t>
      </w:r>
      <w:proofErr w:type="gramStart"/>
      <w:r w:rsidRPr="00017EF3">
        <w:rPr>
          <w:i/>
          <w:lang w:val="en-US"/>
        </w:rPr>
        <w:t xml:space="preserve">question </w:t>
      </w:r>
      <w:r w:rsidRPr="00313B5A">
        <w:rPr>
          <w:i/>
          <w:iCs/>
          <w:lang w:val="en-US"/>
        </w:rPr>
        <w:t>”</w:t>
      </w:r>
      <w:proofErr w:type="gramEnd"/>
      <w:r w:rsidRPr="00326BC2">
        <w:rPr>
          <w:i/>
          <w:iCs/>
          <w:lang w:val="en-US"/>
        </w:rPr>
        <w:t xml:space="preserve"> </w:t>
      </w:r>
      <w:r>
        <w:rPr>
          <w:i/>
          <w:iCs/>
          <w:lang w:val="en-US"/>
        </w:rPr>
        <w:t>W</w:t>
      </w:r>
      <w:r w:rsidRPr="00313B5A">
        <w:rPr>
          <w:i/>
          <w:iCs/>
          <w:lang w:val="en-US"/>
        </w:rPr>
        <w:t xml:space="preserve">hat is the committed minimum rate </w:t>
      </w:r>
      <w:r>
        <w:rPr>
          <w:i/>
          <w:iCs/>
          <w:lang w:val="en-US"/>
        </w:rPr>
        <w:t xml:space="preserve">to reduce </w:t>
      </w:r>
      <w:r w:rsidRPr="00313B5A">
        <w:rPr>
          <w:i/>
          <w:iCs/>
          <w:lang w:val="en-US"/>
        </w:rPr>
        <w:t>the</w:t>
      </w:r>
      <w:r>
        <w:rPr>
          <w:i/>
          <w:iCs/>
          <w:lang w:val="en-US"/>
        </w:rPr>
        <w:t xml:space="preserve"> scope of the</w:t>
      </w:r>
      <w:r w:rsidRPr="00313B5A">
        <w:rPr>
          <w:i/>
          <w:iCs/>
          <w:lang w:val="en-US"/>
        </w:rPr>
        <w:t xml:space="preserve"> investment</w:t>
      </w:r>
      <w:r>
        <w:rPr>
          <w:i/>
          <w:iCs/>
          <w:lang w:val="en-US"/>
        </w:rPr>
        <w:t>s considered prior to the application of that investment</w:t>
      </w:r>
      <w:r w:rsidRPr="00313B5A">
        <w:rPr>
          <w:i/>
          <w:iCs/>
          <w:lang w:val="en-US"/>
        </w:rPr>
        <w:t xml:space="preserve"> strategy”?</w:t>
      </w:r>
      <w:r w:rsidRPr="00017EF3">
        <w:rPr>
          <w:i/>
          <w:lang w:val="en-US"/>
        </w:rPr>
        <w:t xml:space="preserve"> as it should not be a goal in itself to reduce the range of possible investments.</w:t>
      </w:r>
      <w:r>
        <w:rPr>
          <w:i/>
          <w:lang w:val="en-US"/>
        </w:rPr>
        <w:t xml:space="preserve"> </w:t>
      </w:r>
      <w:r w:rsidRPr="00017EF3">
        <w:rPr>
          <w:i/>
          <w:lang w:val="en-US"/>
        </w:rPr>
        <w:t xml:space="preserve"> </w:t>
      </w:r>
    </w:p>
    <w:p w14:paraId="5D99E702" w14:textId="49589395" w:rsidR="00365D31" w:rsidRPr="00017EF3" w:rsidRDefault="00365D31" w:rsidP="00365D31">
      <w:pPr>
        <w:rPr>
          <w:i/>
          <w:lang w:val="en-US"/>
        </w:rPr>
      </w:pPr>
      <w:r>
        <w:rPr>
          <w:i/>
          <w:lang w:val="en-US"/>
        </w:rPr>
        <w:t xml:space="preserve">We would urge the ESAs analyze which disclosures could be removed from the templates. </w:t>
      </w:r>
    </w:p>
    <w:p w14:paraId="74401D1A" w14:textId="77777777" w:rsidR="00365D31" w:rsidRDefault="00365D31" w:rsidP="00365D31">
      <w:pPr>
        <w:rPr>
          <w:i/>
          <w:lang w:val="en-US"/>
        </w:rPr>
      </w:pPr>
      <w:r w:rsidRPr="00017EF3">
        <w:rPr>
          <w:i/>
          <w:lang w:val="en-US"/>
        </w:rPr>
        <w:t xml:space="preserve">Finance Denmark would </w:t>
      </w:r>
      <w:r>
        <w:rPr>
          <w:i/>
          <w:lang w:val="en-US"/>
        </w:rPr>
        <w:t>also</w:t>
      </w:r>
      <w:r w:rsidRPr="00017EF3">
        <w:rPr>
          <w:i/>
          <w:lang w:val="en-US"/>
        </w:rPr>
        <w:t xml:space="preserve"> suggest that icons and </w:t>
      </w:r>
      <w:proofErr w:type="spellStart"/>
      <w:r w:rsidRPr="00017EF3">
        <w:rPr>
          <w:i/>
          <w:lang w:val="en-US"/>
        </w:rPr>
        <w:t>colo</w:t>
      </w:r>
      <w:r>
        <w:rPr>
          <w:i/>
          <w:lang w:val="en-US"/>
        </w:rPr>
        <w:t>u</w:t>
      </w:r>
      <w:r w:rsidRPr="00017EF3">
        <w:rPr>
          <w:i/>
          <w:lang w:val="en-US"/>
        </w:rPr>
        <w:t>rs</w:t>
      </w:r>
      <w:proofErr w:type="spellEnd"/>
      <w:r w:rsidRPr="00017EF3">
        <w:rPr>
          <w:i/>
          <w:lang w:val="en-US"/>
        </w:rPr>
        <w:t xml:space="preserve"> are removed as it would increase the usability of the Annexes. In practice, the Annexes are very difficult to handle.  The </w:t>
      </w:r>
      <w:r>
        <w:rPr>
          <w:i/>
          <w:lang w:val="en-US"/>
        </w:rPr>
        <w:t>A</w:t>
      </w:r>
      <w:r w:rsidRPr="00017EF3">
        <w:rPr>
          <w:i/>
          <w:lang w:val="en-US"/>
        </w:rPr>
        <w:t>nnexes both contain data from the EET as well</w:t>
      </w:r>
      <w:r>
        <w:rPr>
          <w:i/>
          <w:lang w:val="en-US"/>
        </w:rPr>
        <w:t xml:space="preserve"> as</w:t>
      </w:r>
      <w:r w:rsidRPr="00017EF3">
        <w:rPr>
          <w:i/>
          <w:lang w:val="en-US"/>
        </w:rPr>
        <w:t xml:space="preserve"> written information from word-documents.  The icons and colors cause problems when text and the data for EET is being formatted.</w:t>
      </w:r>
      <w:r>
        <w:rPr>
          <w:i/>
          <w:lang w:val="en-US"/>
        </w:rPr>
        <w:t xml:space="preserve"> </w:t>
      </w:r>
    </w:p>
    <w:p w14:paraId="5AA9656E" w14:textId="77777777" w:rsidR="00365D31" w:rsidRPr="008041F1" w:rsidRDefault="00365D31" w:rsidP="00365D31">
      <w:pPr>
        <w:rPr>
          <w:i/>
          <w:lang w:val="en-US"/>
        </w:rPr>
      </w:pPr>
    </w:p>
    <w:p w14:paraId="2FA517E3" w14:textId="77777777" w:rsidR="00365D31" w:rsidRPr="00017EF3" w:rsidRDefault="00365D31" w:rsidP="00365D31">
      <w:pPr>
        <w:rPr>
          <w:i/>
          <w:lang w:val="en-US"/>
        </w:rPr>
      </w:pPr>
      <w:r w:rsidRPr="00017EF3">
        <w:rPr>
          <w:i/>
          <w:lang w:val="en-US"/>
        </w:rPr>
        <w:lastRenderedPageBreak/>
        <w:t xml:space="preserve">In line with the comments above and </w:t>
      </w:r>
      <w:proofErr w:type="gramStart"/>
      <w:r w:rsidRPr="00017EF3">
        <w:rPr>
          <w:i/>
          <w:lang w:val="en-US"/>
        </w:rPr>
        <w:t>in order to</w:t>
      </w:r>
      <w:proofErr w:type="gramEnd"/>
      <w:r w:rsidRPr="00017EF3">
        <w:rPr>
          <w:i/>
          <w:lang w:val="en-US"/>
        </w:rPr>
        <w:t xml:space="preserve"> ease the accessibility of the sustainable information in practice, we suggest the ESAs in a future level 1 review of SFDR to</w:t>
      </w:r>
      <w:r>
        <w:rPr>
          <w:i/>
          <w:lang w:val="en-US"/>
        </w:rPr>
        <w:t xml:space="preserve"> work towards removing </w:t>
      </w:r>
      <w:r w:rsidRPr="00017EF3">
        <w:rPr>
          <w:i/>
          <w:lang w:val="en-US"/>
        </w:rPr>
        <w:t xml:space="preserve">the relevant </w:t>
      </w:r>
      <w:r>
        <w:rPr>
          <w:i/>
          <w:lang w:val="en-US"/>
        </w:rPr>
        <w:t>A</w:t>
      </w:r>
      <w:r w:rsidRPr="00017EF3">
        <w:rPr>
          <w:i/>
          <w:lang w:val="en-US"/>
        </w:rPr>
        <w:t xml:space="preserve">nnexes from the bottom of the prospectus and instead placed alongside the prospectuses and KID-documents as stand-alone documents that can be opened through a single click of the mouse. We believe that in practice this would help increase the actual accessibility of the information as investors do not have to scroll through a very long prospectus.  </w:t>
      </w:r>
      <w:r>
        <w:rPr>
          <w:i/>
          <w:lang w:val="en-US"/>
        </w:rPr>
        <w:t>W</w:t>
      </w:r>
      <w:r w:rsidRPr="00017EF3">
        <w:rPr>
          <w:i/>
          <w:lang w:val="en-US"/>
        </w:rPr>
        <w:t xml:space="preserve">e </w:t>
      </w:r>
      <w:r>
        <w:rPr>
          <w:i/>
          <w:lang w:val="en-US"/>
        </w:rPr>
        <w:t xml:space="preserve">furthermore </w:t>
      </w:r>
      <w:r w:rsidRPr="00017EF3">
        <w:rPr>
          <w:i/>
          <w:lang w:val="en-US"/>
        </w:rPr>
        <w:t xml:space="preserve">believe that information to a greater extent should be placed in the web disclosures. </w:t>
      </w:r>
    </w:p>
    <w:p w14:paraId="6B921AA8" w14:textId="77777777" w:rsidR="00365D31" w:rsidRPr="00017EF3" w:rsidRDefault="00365D31" w:rsidP="00365D31">
      <w:pPr>
        <w:rPr>
          <w:i/>
          <w:lang w:val="en-US"/>
        </w:rPr>
      </w:pPr>
      <w:r w:rsidRPr="00017EF3">
        <w:rPr>
          <w:i/>
          <w:lang w:val="en-US"/>
        </w:rPr>
        <w:t xml:space="preserve">We are, however, aware that these changes would entail an amendment of level 1 of SFDR. </w:t>
      </w:r>
    </w:p>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5AC79C96" w14:textId="77777777" w:rsidR="00365D31" w:rsidRPr="00D902AD" w:rsidRDefault="00365D31" w:rsidP="00365D31">
      <w:pPr>
        <w:rPr>
          <w:i/>
          <w:lang w:val="en-US"/>
        </w:rPr>
      </w:pPr>
      <w:r w:rsidRPr="00D902AD">
        <w:rPr>
          <w:i/>
          <w:lang w:val="en-US"/>
        </w:rPr>
        <w:t>In our opinion,</w:t>
      </w:r>
      <w:r>
        <w:rPr>
          <w:i/>
          <w:lang w:val="en-US"/>
        </w:rPr>
        <w:t xml:space="preserve"> if the investors are to understand the disclosures, there must be fewer of them, and the remaining disclosures should be standardized. However, these standardizations currently exceed the mandate of delegated regulation and thus fall within the revision of level 1 SFDR. For further concrete proposals concerning the templates, please see above in Q30.    </w:t>
      </w:r>
    </w:p>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5573E350" w14:textId="251B5604" w:rsidR="00365D31" w:rsidRPr="00DB21C8" w:rsidRDefault="00365D31" w:rsidP="00365D31">
      <w:pPr>
        <w:rPr>
          <w:i/>
          <w:lang w:val="en-US"/>
        </w:rPr>
      </w:pPr>
      <w:r w:rsidRPr="00DB21C8">
        <w:rPr>
          <w:i/>
          <w:lang w:val="en-US"/>
        </w:rPr>
        <w:t xml:space="preserve">Finance Denmark would </w:t>
      </w:r>
      <w:r>
        <w:rPr>
          <w:i/>
          <w:lang w:val="en-US"/>
        </w:rPr>
        <w:t>recommend</w:t>
      </w:r>
      <w:r w:rsidRPr="00DB21C8">
        <w:rPr>
          <w:i/>
          <w:lang w:val="en-US"/>
        </w:rPr>
        <w:t xml:space="preserve"> remov</w:t>
      </w:r>
      <w:r>
        <w:rPr>
          <w:i/>
          <w:lang w:val="en-US"/>
        </w:rPr>
        <w:t>ing</w:t>
      </w:r>
      <w:r w:rsidRPr="00DB21C8">
        <w:rPr>
          <w:i/>
          <w:lang w:val="en-US"/>
        </w:rPr>
        <w:t xml:space="preserve"> the commitments to a split between environmental and social objectives. The NCAs have unfortunately interpreted the asset allocations information to mean that a minimum commitment percentage should be included for both environmental and social objectives when the product commits to a minimum percentage of sustainable investments. Some NCA</w:t>
      </w:r>
      <w:r>
        <w:rPr>
          <w:i/>
          <w:lang w:val="en-US"/>
        </w:rPr>
        <w:t>s</w:t>
      </w:r>
      <w:r w:rsidRPr="00DB21C8">
        <w:rPr>
          <w:i/>
          <w:lang w:val="en-US"/>
        </w:rPr>
        <w:t xml:space="preserve"> require a minimum percentage of environmental or social objective to be higher than 10 or 15% even when the total commitment to </w:t>
      </w:r>
      <w:r>
        <w:rPr>
          <w:i/>
          <w:lang w:val="en-US"/>
        </w:rPr>
        <w:t>s</w:t>
      </w:r>
      <w:r w:rsidRPr="00DB21C8">
        <w:rPr>
          <w:i/>
          <w:lang w:val="en-US"/>
        </w:rPr>
        <w:t xml:space="preserve">ustainable </w:t>
      </w:r>
      <w:r>
        <w:rPr>
          <w:i/>
          <w:lang w:val="en-US"/>
        </w:rPr>
        <w:t>i</w:t>
      </w:r>
      <w:r w:rsidRPr="00DB21C8">
        <w:rPr>
          <w:i/>
          <w:lang w:val="en-US"/>
        </w:rPr>
        <w:t>nvestments is as high as 85% if the product is classified as article 9 which is very unfortunate.</w:t>
      </w:r>
    </w:p>
    <w:p w14:paraId="2A9DF9C7" w14:textId="24BF9A97" w:rsidR="00365D31" w:rsidRDefault="00365D31" w:rsidP="00365D31">
      <w:pPr>
        <w:rPr>
          <w:i/>
          <w:lang w:val="en-US"/>
        </w:rPr>
      </w:pPr>
      <w:r w:rsidRPr="00DB21C8">
        <w:rPr>
          <w:i/>
          <w:lang w:val="en-US"/>
        </w:rPr>
        <w:t xml:space="preserve">We would also recommend specifying that the commitments are pre-trade commitments and that it is at the discretion of the </w:t>
      </w:r>
      <w:r>
        <w:rPr>
          <w:i/>
          <w:lang w:val="en-US"/>
        </w:rPr>
        <w:t>financial market participant</w:t>
      </w:r>
      <w:r w:rsidRPr="00DB21C8">
        <w:rPr>
          <w:i/>
          <w:lang w:val="en-US"/>
        </w:rPr>
        <w:t xml:space="preserve"> to decide on the min</w:t>
      </w:r>
      <w:r>
        <w:rPr>
          <w:i/>
          <w:lang w:val="en-US"/>
        </w:rPr>
        <w:t>imum</w:t>
      </w:r>
      <w:r w:rsidRPr="00DB21C8">
        <w:rPr>
          <w:i/>
          <w:lang w:val="en-US"/>
        </w:rPr>
        <w:t xml:space="preserve"> percentage of commitments</w:t>
      </w:r>
      <w:r>
        <w:rPr>
          <w:i/>
          <w:lang w:val="en-US"/>
        </w:rPr>
        <w:t xml:space="preserve">. </w:t>
      </w:r>
      <w:r w:rsidRPr="002F6667">
        <w:rPr>
          <w:i/>
          <w:lang w:val="en-US"/>
        </w:rPr>
        <w:t xml:space="preserve">Many investments can be assessed as sustainable without having a clear and distinct </w:t>
      </w:r>
      <w:r w:rsidRPr="002F6667">
        <w:rPr>
          <w:i/>
          <w:lang w:val="en-US"/>
        </w:rPr>
        <w:lastRenderedPageBreak/>
        <w:t>contribution to environmental or social objectives only. It is a very binary vision of the companies which is not in sync with the real economy.</w:t>
      </w:r>
    </w:p>
    <w:p w14:paraId="0983FEAB" w14:textId="77777777" w:rsidR="00365D31" w:rsidRPr="00D247C0" w:rsidRDefault="00365D31" w:rsidP="00365D31">
      <w:pPr>
        <w:rPr>
          <w:i/>
          <w:lang w:val="en-US"/>
        </w:rPr>
      </w:pPr>
      <w:r>
        <w:rPr>
          <w:i/>
          <w:lang w:val="en-US"/>
        </w:rPr>
        <w:t>We would also suggest removing the question</w:t>
      </w:r>
      <w:r>
        <w:rPr>
          <w:iCs/>
          <w:lang w:val="en-US"/>
        </w:rPr>
        <w:t>:</w:t>
      </w:r>
      <w:r>
        <w:rPr>
          <w:i/>
          <w:lang w:val="en-US"/>
        </w:rPr>
        <w:t xml:space="preserve"> “</w:t>
      </w:r>
      <w:r w:rsidRPr="00D902AD">
        <w:rPr>
          <w:i/>
          <w:lang w:val="en-US"/>
        </w:rPr>
        <w:t>What is the asset allocation and the minimum share of sustainable investments?</w:t>
      </w:r>
      <w:r>
        <w:rPr>
          <w:i/>
          <w:lang w:val="en-US"/>
        </w:rPr>
        <w:t>” in Annex III as it confuses the investors and leads to misunderstandings. It is very difficult for investors to differentiate between the technical concepts of “</w:t>
      </w:r>
      <w:r w:rsidRPr="003B6517">
        <w:rPr>
          <w:i/>
          <w:lang w:val="en-US"/>
        </w:rPr>
        <w:t>asset allocation</w:t>
      </w:r>
      <w:r>
        <w:rPr>
          <w:i/>
          <w:lang w:val="en-US"/>
        </w:rPr>
        <w:t>” and “</w:t>
      </w:r>
      <w:r w:rsidRPr="003B6517">
        <w:rPr>
          <w:i/>
          <w:lang w:val="en-US"/>
        </w:rPr>
        <w:t>minimum share of sustainable investments</w:t>
      </w:r>
      <w:r>
        <w:rPr>
          <w:i/>
          <w:lang w:val="en-US"/>
        </w:rPr>
        <w:t xml:space="preserve">”. For further concrete proposals concerning the templates, please see above in Q30. </w:t>
      </w:r>
    </w:p>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0DEC5CA1" w14:textId="77777777" w:rsidR="00365D31" w:rsidRPr="00D247C0" w:rsidRDefault="00365D31" w:rsidP="00365D31">
      <w:pPr>
        <w:rPr>
          <w:i/>
          <w:lang w:val="en-US"/>
        </w:rPr>
      </w:pPr>
      <w:r w:rsidRPr="00D247C0">
        <w:rPr>
          <w:i/>
          <w:lang w:val="en-US"/>
        </w:rPr>
        <w:t xml:space="preserve">Finance Denmark is of the opinion that the investment tree is easy to misunderstand. The investment tree could give the investor the misleading impression that the investments are either sustainable or not sustainable for example. </w:t>
      </w:r>
    </w:p>
    <w:p w14:paraId="3FAA5133" w14:textId="77777777" w:rsidR="00365D31" w:rsidRDefault="00365D31" w:rsidP="00365D31">
      <w:pPr>
        <w:spacing w:line="240" w:lineRule="auto"/>
        <w:rPr>
          <w:lang w:val="en-US"/>
        </w:rPr>
      </w:pPr>
      <w:r w:rsidRPr="00D247C0">
        <w:rPr>
          <w:i/>
          <w:lang w:val="en-US"/>
        </w:rPr>
        <w:t>Therefore, Finance Denmark suggests removing the investment tree</w:t>
      </w:r>
      <w:r>
        <w:rPr>
          <w:i/>
          <w:lang w:val="en-US"/>
        </w:rPr>
        <w:t xml:space="preserve"> all together</w:t>
      </w:r>
      <w:r w:rsidRPr="00D247C0">
        <w:rPr>
          <w:i/>
          <w:lang w:val="en-US"/>
        </w:rPr>
        <w:t>.</w:t>
      </w:r>
      <w:r>
        <w:rPr>
          <w:lang w:val="en-US"/>
        </w:rPr>
        <w:t xml:space="preserve"> </w:t>
      </w:r>
    </w:p>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15241BF5" w14:textId="77777777" w:rsidR="00365D31" w:rsidRPr="005D60AB" w:rsidRDefault="00365D31" w:rsidP="00365D31">
      <w:pPr>
        <w:rPr>
          <w:i/>
          <w:lang w:val="en-US"/>
        </w:rPr>
      </w:pPr>
      <w:r w:rsidRPr="00D247C0">
        <w:rPr>
          <w:i/>
          <w:lang w:val="en-US"/>
        </w:rPr>
        <w:t xml:space="preserve">In our opinion, </w:t>
      </w:r>
      <w:proofErr w:type="spellStart"/>
      <w:r w:rsidRPr="00D247C0">
        <w:rPr>
          <w:i/>
          <w:lang w:val="en-US"/>
        </w:rPr>
        <w:t>colours</w:t>
      </w:r>
      <w:proofErr w:type="spellEnd"/>
      <w:r w:rsidRPr="00D247C0">
        <w:rPr>
          <w:i/>
          <w:lang w:val="en-US"/>
        </w:rPr>
        <w:t xml:space="preserve"> should be removed from the templates not only because of the problems described in Q30.</w:t>
      </w:r>
      <w:r>
        <w:rPr>
          <w:i/>
          <w:lang w:val="en-US"/>
        </w:rPr>
        <w:t xml:space="preserve"> Also, the removal of </w:t>
      </w:r>
      <w:proofErr w:type="spellStart"/>
      <w:r>
        <w:rPr>
          <w:i/>
          <w:lang w:val="en-US"/>
        </w:rPr>
        <w:t>colours</w:t>
      </w:r>
      <w:proofErr w:type="spellEnd"/>
      <w:r>
        <w:rPr>
          <w:i/>
          <w:lang w:val="en-US"/>
        </w:rPr>
        <w:t xml:space="preserve"> would tear down a barrier for </w:t>
      </w:r>
      <w:proofErr w:type="spellStart"/>
      <w:r>
        <w:rPr>
          <w:i/>
          <w:lang w:val="en-US"/>
        </w:rPr>
        <w:t>colour</w:t>
      </w:r>
      <w:proofErr w:type="spellEnd"/>
      <w:r>
        <w:rPr>
          <w:i/>
          <w:lang w:val="en-US"/>
        </w:rPr>
        <w:t xml:space="preserve"> blind people and ease the accessibility of the templates to them. This would be in line with national legislation protecting people with disabilities and the European Disability Strategy.      </w:t>
      </w:r>
    </w:p>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48E7AD2E" w14:textId="77777777" w:rsidR="00365D31" w:rsidRPr="00D247C0" w:rsidRDefault="00365D31" w:rsidP="00365D31">
      <w:pPr>
        <w:rPr>
          <w:i/>
          <w:lang w:val="en-US"/>
        </w:rPr>
      </w:pPr>
      <w:r w:rsidRPr="00D247C0">
        <w:rPr>
          <w:i/>
          <w:lang w:val="en-US"/>
        </w:rPr>
        <w:lastRenderedPageBreak/>
        <w:t xml:space="preserve">Finance Denmark agrees with </w:t>
      </w:r>
      <w:r>
        <w:rPr>
          <w:i/>
          <w:lang w:val="en-US"/>
        </w:rPr>
        <w:t xml:space="preserve">the </w:t>
      </w:r>
      <w:r w:rsidRPr="00D247C0">
        <w:rPr>
          <w:i/>
          <w:lang w:val="en-US"/>
        </w:rPr>
        <w:t xml:space="preserve">proposal to allow the display of </w:t>
      </w:r>
      <w:r>
        <w:rPr>
          <w:i/>
          <w:lang w:val="en-US"/>
        </w:rPr>
        <w:t xml:space="preserve">disclosures in an electronically extendable manner. </w:t>
      </w:r>
    </w:p>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547DD247" w14:textId="28DE0C7E" w:rsidR="00365D31" w:rsidRDefault="00365D31" w:rsidP="00365D31">
      <w:pPr>
        <w:rPr>
          <w:i/>
          <w:lang w:val="en-US"/>
        </w:rPr>
      </w:pPr>
      <w:r w:rsidRPr="00D247C0">
        <w:rPr>
          <w:i/>
          <w:lang w:val="en-US"/>
        </w:rPr>
        <w:t>Finance Denmark does not support</w:t>
      </w:r>
      <w:r>
        <w:rPr>
          <w:i/>
          <w:lang w:val="en-US"/>
        </w:rPr>
        <w:t xml:space="preserve"> the</w:t>
      </w:r>
      <w:r w:rsidRPr="00D247C0">
        <w:rPr>
          <w:i/>
          <w:lang w:val="en-US"/>
        </w:rPr>
        <w:t xml:space="preserve"> criteria for estimates</w:t>
      </w:r>
      <w:r>
        <w:rPr>
          <w:i/>
          <w:lang w:val="en-US"/>
        </w:rPr>
        <w:t xml:space="preserve">. Financial market participants either have the option to procure data from a data provider or source them directly from an investee company. For a financial market participant, </w:t>
      </w:r>
      <w:r w:rsidRPr="00D247C0">
        <w:rPr>
          <w:i/>
          <w:lang w:val="en-US"/>
        </w:rPr>
        <w:t>it is in practice</w:t>
      </w:r>
      <w:r>
        <w:rPr>
          <w:i/>
          <w:lang w:val="en-US"/>
        </w:rPr>
        <w:t xml:space="preserve"> very difficult</w:t>
      </w:r>
      <w:r w:rsidRPr="00D247C0">
        <w:rPr>
          <w:i/>
          <w:lang w:val="en-US"/>
        </w:rPr>
        <w:t xml:space="preserve"> to obtain missing data from </w:t>
      </w:r>
      <w:r>
        <w:rPr>
          <w:i/>
          <w:lang w:val="en-US"/>
        </w:rPr>
        <w:t>an</w:t>
      </w:r>
      <w:r w:rsidRPr="00D247C0">
        <w:rPr>
          <w:i/>
          <w:lang w:val="en-US"/>
        </w:rPr>
        <w:t xml:space="preserve"> investee compan</w:t>
      </w:r>
      <w:r>
        <w:rPr>
          <w:i/>
          <w:lang w:val="en-US"/>
        </w:rPr>
        <w:t>y. It is also very burdensome administratively to gather missing information as investments of a financial market participant normally cover thousands of investee companies</w:t>
      </w:r>
      <w:r w:rsidRPr="00D247C0">
        <w:rPr>
          <w:i/>
          <w:lang w:val="en-US"/>
        </w:rPr>
        <w:t>.</w:t>
      </w:r>
      <w:r>
        <w:rPr>
          <w:i/>
          <w:lang w:val="en-US"/>
        </w:rPr>
        <w:t xml:space="preserve"> </w:t>
      </w:r>
    </w:p>
    <w:p w14:paraId="5762EB48" w14:textId="6991FD3C" w:rsidR="00365D31" w:rsidRDefault="00365D31" w:rsidP="00365D31">
      <w:pPr>
        <w:rPr>
          <w:i/>
          <w:lang w:val="en-US"/>
        </w:rPr>
      </w:pPr>
      <w:r>
        <w:rPr>
          <w:i/>
          <w:lang w:val="en-US"/>
        </w:rPr>
        <w:t xml:space="preserve">In addition, </w:t>
      </w:r>
      <w:r w:rsidRPr="0014196C">
        <w:rPr>
          <w:i/>
          <w:lang w:val="en-US"/>
        </w:rPr>
        <w:t>Finance Denmark would like to point out that too many estimations may distort the overall picture of a financial product. It is very difficult to ascertain whether the result of an estimate is valid or not. Using multiple estimations increase</w:t>
      </w:r>
      <w:r>
        <w:rPr>
          <w:i/>
          <w:lang w:val="en-US"/>
        </w:rPr>
        <w:t>s</w:t>
      </w:r>
      <w:r w:rsidRPr="0014196C">
        <w:rPr>
          <w:i/>
          <w:lang w:val="en-US"/>
        </w:rPr>
        <w:t xml:space="preserve"> this problem and decreases the comparability of financial products and financial market participants to the detriment of the investor.  </w:t>
      </w:r>
    </w:p>
    <w:p w14:paraId="08E913C8" w14:textId="77777777" w:rsidR="00365D31" w:rsidRPr="0020433A" w:rsidRDefault="00365D31" w:rsidP="00365D31">
      <w:pPr>
        <w:rPr>
          <w:i/>
          <w:lang w:val="en-US"/>
        </w:rPr>
      </w:pPr>
      <w:r>
        <w:rPr>
          <w:i/>
          <w:lang w:val="en-US"/>
        </w:rPr>
        <w:t>On the other hand, data providers have much more experience with and are much more specialized in assessing and generating estimations. Therefore, legislative p</w:t>
      </w:r>
      <w:r w:rsidRPr="00D853B6">
        <w:rPr>
          <w:i/>
          <w:lang w:val="en-US"/>
        </w:rPr>
        <w:t>otential criteria for estimates</w:t>
      </w:r>
      <w:r>
        <w:rPr>
          <w:i/>
          <w:lang w:val="en-US"/>
        </w:rPr>
        <w:t xml:space="preserve"> should rather</w:t>
      </w:r>
      <w:r w:rsidRPr="00D853B6">
        <w:rPr>
          <w:i/>
          <w:lang w:val="en-US"/>
        </w:rPr>
        <w:t xml:space="preserve"> apply </w:t>
      </w:r>
      <w:r>
        <w:rPr>
          <w:i/>
          <w:lang w:val="en-US"/>
        </w:rPr>
        <w:t>to</w:t>
      </w:r>
      <w:r w:rsidRPr="00D853B6">
        <w:rPr>
          <w:i/>
          <w:lang w:val="en-US"/>
        </w:rPr>
        <w:t xml:space="preserve"> the data</w:t>
      </w:r>
      <w:r>
        <w:rPr>
          <w:i/>
          <w:lang w:val="en-US"/>
        </w:rPr>
        <w:t xml:space="preserve"> </w:t>
      </w:r>
      <w:r w:rsidRPr="00D853B6">
        <w:rPr>
          <w:i/>
          <w:lang w:val="en-US"/>
        </w:rPr>
        <w:t>providers</w:t>
      </w:r>
      <w:r>
        <w:rPr>
          <w:i/>
          <w:lang w:val="en-US"/>
        </w:rPr>
        <w:t xml:space="preserve"> than to the financial market participants. Further, we note that such provisions should be introduced in level 1. </w:t>
      </w:r>
    </w:p>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35026151" w14:textId="77777777" w:rsidR="008A49FB" w:rsidRPr="00D247C0" w:rsidRDefault="008A49FB" w:rsidP="008A49FB">
      <w:pPr>
        <w:rPr>
          <w:i/>
          <w:lang w:val="en-US"/>
        </w:rPr>
      </w:pPr>
      <w:r w:rsidRPr="00D247C0">
        <w:rPr>
          <w:i/>
          <w:lang w:val="en-US"/>
        </w:rPr>
        <w:t>No, not in our</w:t>
      </w:r>
      <w:r>
        <w:rPr>
          <w:i/>
          <w:lang w:val="en-US"/>
        </w:rPr>
        <w:t xml:space="preserve"> view. This question of “key environmental metrics” is a central question concerning many important key concepts in level 1 SFDR and, consequently, pertains to level 1 of SFDR. Accordingly, this question should be treated accordingly in a level 1-review. </w:t>
      </w:r>
    </w:p>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lastRenderedPageBreak/>
        <w:t>&lt;ESMA_QUESTION_SFDR_38&gt;</w:t>
      </w:r>
    </w:p>
    <w:p w14:paraId="546A60B0" w14:textId="2AECD895" w:rsidR="008A49FB" w:rsidRPr="00B06F12" w:rsidRDefault="008A49FB" w:rsidP="008A49FB">
      <w:pPr>
        <w:rPr>
          <w:i/>
          <w:lang w:val="en-US"/>
        </w:rPr>
      </w:pPr>
      <w:r w:rsidRPr="00DE6252">
        <w:rPr>
          <w:i/>
          <w:lang w:val="en-US"/>
        </w:rPr>
        <w:t>This question pertains to le</w:t>
      </w:r>
      <w:r>
        <w:rPr>
          <w:i/>
          <w:lang w:val="en-US"/>
        </w:rPr>
        <w:t xml:space="preserve">vel 1 of SFDR and should be treated accordingly. The introduction of rules on the calculation could potentially lead to dramatic changes of investments products.  Therefore, such rules must be subject to careful considerations before they are introduced. </w:t>
      </w:r>
    </w:p>
    <w:p w14:paraId="3D7BFF7D" w14:textId="5B3D9FE6" w:rsidR="008A49FB" w:rsidRPr="00E84956" w:rsidRDefault="008A49FB" w:rsidP="008A49FB">
      <w:pPr>
        <w:rPr>
          <w:i/>
          <w:lang w:val="en-US"/>
        </w:rPr>
      </w:pPr>
      <w:r>
        <w:rPr>
          <w:i/>
          <w:lang w:val="en-US"/>
        </w:rPr>
        <w:t xml:space="preserve">Apart from the missing mandate to regulate this question in level 2 of SFDR, </w:t>
      </w:r>
      <w:r w:rsidRPr="00E84956">
        <w:rPr>
          <w:i/>
          <w:lang w:val="en-US"/>
        </w:rPr>
        <w:t>Finance Denmark does not see the need to set</w:t>
      </w:r>
      <w:r>
        <w:rPr>
          <w:i/>
          <w:lang w:val="en-US"/>
        </w:rPr>
        <w:t xml:space="preserve"> out</w:t>
      </w:r>
      <w:r w:rsidRPr="00E84956">
        <w:rPr>
          <w:i/>
          <w:lang w:val="en-US"/>
        </w:rPr>
        <w:t xml:space="preserve"> specific rules on the calculation of the proportion of sustainable investments of financial products as this would not increase the comparability of financial products and financial market participants because they use different methods to determine a sustainable investment. The calculation of a sustainable investment differs a lot from financial market participant to financial market participant. Some financial market participants may use an entity-based definition of a sustainable investment while others use an activity-based sustainable investment. </w:t>
      </w:r>
      <w:r>
        <w:rPr>
          <w:i/>
          <w:lang w:val="en-US"/>
        </w:rPr>
        <w:t>T</w:t>
      </w:r>
      <w:r w:rsidRPr="00E84956">
        <w:rPr>
          <w:i/>
          <w:lang w:val="en-US"/>
        </w:rPr>
        <w:t xml:space="preserve">herefore, </w:t>
      </w:r>
      <w:r>
        <w:rPr>
          <w:i/>
          <w:lang w:val="en-US"/>
        </w:rPr>
        <w:t xml:space="preserve">it </w:t>
      </w:r>
      <w:r w:rsidRPr="00E84956">
        <w:rPr>
          <w:i/>
          <w:lang w:val="en-US"/>
        </w:rPr>
        <w:t xml:space="preserve">would be very difficult in practice to set </w:t>
      </w:r>
      <w:r>
        <w:rPr>
          <w:i/>
          <w:lang w:val="en-US"/>
        </w:rPr>
        <w:t>ou</w:t>
      </w:r>
      <w:r w:rsidRPr="00E84956">
        <w:rPr>
          <w:i/>
          <w:lang w:val="en-US"/>
        </w:rPr>
        <w:t xml:space="preserve">t specific rules on the calculation of the proportion of sustainable investments of financial products without involuntarily interfering with the neutral product design. </w:t>
      </w:r>
    </w:p>
    <w:p w14:paraId="59053194" w14:textId="77777777" w:rsidR="008A49FB" w:rsidRPr="00E84956" w:rsidRDefault="008A49FB" w:rsidP="008A49FB">
      <w:pPr>
        <w:rPr>
          <w:i/>
          <w:lang w:val="en-US"/>
        </w:rPr>
      </w:pPr>
      <w:r w:rsidRPr="00E84956">
        <w:rPr>
          <w:i/>
          <w:lang w:val="en-US"/>
        </w:rPr>
        <w:t xml:space="preserve">This should be seen in the light of the fact that SFDR does not set </w:t>
      </w:r>
      <w:r>
        <w:rPr>
          <w:i/>
          <w:lang w:val="en-US"/>
        </w:rPr>
        <w:t xml:space="preserve">out </w:t>
      </w:r>
      <w:r w:rsidRPr="00E84956">
        <w:rPr>
          <w:i/>
          <w:lang w:val="en-US"/>
        </w:rPr>
        <w:t xml:space="preserve">specific product design. Setting </w:t>
      </w:r>
      <w:r>
        <w:rPr>
          <w:i/>
          <w:lang w:val="en-US"/>
        </w:rPr>
        <w:t xml:space="preserve">out </w:t>
      </w:r>
      <w:r w:rsidRPr="00E84956">
        <w:rPr>
          <w:i/>
          <w:lang w:val="en-US"/>
        </w:rPr>
        <w:t xml:space="preserve">specific rules on the calculation of the proportion of sustainable investments of financial products could indirectly limit the product design that a financial market participant may choose to use for its financial products. </w:t>
      </w:r>
      <w:r>
        <w:rPr>
          <w:i/>
          <w:lang w:val="en-US"/>
        </w:rPr>
        <w:t xml:space="preserve">In case that specific rules on the calculation of the proportion of sustainable investments are to be introduced, Finance Denmark would suggest that market value of net asset value will be used as a basis for the calculation of the proportion of sustainable investments.  </w:t>
      </w:r>
    </w:p>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3F8F0F5" w14:textId="077DCA64" w:rsidR="008A49FB" w:rsidRDefault="008A49FB" w:rsidP="008A49FB">
      <w:pPr>
        <w:rPr>
          <w:i/>
          <w:lang w:val="en-US"/>
        </w:rPr>
      </w:pPr>
      <w:r w:rsidRPr="00D247C0">
        <w:rPr>
          <w:i/>
          <w:lang w:val="en-US"/>
        </w:rPr>
        <w:t>Finance Denmark is of the opinion that</w:t>
      </w:r>
      <w:r>
        <w:rPr>
          <w:i/>
          <w:lang w:val="en-US"/>
        </w:rPr>
        <w:t xml:space="preserve"> only</w:t>
      </w:r>
      <w:r w:rsidRPr="00D247C0">
        <w:rPr>
          <w:i/>
          <w:lang w:val="en-US"/>
        </w:rPr>
        <w:t xml:space="preserve"> the</w:t>
      </w:r>
      <w:r>
        <w:rPr>
          <w:i/>
          <w:lang w:val="en-US"/>
        </w:rPr>
        <w:t xml:space="preserve"> information from the EET should be disclosed in a machine-readable format for the ESAP. By using the EET, data can be easily identified, extracted and recognized as it contains all the needed information.  </w:t>
      </w:r>
    </w:p>
    <w:p w14:paraId="50409BFA" w14:textId="77777777" w:rsidR="008A49FB" w:rsidRDefault="008A49FB" w:rsidP="008A49FB">
      <w:pPr>
        <w:rPr>
          <w:i/>
          <w:lang w:val="en-US"/>
        </w:rPr>
      </w:pPr>
      <w:r>
        <w:rPr>
          <w:i/>
          <w:lang w:val="en-US"/>
        </w:rPr>
        <w:t xml:space="preserve">Finance Denmark urges the ESAs to publish the final and editable templates (Word) in correctly translated versions in all the official languages in the EU in due time before they enter into force. </w:t>
      </w:r>
    </w:p>
    <w:p w14:paraId="59ACAFC5" w14:textId="77777777" w:rsidR="008A49FB" w:rsidRDefault="008A49FB" w:rsidP="008A49FB">
      <w:pPr>
        <w:rPr>
          <w:i/>
          <w:lang w:val="en-US"/>
        </w:rPr>
      </w:pPr>
      <w:r>
        <w:rPr>
          <w:i/>
          <w:lang w:val="en-US"/>
        </w:rPr>
        <w:t xml:space="preserve">Publishing them close to the date of entry into force in formats that are not translated and cannot be edited entails significant expenses. This both applies in terms of IT-costs but also administrational costs for translations and formatting, for further arguments please see Q43.  </w:t>
      </w:r>
    </w:p>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6A2B077D" w14:textId="28D96F94" w:rsidR="008A49FB" w:rsidRDefault="008A49FB" w:rsidP="008A49FB">
      <w:pPr>
        <w:rPr>
          <w:i/>
          <w:lang w:val="en-US"/>
        </w:rPr>
      </w:pPr>
      <w:r>
        <w:rPr>
          <w:i/>
          <w:lang w:val="en-US"/>
        </w:rPr>
        <w:lastRenderedPageBreak/>
        <w:t>It</w:t>
      </w:r>
      <w:r>
        <w:rPr>
          <w:i/>
          <w:lang w:val="en-US"/>
        </w:rPr>
        <w:t xml:space="preserve"> is</w:t>
      </w:r>
      <w:r>
        <w:rPr>
          <w:i/>
          <w:lang w:val="en-US"/>
        </w:rPr>
        <w:t xml:space="preserve"> very difficult to assess the costs pertaining to the proposed amendments as it is difficult to assess their precise impact beforehand.   </w:t>
      </w:r>
    </w:p>
    <w:p w14:paraId="0FCB27AC" w14:textId="77777777" w:rsidR="008A49FB" w:rsidRDefault="008A49FB" w:rsidP="008A49FB">
      <w:pPr>
        <w:rPr>
          <w:i/>
          <w:lang w:val="en-US"/>
        </w:rPr>
      </w:pPr>
      <w:r>
        <w:rPr>
          <w:i/>
          <w:lang w:val="en-US"/>
        </w:rPr>
        <w:t xml:space="preserve">However, the proposed amendments to the templates and the delegated regulation entail substantive and significant costs for the financial market participants as they require changes to their IT-systems, changes to their investment products, operational changes and, thereby, a substantial amount of implementation. </w:t>
      </w:r>
    </w:p>
    <w:p w14:paraId="281B124D" w14:textId="198D0AFD" w:rsidR="008A49FB" w:rsidRDefault="008A49FB" w:rsidP="008A49FB">
      <w:pPr>
        <w:rPr>
          <w:i/>
          <w:lang w:val="en-US"/>
        </w:rPr>
      </w:pPr>
      <w:r>
        <w:rPr>
          <w:i/>
          <w:lang w:val="en-US"/>
        </w:rPr>
        <w:t xml:space="preserve">Especially, any amendments that require changes to the IT-systems of the financial market participants, for example changes to the templates, are very costly because such changes cannot be easily implemented overnight and needs a significant amount of testing.   </w:t>
      </w:r>
    </w:p>
    <w:p w14:paraId="7756AC7A" w14:textId="0D3F221B" w:rsidR="008A49FB" w:rsidRDefault="008A49FB" w:rsidP="008A49FB">
      <w:pPr>
        <w:rPr>
          <w:i/>
          <w:lang w:val="en-US"/>
        </w:rPr>
      </w:pPr>
      <w:r w:rsidRPr="00FC77D1">
        <w:rPr>
          <w:i/>
          <w:lang w:val="en-US"/>
        </w:rPr>
        <w:t xml:space="preserve">Sequencing also plays a </w:t>
      </w:r>
      <w:r>
        <w:rPr>
          <w:i/>
          <w:lang w:val="en-US"/>
        </w:rPr>
        <w:t>pivotal</w:t>
      </w:r>
      <w:r w:rsidRPr="00FC77D1">
        <w:rPr>
          <w:i/>
          <w:lang w:val="en-US"/>
        </w:rPr>
        <w:t xml:space="preserve"> role </w:t>
      </w:r>
      <w:r>
        <w:rPr>
          <w:i/>
          <w:lang w:val="en-US"/>
        </w:rPr>
        <w:t xml:space="preserve">to the costs associated with the amendments. The total costs rise drastically if the financial market participants are not given sufficient time to implement the amendments. </w:t>
      </w:r>
      <w:proofErr w:type="gramStart"/>
      <w:r>
        <w:rPr>
          <w:i/>
          <w:lang w:val="en-US"/>
        </w:rPr>
        <w:t>As a general rule</w:t>
      </w:r>
      <w:proofErr w:type="gramEnd"/>
      <w:r>
        <w:rPr>
          <w:i/>
          <w:lang w:val="en-US"/>
        </w:rPr>
        <w:t xml:space="preserve">, the faster an amendment has to be implemented, the more expensive the implementation of the amendment becomes. Consequently, if the financial market participants are given sufficient time to implement the amendments, the pertaining costs will be lower. Insufficient time to implement the amendments will also inevitably lead to lower data quality. Quickly gathered information can even in some cases be misleading. The less time the financial market participants are given to implement the amendments, the worse the data quality will be. Decreased data quality hurts the investors very badly in multiple ways. It weakens the transparency that it is supposed to give the investors while it is also blurring the overall picture of the financial market participants. This, in turn, hurts the comparability between financial market participants hindering investors in taking informed decisions.    </w:t>
      </w:r>
    </w:p>
    <w:p w14:paraId="1B237DDD" w14:textId="4A0C286B" w:rsidR="008A49FB" w:rsidRDefault="008A49FB" w:rsidP="008A49FB">
      <w:pPr>
        <w:rPr>
          <w:i/>
          <w:lang w:val="en-US"/>
        </w:rPr>
      </w:pPr>
      <w:r>
        <w:rPr>
          <w:i/>
          <w:lang w:val="en-US"/>
        </w:rPr>
        <w:t xml:space="preserve">Bad data quality also makes it difficult for auditors to audit the parts of the templates that form a part of the annual reports of the financial market participants, and thereby, leads to increased costs in this relation.  </w:t>
      </w:r>
    </w:p>
    <w:p w14:paraId="1073548E" w14:textId="4F777D11" w:rsidR="008A49FB" w:rsidRDefault="008A49FB" w:rsidP="008A49FB">
      <w:pPr>
        <w:rPr>
          <w:i/>
          <w:lang w:val="en-US"/>
        </w:rPr>
      </w:pPr>
      <w:r>
        <w:rPr>
          <w:i/>
          <w:lang w:val="en-US"/>
        </w:rPr>
        <w:t xml:space="preserve">Giving the financial market participants reasonable time to implement the amendments made will also, in addition to what is described above, benefit the investors as costs incurred on the financial market participants ultimately will be paid by the investors in the shape of more expensive investment products. </w:t>
      </w:r>
    </w:p>
    <w:p w14:paraId="337F7732" w14:textId="77777777" w:rsidR="008A49FB" w:rsidRPr="005D60AB" w:rsidRDefault="008A49FB" w:rsidP="008A49FB">
      <w:pPr>
        <w:rPr>
          <w:i/>
          <w:lang w:val="en-US"/>
        </w:rPr>
      </w:pPr>
      <w:r>
        <w:rPr>
          <w:i/>
          <w:lang w:val="en-US"/>
        </w:rPr>
        <w:t xml:space="preserve">Therefore, we urge the ESAs to grant the financial market participants sufficient time to implement amendments in the manner described in Q42. </w:t>
      </w:r>
    </w:p>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Sidefod"/>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dnotetekst"/>
      </w:pPr>
      <w:r>
        <w:rPr>
          <w:rStyle w:val="Fodnotehenvisning"/>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Sidehoved"/>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AD3023"/>
    <w:multiLevelType w:val="hybridMultilevel"/>
    <w:tmpl w:val="F3C8F7E2"/>
    <w:lvl w:ilvl="0" w:tplc="D098F37E">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1"/>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561529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5D31"/>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280"/>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49FB"/>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2A70"/>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0E1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34F2"/>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E7CFE"/>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0773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07738"/>
  </w:style>
  <w:style w:type="paragraph" w:styleId="Sidefod">
    <w:name w:val="footer"/>
    <w:basedOn w:val="Normal"/>
    <w:link w:val="SidefodTegn"/>
    <w:uiPriority w:val="99"/>
    <w:unhideWhenUsed/>
    <w:rsid w:val="0070773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07738"/>
  </w:style>
  <w:style w:type="paragraph" w:styleId="Markeringsbobletekst">
    <w:name w:val="Balloon Text"/>
    <w:basedOn w:val="Normal"/>
    <w:link w:val="MarkeringsbobletekstTegn"/>
    <w:uiPriority w:val="99"/>
    <w:semiHidden/>
    <w:unhideWhenUsed/>
    <w:rsid w:val="0070773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7738"/>
    <w:rPr>
      <w:rFonts w:ascii="Tahoma" w:hAnsi="Tahoma" w:cs="Tahoma"/>
      <w:sz w:val="16"/>
      <w:szCs w:val="16"/>
    </w:rPr>
  </w:style>
  <w:style w:type="table" w:styleId="Tabel-Gitter">
    <w:name w:val="Table Grid"/>
    <w:basedOn w:val="Tabel-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61F7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61F7C"/>
    <w:rPr>
      <w:sz w:val="20"/>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basedOn w:val="Standardskrifttypeiafsni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eafsnit">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eafsnitTegn"/>
    <w:uiPriority w:val="34"/>
    <w:qFormat/>
    <w:rsid w:val="008057FF"/>
    <w:pPr>
      <w:ind w:left="720"/>
      <w:contextualSpacing/>
    </w:pPr>
  </w:style>
  <w:style w:type="character" w:styleId="Kommentarhenvisning">
    <w:name w:val="annotation reference"/>
    <w:basedOn w:val="Standardskrifttypeiafsnit"/>
    <w:uiPriority w:val="99"/>
    <w:semiHidden/>
    <w:unhideWhenUsed/>
    <w:rsid w:val="009A3551"/>
    <w:rPr>
      <w:sz w:val="16"/>
      <w:szCs w:val="16"/>
    </w:rPr>
  </w:style>
  <w:style w:type="paragraph" w:styleId="Kommentartekst">
    <w:name w:val="annotation text"/>
    <w:basedOn w:val="Normal"/>
    <w:link w:val="KommentartekstTegn"/>
    <w:uiPriority w:val="99"/>
    <w:unhideWhenUsed/>
    <w:rsid w:val="009A3551"/>
    <w:pPr>
      <w:spacing w:line="240" w:lineRule="auto"/>
    </w:pPr>
    <w:rPr>
      <w:sz w:val="20"/>
      <w:szCs w:val="20"/>
    </w:rPr>
  </w:style>
  <w:style w:type="character" w:customStyle="1" w:styleId="KommentartekstTegn">
    <w:name w:val="Kommentartekst Tegn"/>
    <w:basedOn w:val="Standardskrifttypeiafsnit"/>
    <w:link w:val="Kommentartekst"/>
    <w:uiPriority w:val="99"/>
    <w:rsid w:val="009A3551"/>
    <w:rPr>
      <w:sz w:val="20"/>
      <w:szCs w:val="20"/>
    </w:rPr>
  </w:style>
  <w:style w:type="paragraph" w:styleId="Kommentaremne">
    <w:name w:val="annotation subject"/>
    <w:basedOn w:val="Kommentartekst"/>
    <w:next w:val="Kommentartekst"/>
    <w:link w:val="KommentaremneTegn"/>
    <w:uiPriority w:val="99"/>
    <w:semiHidden/>
    <w:unhideWhenUsed/>
    <w:rsid w:val="009A3551"/>
    <w:rPr>
      <w:b/>
      <w:bCs/>
    </w:rPr>
  </w:style>
  <w:style w:type="character" w:customStyle="1" w:styleId="KommentaremneTegn">
    <w:name w:val="Kommentaremne Tegn"/>
    <w:basedOn w:val="KommentartekstTegn"/>
    <w:link w:val="Kommentaremn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Standardskrifttypeiafsni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eafsnitTegn">
    <w:name w:val="Listeafsnit Tegn"/>
    <w:aliases w:val="Paragraphe EI Tegn,Paragraphe de liste1 Tegn,EC Tegn,List Paragraph_Sections Tegn,Dot pt Tegn,List Paragraph1 Tegn,Colorful List - Accent 11 Tegn,No Spacing1 Tegn,List Paragraph Char Char Char Tegn,Indicator Text Tegn,Bullet 1 Tegn"/>
    <w:basedOn w:val="Standardskrifttypeiafsnit"/>
    <w:link w:val="Listeafsnit"/>
    <w:uiPriority w:val="34"/>
    <w:qFormat/>
    <w:locked/>
    <w:rsid w:val="00D36E67"/>
  </w:style>
  <w:style w:type="paragraph" w:styleId="Titel">
    <w:name w:val="Title"/>
    <w:basedOn w:val="Normal"/>
    <w:next w:val="Normal"/>
    <w:link w:val="TitelTegn"/>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elTegn">
    <w:name w:val="Titel Tegn"/>
    <w:basedOn w:val="Standardskrifttypeiafsnit"/>
    <w:link w:val="Titel"/>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Korrektur">
    <w:name w:val="Revision"/>
    <w:hidden/>
    <w:uiPriority w:val="99"/>
    <w:semiHidden/>
    <w:rsid w:val="00D1763F"/>
    <w:pPr>
      <w:spacing w:after="0" w:line="240" w:lineRule="auto"/>
    </w:pPr>
  </w:style>
  <w:style w:type="character" w:styleId="BesgtLink">
    <w:name w:val="FollowedHyperlink"/>
    <w:basedOn w:val="Standardskrifttypeiafsni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Standardskrifttypeiafsni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Standardskrifttypeiafsni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Standardskrifttypeiafsnit"/>
    <w:link w:val="HeaderFoot"/>
    <w:rsid w:val="005418F4"/>
    <w:rPr>
      <w:rFonts w:ascii="Arial" w:eastAsiaTheme="minorEastAsia" w:hAnsi="Arial" w:cs="Arial"/>
      <w:color w:val="001B4F"/>
      <w:sz w:val="16"/>
      <w:szCs w:val="16"/>
    </w:rPr>
  </w:style>
  <w:style w:type="character" w:styleId="Ulstomtale">
    <w:name w:val="Unresolved Mention"/>
    <w:basedOn w:val="Standardskrifttypeiafsni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Standardskrifttypeiafsni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docProps/app.xml><?xml version="1.0" encoding="utf-8"?>
<Properties xmlns="http://schemas.openxmlformats.org/officeDocument/2006/extended-properties" xmlns:vt="http://schemas.openxmlformats.org/officeDocument/2006/docPropsVTypes">
  <Template>JC ESAs letter 2023</Template>
  <TotalTime>1</TotalTime>
  <Pages>26</Pages>
  <Words>8159</Words>
  <Characters>49776</Characters>
  <Application>Microsoft Office Word</Application>
  <DocSecurity>0</DocSecurity>
  <Lines>414</Lines>
  <Paragraphs>115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Jon Hofdahl-Maltesen</cp:lastModifiedBy>
  <cp:revision>2</cp:revision>
  <cp:lastPrinted>2022-02-14T13:26:00Z</cp:lastPrinted>
  <dcterms:created xsi:type="dcterms:W3CDTF">2023-06-29T11:59:00Z</dcterms:created>
  <dcterms:modified xsi:type="dcterms:W3CDTF">2023-06-29T11:59:00Z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