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250" w:lineRule="auto"/>
        <w:jc w:val="both"/>
        <w:rPr>
          <w:rFonts w:ascii="Arial" w:cs="Arial" w:eastAsia="Arial" w:hAnsi="Arial"/>
          <w:b w:val="1"/>
          <w:color w:val="00379f"/>
          <w:sz w:val="56"/>
          <w:szCs w:val="56"/>
        </w:rPr>
      </w:pPr>
      <w:r w:rsidDel="00000000" w:rsidR="00000000" w:rsidRPr="00000000">
        <w:rPr>
          <w:rtl w:val="0"/>
        </w:rPr>
      </w:r>
    </w:p>
    <w:p w:rsidR="00000000" w:rsidDel="00000000" w:rsidP="00000000" w:rsidRDefault="00000000" w:rsidRPr="00000000" w14:paraId="00000003">
      <w:pPr>
        <w:spacing w:after="250" w:lineRule="auto"/>
        <w:jc w:val="both"/>
        <w:rPr>
          <w:rFonts w:ascii="Arial" w:cs="Arial" w:eastAsia="Arial" w:hAnsi="Arial"/>
          <w:b w:val="1"/>
          <w:color w:val="00379f"/>
          <w:sz w:val="56"/>
          <w:szCs w:val="56"/>
        </w:rPr>
      </w:pPr>
      <w:r w:rsidDel="00000000" w:rsidR="00000000" w:rsidRPr="00000000">
        <w:rPr>
          <w:rtl w:val="0"/>
        </w:rPr>
      </w:r>
    </w:p>
    <w:p w:rsidR="00000000" w:rsidDel="00000000" w:rsidP="00000000" w:rsidRDefault="00000000" w:rsidRPr="00000000" w14:paraId="00000004">
      <w:pPr>
        <w:spacing w:after="250" w:lineRule="auto"/>
        <w:jc w:val="both"/>
        <w:rPr>
          <w:rFonts w:ascii="Arial" w:cs="Arial" w:eastAsia="Arial" w:hAnsi="Arial"/>
          <w:b w:val="1"/>
          <w:color w:val="00379f"/>
          <w:sz w:val="56"/>
          <w:szCs w:val="56"/>
        </w:rPr>
      </w:pPr>
      <w:r w:rsidDel="00000000" w:rsidR="00000000" w:rsidRPr="00000000">
        <w:rPr>
          <w:rFonts w:ascii="Arial" w:cs="Arial" w:eastAsia="Arial" w:hAnsi="Arial"/>
          <w:b w:val="1"/>
          <w:color w:val="00379f"/>
          <w:sz w:val="56"/>
          <w:szCs w:val="56"/>
          <w:rtl w:val="0"/>
        </w:rPr>
        <w:t xml:space="preserve">Reply form</w:t>
      </w:r>
    </w:p>
    <w:p w:rsidR="00000000" w:rsidDel="00000000" w:rsidP="00000000" w:rsidRDefault="00000000" w:rsidRPr="00000000" w14:paraId="00000005">
      <w:pPr>
        <w:jc w:val="both"/>
        <w:rPr>
          <w:rFonts w:ascii="Arial" w:cs="Arial" w:eastAsia="Arial" w:hAnsi="Arial"/>
          <w:b w:val="1"/>
          <w:sz w:val="28"/>
          <w:szCs w:val="28"/>
        </w:rPr>
      </w:pPr>
      <w:r w:rsidDel="00000000" w:rsidR="00000000" w:rsidRPr="00000000">
        <w:rPr>
          <w:rFonts w:ascii="Arial" w:cs="Arial" w:eastAsia="Arial" w:hAnsi="Arial"/>
          <w:b w:val="1"/>
          <w:color w:val="1a1a1a"/>
          <w:sz w:val="28"/>
          <w:szCs w:val="28"/>
          <w:rtl w:val="0"/>
        </w:rPr>
        <w:t xml:space="preserve">on the Joint Consultation Paper on</w:t>
      </w:r>
      <w:r w:rsidDel="00000000" w:rsidR="00000000" w:rsidRPr="00000000">
        <w:rPr>
          <w:rFonts w:ascii="Arial" w:cs="Arial" w:eastAsia="Arial" w:hAnsi="Arial"/>
          <w:b w:val="1"/>
          <w:sz w:val="28"/>
          <w:szCs w:val="28"/>
          <w:rtl w:val="0"/>
        </w:rPr>
        <w:t xml:space="preserve"> the review of SFDR Delegated Regulation regarding PAI and financial product disclosures</w:t>
      </w:r>
    </w:p>
    <w:p w:rsidR="00000000" w:rsidDel="00000000" w:rsidP="00000000" w:rsidRDefault="00000000" w:rsidRPr="00000000" w14:paraId="00000006">
      <w:pPr>
        <w:jc w:val="both"/>
        <w:rPr>
          <w:rFonts w:ascii="Arial" w:cs="Arial" w:eastAsia="Arial" w:hAnsi="Arial"/>
          <w:b w:val="1"/>
          <w:color w:val="00379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250" w:lineRule="auto"/>
        <w:ind w:left="426" w:hanging="426"/>
        <w:jc w:val="both"/>
        <w:rPr>
          <w:rFonts w:ascii="Arial" w:cs="Arial" w:eastAsia="Arial" w:hAnsi="Arial"/>
          <w:color w:val="1a1a1a"/>
          <w:sz w:val="16"/>
          <w:szCs w:val="16"/>
        </w:rPr>
      </w:pPr>
      <w:r w:rsidDel="00000000" w:rsidR="00000000" w:rsidRPr="00000000">
        <w:rPr>
          <w:rFonts w:ascii="Arial" w:cs="Arial" w:eastAsia="Arial" w:hAnsi="Arial"/>
          <w:b w:val="1"/>
          <w:color w:val="1a1a1a"/>
          <w:sz w:val="28"/>
          <w:szCs w:val="28"/>
          <w:rtl w:val="0"/>
        </w:rPr>
        <w:tab/>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0" w:lineRule="auto"/>
        <w:ind w:left="0" w:right="0" w:firstLine="0"/>
        <w:jc w:val="both"/>
        <w:rPr>
          <w:rFonts w:ascii="Arial" w:cs="Arial" w:eastAsia="Arial" w:hAnsi="Arial"/>
          <w:b w:val="1"/>
          <w:i w:val="0"/>
          <w:smallCaps w:val="0"/>
          <w:strike w:val="0"/>
          <w:color w:val="1a1a1a"/>
          <w:sz w:val="28"/>
          <w:szCs w:val="28"/>
          <w:u w:val="none"/>
          <w:vertAlign w:val="baseline"/>
        </w:rPr>
      </w:pPr>
      <w:r w:rsidDel="00000000" w:rsidR="00000000" w:rsidRPr="00000000">
        <w:rPr>
          <w:rFonts w:ascii="Arial" w:cs="Arial" w:eastAsia="Arial" w:hAnsi="Arial"/>
          <w:i w:val="0"/>
          <w:smallCaps w:val="0"/>
          <w:strike w:val="0"/>
          <w:color w:val="1a1a1a"/>
          <w:sz w:val="16"/>
          <w:szCs w:val="16"/>
          <w:u w:val="none"/>
          <w:vertAlign w:val="baseline"/>
          <w:rtl w:val="0"/>
        </w:rPr>
        <w:tab/>
        <w:tab/>
        <w:tab/>
        <w:tab/>
        <w:tab/>
        <w:tab/>
        <w:tab/>
        <w:tab/>
        <w:tab/>
        <w:tab/>
        <w:t xml:space="preserve">12 April 2023</w:t>
      </w:r>
      <w:r w:rsidDel="00000000" w:rsidR="00000000" w:rsidRPr="00000000">
        <w:rPr>
          <w:rFonts w:ascii="Arial" w:cs="Arial" w:eastAsia="Arial" w:hAnsi="Arial"/>
          <w:b w:val="1"/>
          <w:i w:val="0"/>
          <w:smallCaps w:val="0"/>
          <w:strike w:val="0"/>
          <w:color w:val="1a1a1a"/>
          <w:sz w:val="28"/>
          <w:szCs w:val="28"/>
          <w:u w:val="none"/>
          <w:vertAlign w:val="baseline"/>
          <w:rtl w:val="0"/>
        </w:rPr>
        <w:tab/>
        <w:tab/>
        <w:tab/>
        <w:tab/>
        <w:tab/>
        <w:tab/>
        <w:tab/>
        <w:tab/>
        <w:tab/>
      </w:r>
      <w:r w:rsidDel="00000000" w:rsidR="00000000" w:rsidRPr="00000000">
        <w:rPr>
          <w:rFonts w:ascii="Arial" w:cs="Arial" w:eastAsia="Arial" w:hAnsi="Arial"/>
          <w:b w:val="1"/>
          <w:i w:val="0"/>
          <w:smallCaps w:val="0"/>
          <w:strike w:val="0"/>
          <w:color w:val="1a1a1a"/>
          <w:sz w:val="16"/>
          <w:szCs w:val="16"/>
          <w:u w:val="none"/>
          <w:vertAlign w:val="baseline"/>
          <w:rtl w:val="0"/>
        </w:rPr>
        <w:tab/>
        <w:tab/>
      </w:r>
      <w:r w:rsidDel="00000000" w:rsidR="00000000" w:rsidRPr="00000000">
        <w:rPr>
          <w:rFonts w:ascii="Arial" w:cs="Arial" w:eastAsia="Arial" w:hAnsi="Arial"/>
          <w:i w:val="0"/>
          <w:smallCaps w:val="0"/>
          <w:strike w:val="0"/>
          <w:color w:val="000000"/>
          <w:sz w:val="16"/>
          <w:szCs w:val="16"/>
          <w:u w:val="none"/>
          <w:vertAlign w:val="baseline"/>
          <w:rtl w:val="0"/>
        </w:rPr>
        <w:t xml:space="preserve">ESMA34-45-1218</w:t>
      </w:r>
      <w:r w:rsidDel="00000000" w:rsidR="00000000" w:rsidRPr="00000000">
        <w:rPr>
          <w:rFonts w:ascii="Arial" w:cs="Arial" w:eastAsia="Arial" w:hAnsi="Arial"/>
          <w:b w:val="1"/>
          <w:i w:val="0"/>
          <w:smallCaps w:val="0"/>
          <w:strike w:val="0"/>
          <w:color w:val="1a1a1a"/>
          <w:sz w:val="28"/>
          <w:szCs w:val="28"/>
          <w:u w:val="none"/>
          <w:vertAlign w:val="baseline"/>
          <w:rtl w:val="0"/>
        </w:rPr>
        <w:tab/>
        <w:tab/>
        <w:tab/>
        <w:tab/>
        <w:tab/>
        <w:tab/>
        <w:tab/>
        <w:tab/>
        <w:tab/>
      </w:r>
    </w:p>
    <w:p w:rsidR="00000000" w:rsidDel="00000000" w:rsidP="00000000" w:rsidRDefault="00000000" w:rsidRPr="00000000" w14:paraId="00000009">
      <w:pPr>
        <w:spacing w:after="250" w:lineRule="auto"/>
        <w:ind w:left="426" w:hanging="426"/>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Responding to this paper </w:t>
      </w:r>
    </w:p>
    <w:p w:rsidR="00000000" w:rsidDel="00000000" w:rsidP="00000000" w:rsidRDefault="00000000" w:rsidRPr="00000000" w14:paraId="0000000A">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The ESAs invite comments on all matters in the Joint Consultation Paper and in particular on the specific questions in this reply form. Comments are most helpful if they:</w:t>
      </w:r>
    </w:p>
    <w:p w:rsidR="00000000" w:rsidDel="00000000" w:rsidP="00000000" w:rsidRDefault="00000000" w:rsidRPr="00000000" w14:paraId="0000000B">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respond to the question stated;</w:t>
      </w:r>
    </w:p>
    <w:p w:rsidR="00000000" w:rsidDel="00000000" w:rsidP="00000000" w:rsidRDefault="00000000" w:rsidRPr="00000000" w14:paraId="0000000C">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indicate the specific question to which the comment relates;</w:t>
      </w:r>
    </w:p>
    <w:p w:rsidR="00000000" w:rsidDel="00000000" w:rsidP="00000000" w:rsidRDefault="00000000" w:rsidRPr="00000000" w14:paraId="0000000D">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contain a clear rationale; and</w:t>
      </w:r>
    </w:p>
    <w:p w:rsidR="00000000" w:rsidDel="00000000" w:rsidP="00000000" w:rsidRDefault="00000000" w:rsidRPr="00000000" w14:paraId="0000000E">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describe any alternatives the ESAs should consider.</w:t>
      </w:r>
    </w:p>
    <w:p w:rsidR="00000000" w:rsidDel="00000000" w:rsidP="00000000" w:rsidRDefault="00000000" w:rsidRPr="00000000" w14:paraId="0000000F">
      <w:pPr>
        <w:spacing w:after="250" w:lineRule="auto"/>
        <w:jc w:val="both"/>
        <w:rPr>
          <w:rFonts w:ascii="Arial" w:cs="Arial" w:eastAsia="Arial" w:hAnsi="Arial"/>
          <w:b w:val="1"/>
          <w:color w:val="1a1a1a"/>
        </w:rPr>
      </w:pPr>
      <w:r w:rsidDel="00000000" w:rsidR="00000000" w:rsidRPr="00000000">
        <w:rPr>
          <w:rFonts w:ascii="Arial" w:cs="Arial" w:eastAsia="Arial" w:hAnsi="Arial"/>
          <w:color w:val="1a1a1a"/>
          <w:rtl w:val="0"/>
        </w:rPr>
        <w:t xml:space="preserve">ESMA will consider all comments received by </w:t>
      </w:r>
      <w:r w:rsidDel="00000000" w:rsidR="00000000" w:rsidRPr="00000000">
        <w:rPr>
          <w:rFonts w:ascii="Arial" w:cs="Arial" w:eastAsia="Arial" w:hAnsi="Arial"/>
          <w:b w:val="1"/>
          <w:color w:val="1a1a1a"/>
          <w:rtl w:val="0"/>
        </w:rPr>
        <w:t xml:space="preserve">4 July  2023. </w:t>
      </w:r>
    </w:p>
    <w:p w:rsidR="00000000" w:rsidDel="00000000" w:rsidP="00000000" w:rsidRDefault="00000000" w:rsidRPr="00000000" w14:paraId="00000010">
      <w:pPr>
        <w:spacing w:after="250" w:lineRule="auto"/>
        <w:ind w:left="426" w:hanging="426"/>
        <w:jc w:val="both"/>
        <w:rPr>
          <w:rFonts w:ascii="Arial" w:cs="Arial" w:eastAsia="Arial" w:hAnsi="Arial"/>
          <w:b w:val="1"/>
          <w:color w:val="1a1a1a"/>
          <w:sz w:val="28"/>
          <w:szCs w:val="28"/>
        </w:rPr>
      </w:pPr>
      <w:r w:rsidDel="00000000" w:rsidR="00000000" w:rsidRPr="00000000">
        <w:rPr>
          <w:rtl w:val="0"/>
        </w:rPr>
      </w:r>
    </w:p>
    <w:p w:rsidR="00000000" w:rsidDel="00000000" w:rsidP="00000000" w:rsidRDefault="00000000" w:rsidRPr="00000000" w14:paraId="00000011">
      <w:pPr>
        <w:spacing w:after="250" w:lineRule="auto"/>
        <w:ind w:left="426" w:hanging="426"/>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Instructions</w:t>
      </w:r>
    </w:p>
    <w:p w:rsidR="00000000" w:rsidDel="00000000" w:rsidP="00000000" w:rsidRDefault="00000000" w:rsidRPr="00000000" w14:paraId="00000012">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In order to facilitate analysis of responses to the Joint Consultation Paper, respondents are requested to follow the below steps when preparing and submitting their response:</w:t>
      </w:r>
    </w:p>
    <w:p w:rsidR="00000000" w:rsidDel="00000000" w:rsidP="00000000" w:rsidRDefault="00000000" w:rsidRPr="00000000" w14:paraId="00000013">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Insert your responses to the questions in the Joint Consultation Paper in this reply form. </w:t>
      </w:r>
    </w:p>
    <w:p w:rsidR="00000000" w:rsidDel="00000000" w:rsidP="00000000" w:rsidRDefault="00000000" w:rsidRPr="00000000" w14:paraId="00000014">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Please do not remove tags of the type &lt;ESMA_QUESTION_SFDR_1&gt;. Your response to each question has to be framed by the two tags corresponding to the question.</w:t>
      </w:r>
    </w:p>
    <w:p w:rsidR="00000000" w:rsidDel="00000000" w:rsidP="00000000" w:rsidRDefault="00000000" w:rsidRPr="00000000" w14:paraId="00000015">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6">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When you have drafted your responses, save the reply form according to the following convention: ESMA_CP SFDR Review_nameofrespondent. </w:t>
      </w:r>
    </w:p>
    <w:p w:rsidR="00000000" w:rsidDel="00000000" w:rsidP="00000000" w:rsidRDefault="00000000" w:rsidRPr="00000000" w14:paraId="00000017">
      <w:pPr>
        <w:spacing w:after="250" w:lineRule="auto"/>
        <w:ind w:left="360" w:firstLine="0"/>
        <w:jc w:val="both"/>
        <w:rPr>
          <w:rFonts w:ascii="Arial" w:cs="Arial" w:eastAsia="Arial" w:hAnsi="Arial"/>
          <w:color w:val="1a1a1a"/>
        </w:rPr>
      </w:pPr>
      <w:r w:rsidDel="00000000" w:rsidR="00000000" w:rsidRPr="00000000">
        <w:rPr>
          <w:rFonts w:ascii="Arial" w:cs="Arial" w:eastAsia="Arial" w:hAnsi="Arial"/>
          <w:color w:val="1a1a1a"/>
          <w:rtl w:val="0"/>
        </w:rPr>
        <w:t xml:space="preserve">For example, for a respondent named ABCD, the reply form would be saved with the following name: ESMA_CP SFDR Review_ABCD.</w:t>
      </w:r>
    </w:p>
    <w:p w:rsidR="00000000" w:rsidDel="00000000" w:rsidP="00000000" w:rsidRDefault="00000000" w:rsidRPr="00000000" w14:paraId="00000018">
      <w:pPr>
        <w:numPr>
          <w:ilvl w:val="0"/>
          <w:numId w:val="2"/>
        </w:numPr>
        <w:spacing w:after="250" w:lineRule="auto"/>
        <w:ind w:left="360" w:hanging="360"/>
        <w:jc w:val="both"/>
        <w:rPr>
          <w:rFonts w:ascii="Arial" w:cs="Arial" w:eastAsia="Arial" w:hAnsi="Arial"/>
          <w:color w:val="1a1a1a"/>
        </w:rPr>
      </w:pPr>
      <w:r w:rsidDel="00000000" w:rsidR="00000000" w:rsidRPr="00000000">
        <w:rPr>
          <w:rFonts w:ascii="Arial" w:cs="Arial" w:eastAsia="Arial" w:hAnsi="Arial"/>
          <w:color w:val="1a1a1a"/>
          <w:rtl w:val="0"/>
        </w:rPr>
        <w:t xml:space="preserve">Upload the Word reply form containing your responses to ESMA’s website (</w:t>
      </w:r>
      <w:r w:rsidDel="00000000" w:rsidR="00000000" w:rsidRPr="00000000">
        <w:rPr>
          <w:rFonts w:ascii="Arial" w:cs="Arial" w:eastAsia="Arial" w:hAnsi="Arial"/>
          <w:b w:val="1"/>
          <w:color w:val="1a1a1a"/>
          <w:rtl w:val="0"/>
        </w:rPr>
        <w:t xml:space="preserve">pdf documents will not be considered except for annexes</w:t>
      </w:r>
      <w:r w:rsidDel="00000000" w:rsidR="00000000" w:rsidRPr="00000000">
        <w:rPr>
          <w:rFonts w:ascii="Arial" w:cs="Arial" w:eastAsia="Arial" w:hAnsi="Arial"/>
          <w:color w:val="1a1a1a"/>
          <w:rtl w:val="0"/>
        </w:rPr>
        <w:t xml:space="preserve">). All contributions should be submitted online at </w:t>
      </w:r>
      <w:hyperlink r:id="rId8">
        <w:r w:rsidDel="00000000" w:rsidR="00000000" w:rsidRPr="00000000">
          <w:rPr>
            <w:rFonts w:ascii="Arial" w:cs="Arial" w:eastAsia="Arial" w:hAnsi="Arial"/>
            <w:color w:val="0000ff"/>
            <w:u w:val="single"/>
            <w:rtl w:val="0"/>
          </w:rPr>
          <w:t xml:space="preserve">www.esma.europa.eu</w:t>
        </w:r>
      </w:hyperlink>
      <w:r w:rsidDel="00000000" w:rsidR="00000000" w:rsidRPr="00000000">
        <w:rPr>
          <w:rFonts w:ascii="Arial" w:cs="Arial" w:eastAsia="Arial" w:hAnsi="Arial"/>
          <w:color w:val="1a1a1a"/>
          <w:rtl w:val="0"/>
        </w:rPr>
        <w:t xml:space="preserve"> under the heading ‘Your input - Consultations’. </w:t>
      </w:r>
    </w:p>
    <w:p w:rsidR="00000000" w:rsidDel="00000000" w:rsidP="00000000" w:rsidRDefault="00000000" w:rsidRPr="00000000" w14:paraId="00000019">
      <w:pPr>
        <w:spacing w:after="250" w:lineRule="auto"/>
        <w:jc w:val="both"/>
        <w:rPr>
          <w:rFonts w:ascii="Arial" w:cs="Arial" w:eastAsia="Arial" w:hAnsi="Arial"/>
          <w:color w:val="1a1a1a"/>
        </w:rPr>
      </w:pPr>
      <w:r w:rsidDel="00000000" w:rsidR="00000000" w:rsidRPr="00000000">
        <w:rPr>
          <w:rtl w:val="0"/>
        </w:rPr>
      </w:r>
    </w:p>
    <w:p w:rsidR="00000000" w:rsidDel="00000000" w:rsidP="00000000" w:rsidRDefault="00000000" w:rsidRPr="00000000" w14:paraId="0000001A">
      <w:pPr>
        <w:spacing w:after="250" w:lineRule="auto"/>
        <w:jc w:val="both"/>
        <w:rPr>
          <w:rFonts w:ascii="Arial" w:cs="Arial" w:eastAsia="Arial" w:hAnsi="Arial"/>
          <w:color w:val="1a1a1a"/>
        </w:rPr>
      </w:pPr>
      <w:r w:rsidDel="00000000" w:rsidR="00000000" w:rsidRPr="00000000">
        <w:rPr>
          <w:rtl w:val="0"/>
        </w:rPr>
      </w:r>
    </w:p>
    <w:p w:rsidR="00000000" w:rsidDel="00000000" w:rsidP="00000000" w:rsidRDefault="00000000" w:rsidRPr="00000000" w14:paraId="0000001B">
      <w:pPr>
        <w:spacing w:after="250" w:lineRule="auto"/>
        <w:jc w:val="both"/>
        <w:rPr>
          <w:rFonts w:ascii="Arial" w:cs="Arial" w:eastAsia="Arial" w:hAnsi="Arial"/>
          <w:color w:val="1a1a1a"/>
        </w:rPr>
      </w:pPr>
      <w:r w:rsidDel="00000000" w:rsidR="00000000" w:rsidRPr="00000000">
        <w:rPr>
          <w:rtl w:val="0"/>
        </w:rPr>
      </w:r>
    </w:p>
    <w:p w:rsidR="00000000" w:rsidDel="00000000" w:rsidP="00000000" w:rsidRDefault="00000000" w:rsidRPr="00000000" w14:paraId="0000001C">
      <w:pPr>
        <w:spacing w:after="250" w:lineRule="auto"/>
        <w:ind w:left="426" w:hanging="426"/>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Publication of responses</w:t>
      </w:r>
    </w:p>
    <w:p w:rsidR="00000000" w:rsidDel="00000000" w:rsidP="00000000" w:rsidRDefault="00000000" w:rsidRPr="00000000" w14:paraId="0000001D">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E">
      <w:pPr>
        <w:spacing w:after="250" w:lineRule="auto"/>
        <w:jc w:val="both"/>
        <w:rPr>
          <w:rFonts w:ascii="Arial" w:cs="Arial" w:eastAsia="Arial" w:hAnsi="Arial"/>
          <w:color w:val="1a1a1a"/>
        </w:rPr>
      </w:pPr>
      <w:r w:rsidDel="00000000" w:rsidR="00000000" w:rsidRPr="00000000">
        <w:rPr>
          <w:rtl w:val="0"/>
        </w:rPr>
      </w:r>
    </w:p>
    <w:p w:rsidR="00000000" w:rsidDel="00000000" w:rsidP="00000000" w:rsidRDefault="00000000" w:rsidRPr="00000000" w14:paraId="0000001F">
      <w:pPr>
        <w:spacing w:after="250" w:lineRule="auto"/>
        <w:ind w:left="426" w:hanging="426"/>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Data protection</w:t>
      </w:r>
    </w:p>
    <w:p w:rsidR="00000000" w:rsidDel="00000000" w:rsidP="00000000" w:rsidRDefault="00000000" w:rsidRPr="00000000" w14:paraId="00000020">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The protection of individuals with regard to the processing of personal data by the ESAs is based on Regulation (EU) 2018/1725</w:t>
      </w:r>
      <w:r w:rsidDel="00000000" w:rsidR="00000000" w:rsidRPr="00000000">
        <w:rPr>
          <w:rFonts w:ascii="Arial" w:cs="Arial" w:eastAsia="Arial" w:hAnsi="Arial"/>
          <w:color w:val="1a1a1a"/>
          <w:vertAlign w:val="superscript"/>
        </w:rPr>
        <w:footnoteReference w:customMarkFollows="0" w:id="0"/>
      </w:r>
      <w:r w:rsidDel="00000000" w:rsidR="00000000" w:rsidRPr="00000000">
        <w:rPr>
          <w:rFonts w:ascii="Arial" w:cs="Arial" w:eastAsia="Arial" w:hAnsi="Arial"/>
          <w:color w:val="1a1a1a"/>
          <w:rtl w:val="0"/>
        </w:rPr>
        <w:t xml:space="preserve">. Further information on data protection can be found under the </w:t>
      </w:r>
      <w:hyperlink r:id="rId9">
        <w:r w:rsidDel="00000000" w:rsidR="00000000" w:rsidRPr="00000000">
          <w:rPr>
            <w:rFonts w:ascii="Arial" w:cs="Arial" w:eastAsia="Arial" w:hAnsi="Arial"/>
            <w:color w:val="0000ff"/>
            <w:u w:val="single"/>
            <w:rtl w:val="0"/>
          </w:rPr>
          <w:t xml:space="preserve">Legal notice</w:t>
        </w:r>
      </w:hyperlink>
      <w:r w:rsidDel="00000000" w:rsidR="00000000" w:rsidRPr="00000000">
        <w:rPr>
          <w:rFonts w:ascii="Arial" w:cs="Arial" w:eastAsia="Arial" w:hAnsi="Arial"/>
          <w:color w:val="1a1a1a"/>
          <w:rtl w:val="0"/>
        </w:rPr>
        <w:t xml:space="preserve"> section of the EBA website and under the </w:t>
      </w:r>
      <w:hyperlink r:id="rId10">
        <w:r w:rsidDel="00000000" w:rsidR="00000000" w:rsidRPr="00000000">
          <w:rPr>
            <w:rFonts w:ascii="Arial" w:cs="Arial" w:eastAsia="Arial" w:hAnsi="Arial"/>
            <w:color w:val="0000ff"/>
            <w:u w:val="single"/>
            <w:rtl w:val="0"/>
          </w:rPr>
          <w:t xml:space="preserve">Legal notice</w:t>
        </w:r>
      </w:hyperlink>
      <w:r w:rsidDel="00000000" w:rsidR="00000000" w:rsidRPr="00000000">
        <w:rPr>
          <w:rFonts w:ascii="Arial" w:cs="Arial" w:eastAsia="Arial" w:hAnsi="Arial"/>
          <w:color w:val="1a1a1a"/>
          <w:rtl w:val="0"/>
        </w:rPr>
        <w:t xml:space="preserve"> section of the EIOPA website and under the </w:t>
      </w:r>
      <w:hyperlink r:id="rId11">
        <w:r w:rsidDel="00000000" w:rsidR="00000000" w:rsidRPr="00000000">
          <w:rPr>
            <w:rFonts w:ascii="Arial" w:cs="Arial" w:eastAsia="Arial" w:hAnsi="Arial"/>
            <w:color w:val="0000ff"/>
            <w:u w:val="single"/>
            <w:rtl w:val="0"/>
          </w:rPr>
          <w:t xml:space="preserve">Legal notice</w:t>
        </w:r>
      </w:hyperlink>
      <w:r w:rsidDel="00000000" w:rsidR="00000000" w:rsidRPr="00000000">
        <w:rPr>
          <w:rFonts w:ascii="Arial" w:cs="Arial" w:eastAsia="Arial" w:hAnsi="Arial"/>
          <w:color w:val="1a1a1a"/>
          <w:rtl w:val="0"/>
        </w:rPr>
        <w:t xml:space="preserve"> section of the ESMA website.</w:t>
      </w:r>
    </w:p>
    <w:p w:rsidR="00000000" w:rsidDel="00000000" w:rsidP="00000000" w:rsidRDefault="00000000" w:rsidRPr="00000000" w14:paraId="00000021">
      <w:pPr>
        <w:jc w:val="both"/>
        <w:rPr>
          <w:rFonts w:ascii="Arial" w:cs="Arial" w:eastAsia="Arial" w:hAnsi="Arial"/>
          <w:b w:val="1"/>
          <w:color w:val="00379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1"/>
        <w:spacing w:after="60" w:before="240" w:line="360" w:lineRule="auto"/>
        <w:ind w:left="720" w:hanging="360"/>
        <w:jc w:val="both"/>
        <w:rPr>
          <w:rFonts w:ascii="Arial" w:cs="Arial" w:eastAsia="Arial" w:hAnsi="Arial"/>
          <w:b w:val="1"/>
          <w:color w:val="00379f"/>
          <w:sz w:val="28"/>
          <w:szCs w:val="28"/>
        </w:rPr>
      </w:pPr>
      <w:r w:rsidDel="00000000" w:rsidR="00000000" w:rsidRPr="00000000">
        <w:rPr>
          <w:rtl w:val="0"/>
        </w:rPr>
      </w:r>
    </w:p>
    <w:p w:rsidR="00000000" w:rsidDel="00000000" w:rsidP="00000000" w:rsidRDefault="00000000" w:rsidRPr="00000000" w14:paraId="00000023">
      <w:pPr>
        <w:keepNext w:val="1"/>
        <w:spacing w:after="60" w:before="240" w:line="360" w:lineRule="auto"/>
        <w:ind w:left="720" w:hanging="360"/>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General information about respondent</w:t>
      </w:r>
    </w:p>
    <w:tbl>
      <w:tblPr>
        <w:tblStyle w:val="Table1"/>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vAlign w:val="center"/>
          </w:tcPr>
          <w:p w:rsidR="00000000" w:rsidDel="00000000" w:rsidP="00000000" w:rsidRDefault="00000000" w:rsidRPr="00000000" w14:paraId="00000024">
            <w:pPr>
              <w:spacing w:after="250" w:lineRule="auto"/>
              <w:jc w:val="both"/>
              <w:rPr>
                <w:rFonts w:ascii="Arial" w:cs="Arial" w:eastAsia="Arial" w:hAnsi="Arial"/>
                <w:color w:val="00379f"/>
              </w:rPr>
            </w:pPr>
            <w:r w:rsidDel="00000000" w:rsidR="00000000" w:rsidRPr="00000000">
              <w:rPr>
                <w:rFonts w:ascii="Arial" w:cs="Arial" w:eastAsia="Arial" w:hAnsi="Arial"/>
                <w:rtl w:val="0"/>
              </w:rPr>
              <w:t xml:space="preserve">Name of the company / organisation</w:t>
            </w:r>
            <w:r w:rsidDel="00000000" w:rsidR="00000000" w:rsidRPr="00000000">
              <w:rPr>
                <w:rtl w:val="0"/>
              </w:rPr>
            </w:r>
          </w:p>
        </w:tc>
        <w:tc>
          <w:tcPr>
            <w:shd w:fill="auto" w:val="clear"/>
            <w:vAlign w:val="center"/>
          </w:tcPr>
          <w:p w:rsidR="00000000" w:rsidDel="00000000" w:rsidP="00000000" w:rsidRDefault="00000000" w:rsidRPr="00000000" w14:paraId="00000025">
            <w:pPr>
              <w:spacing w:after="250" w:lineRule="auto"/>
              <w:jc w:val="both"/>
              <w:rPr>
                <w:rFonts w:ascii="Arial" w:cs="Arial" w:eastAsia="Arial" w:hAnsi="Arial"/>
              </w:rPr>
            </w:pPr>
            <w:r w:rsidDel="00000000" w:rsidR="00000000" w:rsidRPr="00000000">
              <w:rPr>
                <w:rFonts w:ascii="Arial" w:cs="Arial" w:eastAsia="Arial" w:hAnsi="Arial"/>
                <w:rtl w:val="0"/>
              </w:rPr>
              <w:t xml:space="preserve">B Lab Europe</w:t>
            </w:r>
          </w:p>
        </w:tc>
      </w:tr>
      <w:tr>
        <w:trPr>
          <w:cantSplit w:val="0"/>
          <w:tblHeader w:val="0"/>
        </w:trPr>
        <w:tc>
          <w:tcPr>
            <w:shd w:fill="auto" w:val="clear"/>
            <w:vAlign w:val="center"/>
          </w:tcPr>
          <w:p w:rsidR="00000000" w:rsidDel="00000000" w:rsidP="00000000" w:rsidRDefault="00000000" w:rsidRPr="00000000" w14:paraId="00000026">
            <w:pPr>
              <w:spacing w:after="250" w:lineRule="auto"/>
              <w:jc w:val="both"/>
              <w:rPr>
                <w:rFonts w:ascii="Arial" w:cs="Arial" w:eastAsia="Arial" w:hAnsi="Arial"/>
              </w:rPr>
            </w:pPr>
            <w:r w:rsidDel="00000000" w:rsidR="00000000" w:rsidRPr="00000000">
              <w:rPr>
                <w:rFonts w:ascii="Arial" w:cs="Arial" w:eastAsia="Arial" w:hAnsi="Arial"/>
                <w:rtl w:val="0"/>
              </w:rPr>
              <w:t xml:space="preserve">Activity</w:t>
            </w:r>
          </w:p>
        </w:tc>
        <w:tc>
          <w:tcPr>
            <w:shd w:fill="auto" w:val="clear"/>
            <w:vAlign w:val="center"/>
          </w:tcPr>
          <w:p w:rsidR="00000000" w:rsidDel="00000000" w:rsidP="00000000" w:rsidRDefault="00000000" w:rsidRPr="00000000" w14:paraId="00000027">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Sustainability certification organisation</w:t>
            </w:r>
          </w:p>
        </w:tc>
      </w:tr>
      <w:tr>
        <w:trPr>
          <w:cantSplit w:val="0"/>
          <w:tblHeader w:val="0"/>
        </w:trPr>
        <w:tc>
          <w:tcPr>
            <w:shd w:fill="auto" w:val="clear"/>
            <w:vAlign w:val="center"/>
          </w:tcPr>
          <w:p w:rsidR="00000000" w:rsidDel="00000000" w:rsidP="00000000" w:rsidRDefault="00000000" w:rsidRPr="00000000" w14:paraId="00000028">
            <w:pPr>
              <w:spacing w:after="250" w:lineRule="auto"/>
              <w:jc w:val="both"/>
              <w:rPr>
                <w:rFonts w:ascii="Arial" w:cs="Arial" w:eastAsia="Arial" w:hAnsi="Arial"/>
              </w:rPr>
            </w:pPr>
            <w:r w:rsidDel="00000000" w:rsidR="00000000" w:rsidRPr="00000000">
              <w:rPr>
                <w:rFonts w:ascii="Arial" w:cs="Arial" w:eastAsia="Arial" w:hAnsi="Arial"/>
                <w:rtl w:val="0"/>
              </w:rPr>
              <w:t xml:space="preserve">Are you representing an association?</w:t>
            </w:r>
          </w:p>
        </w:tc>
        <w:tc>
          <w:tcPr>
            <w:shd w:fill="auto" w:val="clear"/>
            <w:vAlign w:val="center"/>
          </w:tcPr>
          <w:p w:rsidR="00000000" w:rsidDel="00000000" w:rsidP="00000000" w:rsidRDefault="00000000" w:rsidRPr="00000000" w14:paraId="00000029">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Yes</w:t>
            </w:r>
          </w:p>
        </w:tc>
      </w:tr>
      <w:tr>
        <w:trPr>
          <w:cantSplit w:val="0"/>
          <w:tblHeader w:val="0"/>
        </w:trPr>
        <w:tc>
          <w:tcPr>
            <w:shd w:fill="auto" w:val="clear"/>
            <w:vAlign w:val="center"/>
          </w:tcPr>
          <w:p w:rsidR="00000000" w:rsidDel="00000000" w:rsidP="00000000" w:rsidRDefault="00000000" w:rsidRPr="00000000" w14:paraId="0000002A">
            <w:pPr>
              <w:spacing w:after="250" w:lineRule="auto"/>
              <w:jc w:val="both"/>
              <w:rPr>
                <w:rFonts w:ascii="Arial" w:cs="Arial" w:eastAsia="Arial" w:hAnsi="Arial"/>
              </w:rPr>
            </w:pPr>
            <w:r w:rsidDel="00000000" w:rsidR="00000000" w:rsidRPr="00000000">
              <w:rPr>
                <w:rFonts w:ascii="Arial" w:cs="Arial" w:eastAsia="Arial" w:hAnsi="Arial"/>
                <w:rtl w:val="0"/>
              </w:rPr>
              <w:t xml:space="preserve">Country/Region</w:t>
            </w:r>
          </w:p>
        </w:tc>
        <w:tc>
          <w:tcPr>
            <w:shd w:fill="auto" w:val="clear"/>
            <w:vAlign w:val="center"/>
          </w:tcPr>
          <w:p w:rsidR="00000000" w:rsidDel="00000000" w:rsidP="00000000" w:rsidRDefault="00000000" w:rsidRPr="00000000" w14:paraId="0000002B">
            <w:pPr>
              <w:spacing w:after="250" w:lineRule="auto"/>
              <w:jc w:val="both"/>
              <w:rPr>
                <w:rFonts w:ascii="Arial" w:cs="Arial" w:eastAsia="Arial" w:hAnsi="Arial"/>
                <w:color w:val="1a1a1a"/>
              </w:rPr>
            </w:pPr>
            <w:r w:rsidDel="00000000" w:rsidR="00000000" w:rsidRPr="00000000">
              <w:rPr>
                <w:rFonts w:ascii="Arial" w:cs="Arial" w:eastAsia="Arial" w:hAnsi="Arial"/>
                <w:color w:val="1a1a1a"/>
                <w:rtl w:val="0"/>
              </w:rPr>
              <w:t xml:space="preserve">Netherlands</w:t>
            </w:r>
          </w:p>
        </w:tc>
      </w:tr>
    </w:tbl>
    <w:p w:rsidR="00000000" w:rsidDel="00000000" w:rsidP="00000000" w:rsidRDefault="00000000" w:rsidRPr="00000000" w14:paraId="0000002C">
      <w:pPr>
        <w:spacing w:after="250" w:lineRule="auto"/>
        <w:jc w:val="both"/>
        <w:rPr>
          <w:rFonts w:ascii="Arial" w:cs="Arial" w:eastAsia="Arial" w:hAnsi="Arial"/>
          <w:color w:val="1a1a1a"/>
        </w:rPr>
      </w:pPr>
      <w:r w:rsidDel="00000000" w:rsidR="00000000" w:rsidRPr="00000000">
        <w:rPr>
          <w:rtl w:val="0"/>
        </w:rPr>
      </w:r>
    </w:p>
    <w:p w:rsidR="00000000" w:rsidDel="00000000" w:rsidP="00000000" w:rsidRDefault="00000000" w:rsidRPr="00000000" w14:paraId="0000002D">
      <w:pPr>
        <w:keepNext w:val="1"/>
        <w:spacing w:after="60" w:before="240" w:line="360" w:lineRule="auto"/>
        <w:ind w:left="720" w:hanging="360"/>
        <w:jc w:val="both"/>
        <w:rPr>
          <w:rFonts w:ascii="Arial" w:cs="Arial" w:eastAsia="Arial" w:hAnsi="Arial"/>
          <w:b w:val="1"/>
          <w:color w:val="1a1a1a"/>
          <w:sz w:val="28"/>
          <w:szCs w:val="28"/>
        </w:rPr>
      </w:pPr>
      <w:r w:rsidDel="00000000" w:rsidR="00000000" w:rsidRPr="00000000">
        <w:rPr>
          <w:rFonts w:ascii="Arial" w:cs="Arial" w:eastAsia="Arial" w:hAnsi="Arial"/>
          <w:b w:val="1"/>
          <w:color w:val="1a1a1a"/>
          <w:sz w:val="28"/>
          <w:szCs w:val="28"/>
          <w:rtl w:val="0"/>
        </w:rPr>
        <w:t xml:space="preserve">Questions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&lt;ESMA_QUESTION_SFDR_1&gt;</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There are concerns about the lack of mandatory SFDR-related disclosures in the initial set of ESRS and in this context, before adding new indicators in Table I, we suggest a focus shift to introducing considerations of materiality i.e. remove mandatory-always indicators (currently in Table I). In this sense, we urge ESAs to align with the materiality approach of the ESRS delegated act.</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Regarding the proposed indicator concerning earnings in non-cooperative tax jurisdictions for companies with a turnover exceeding €750 million, while it is an interesting metric for corporate disclosure, it is unclear how FMPs would apply it in the context of investments. If this metric is retained, we suggest phrasing it similarly but applying it to investments in companies exceeding €750 million turnover in jurisdictions on the EU's non-cooperative tax list.</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As for the proposed indicators on interference with trade unions and the share of employees earning inadequate wages, while they would be valuable corporate disclosures, we question their suitability as PAI indicators for investment purposes. We also understand that these sensitive disclosures may not be included in the ESRS. Since these disclosures are not mandated, it would be extremely challenging for FMPs to obtain such information. Additionally, there is no existing EU-level definition of an "adequate wage."</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We support the inclusion of a PAI indicator related to exposure to companies involved in tobacco production, but we seek further clarification from the ESAs on how to reconcile SFDR provisions with the exclusion of such exposures from Climate-transition/Paris-aligned climate benchmarks, as stated in the relevant Benchmarks Regulation Delegated Act (e.g., Article 9 of SFDR).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  &lt;ESMA_QUESTION_SFDR_1&gt;</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2"/>
          <w:szCs w:val="22"/>
          <w:u w:val="none"/>
          <w:vertAlign w:val="baseline"/>
          <w:rtl w:val="0"/>
        </w:rPr>
        <w:t xml:space="preserve">: Would you recommend any other mandatory social indicator or adjust any of the ones proposed?</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&lt;ESMA_QUESTION_SFDR_2&gt;</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&lt;ESMA_QUESTION_SFDR_2&gt;</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&lt;ESMA_QUESTION_SFDR_3&gt;</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We support the inclusion of non-guaranteed-hour employees in investee companies and excessive use of temporary contract employees in investee companies. However, we do not support the other indicators.</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Excessive use of non-employee workers in investee companies: while it is a useful indicator in corporate disclosure, it must be accompanied by context i.e. qualitative data point. It is not fit for investors. In some Member states and industries (e.g. consultancy in Belgium) workers typically chose to be non-employee for their own benefit. </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Regarding lack of grievance/complaints handling mechanisms, it is not clear how this complements the existing indicator on due diligence.</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&lt;ESMA_QUESTION_SFDR_3&gt;</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vertAlign w:val="baseline"/>
          <w:rtl w:val="0"/>
        </w:rPr>
        <w:t xml:space="preserve">: Would you recommend any other social indicator or adjust any of the ones proposed?</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&lt;ESMA_QUESTION_SFDR_4&gt;</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We firmly believe sustainable corporate governance voluntary indicators are useful to signal the level of commitment of an investee to sustainable practices. SFDR heavily relies on the concept of ‘good governance practices’ but does not define what they are.</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We submit that a lack of any meaningful embedment of sustainability at the highest level of governance constitutes a principal adverse impact (PAI). Therefore, we suggest the inclusion of three new PAI indicators in Table 3 of the SFDR delegated regulation :</w:t>
      </w:r>
    </w:p>
    <w:p w:rsidR="00000000" w:rsidDel="00000000" w:rsidP="00000000" w:rsidRDefault="00000000" w:rsidRPr="00000000" w14:paraId="00000046">
      <w:pPr>
        <w:numPr>
          <w:ilvl w:val="0"/>
          <w:numId w:val="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Lack of sustainability-related performance in incentive schemes to members of the administrative, management and supervisory bodies (European Sustainability Reporting Standards 2, disclosure requirement GOV-3)</w:t>
      </w:r>
    </w:p>
    <w:p w:rsidR="00000000" w:rsidDel="00000000" w:rsidP="00000000" w:rsidRDefault="00000000" w:rsidRPr="00000000" w14:paraId="00000047">
      <w:pPr>
        <w:numPr>
          <w:ilvl w:val="0"/>
          <w:numId w:val="3"/>
        </w:numPr>
        <w:spacing w:after="0" w:afterAutospacing="0"/>
        <w:ind w:left="720" w:hanging="360"/>
        <w:jc w:val="both"/>
        <w:rPr>
          <w:rFonts w:ascii="Arial" w:cs="Arial" w:eastAsia="Arial" w:hAnsi="Arial"/>
        </w:rPr>
      </w:pPr>
      <w:r w:rsidDel="00000000" w:rsidR="00000000" w:rsidRPr="00000000">
        <w:rPr>
          <w:rFonts w:ascii="Arial" w:cs="Arial" w:eastAsia="Arial" w:hAnsi="Arial"/>
          <w:rtl w:val="0"/>
        </w:rPr>
        <w:t xml:space="preserve">Lack of oversight over sustainability matters in the undertaking’s administrative, management and supervisory bodies (ESRS 2, GOV-1)</w:t>
      </w:r>
    </w:p>
    <w:p w:rsidR="00000000" w:rsidDel="00000000" w:rsidP="00000000" w:rsidRDefault="00000000" w:rsidRPr="00000000" w14:paraId="00000048">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Lack of consideration of sustainability matters in the undertaking’s strategy and its decisions on major transactions, and its risk management policies (ESRS 2, GOV-2)</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A study</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which explores the importance of implementing proper governance practices in undertaking and its impact on the financial capital of the company - particularly in relation to credit ratings and access to funding sources - reveals a strong correlation between governance practices and credit ratings. Companies with higher governance scores achieved better credit ratings, leading to improved access to financial capital. The study highlights the significance of embedding adequate governance practices in undertakings to enhance their financial performance and attract suitable funding.</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By having the highest level of governance within a company involved in managing sustainability, there is a better chance of aligning sustainability goals with overall business strategies. This alignment ensures that sustainability initiatives are integrated into the company's core operations and decision-making processes, rather than being treated as separate or peripheral activities.</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We submit that the three adverse impact indicators reflect weaknesses in governance, risk management, and strategic decision-making related to sustainability. They are a strong signal to investors that the company is not entirely committed to responsible and sustainable practices and therefore, should be included in Table 3 of the regulation as voluntary principal adverse impacts indicators.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 Lack of sustainability-related performance in incentive schemes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One crucial aspect of promoting sustainability within organisations is aligning incentives with ESG performance. Companies that prioritise sustainability practices often experience better financial performance. Conversely, a lack of sustainability-related performance indicators in incentive schemes can create a misalignment of priorities. When sustainability is not integrated into incentive schemes, companies may fail to motivate their leadership to prioritise sustainability initiatives. This can result in a focus on short-term financial gains at the expense of long-term value creation and resilience. The consequences of such an approach can manifest in increased risk exposure, decreased commitment towards sustainability objectives, potential financial losses, and reputational damage, all of which pose significant risks to the investor.</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2. Lack of oversight over sustainability matters</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Governance plays a critical role in ensuring companies consider sustainability risks and opportunities. A lack of oversight over sustainability matters from the highest level of governance of a company indicates a governance gap. Without direct oversight of the company’s supervisory bodies, companies may fail to identify and address sustainability risks and issues effectively. This creates vulnerabilities that can result in compliance failures, reputational damage, legal disputes, and operational disruptions. Investors seek companies with robust governance structures capable of identifying and managing sustainability-related risks. By investing in companies with weak oversight mechanisms by the supervisory bodies, investors expose themselves to negative impacts. The financial implications of such events can be severe, negatively impacting the value and stability of the portfolio.</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3. Lack of consideration of sustainability matters in strategy, decisions, and risk management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Incorporating sustainability considerations into the core operations of a company is essential for long-term success. When sustainability matters are not adequately considered, companies may overlook significant risks and opportunities. Failure to incorporate sustainability considerations in strategic decision-making hinders a company's ability to adapt to changing market dynamics and evolving stakeholder expectations. As sustainability factors continue to gain importance in the business landscape, companies that fail to integrate them may face increased challenges and decreased competitiveness. Such risks and missed opportunities can ultimately have adverse impacts from a double-materiality perspective, for both the company and the investor, as well as for the people and the planet.</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By neglecting sustainable corporate governance indicators, companies expose themselves to financial risks, reputational damage, and missed opportunities. Investors who overlook these indicators when making investment decisions put their portfolios at risk of investing in companies ill-prepared to address sustainability challenges and harness sustainability-related opportunities. </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When sustainability is managed at the highest level of governance, it sends a clear message to investors that the company takes its sustainability responsibilities seriously. The involvement of top-level executives fosters a culture of accountability, where all levels of the organisation are responsible for driving sustainability outcomes.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&lt;ESMA_QUESTION_SFDR_4&gt;</w:t>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&lt;ESMA_QUESTION_SFDR_5&gt;</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Yes, we welcome the proposal to refer to the UN Guiding Principles instead of the UN Global Compact in PAI indicators 10 and 11. This would enhance regulatory coherence since the SFDR Delegated Regulation already makes mention of the UN Guiding Principles in articles 51 and 59, and it would facilitate better alignment with other EU laws like the EU Taxonomy Regulation, which also incorporates the UN Guiding Principles. </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 &lt;ESMA_QUESTION_SFDR_5&gt;</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2"/>
          <w:szCs w:val="22"/>
          <w:u w:val="none"/>
          <w:vertAlign w:val="baseline"/>
          <w:rtl w:val="0"/>
        </w:rPr>
        <w:t xml:space="preserve">: For real estate assets, do you consider relevant to apply any PAI indicator related to social matters to the entity in charge of the management of the real estate assets the FMP invested in?</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&lt;ESMA_QUESTION_SFDR_6&gt;</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&lt;ESMA_QUESTION_SFDR_6&gt;</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vertAlign w:val="baseline"/>
          <w:rtl w:val="0"/>
        </w:rPr>
        <w:t xml:space="preserve">: For real estate assets, do you see any merit in adjusting the definition of PAI indicator 22 of Table 1 in order to align it with the EU Taxonomy criteria applicable to the DNSH of the climate change mitigation objective under the climate change adaptation objective?</w:t>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&lt;ESMA_QUESTION_SFDR_7&gt;</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&lt;ESMA_QUESTION_SFDR_7&gt;</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see any challenges in the interaction between the definition ‘enterprise value’ and ‘current value of investment’ for the calculation of the PAI indicators?</w:t>
      </w:r>
    </w:p>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&lt;ESMA_QUESTION_SFDR_8&gt;</w:t>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&lt;ESMA_QUESTION_SFDR_8&gt;</w:t>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have any comments or proposed adjustments to the new formulae suggested in Annex I?  </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&lt;ESMA_QUESTION_SFDR_9&gt;</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TYPE YOUR TEXT HERE</w:t>
      </w: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&lt;ESMA_QUESTION_SFDR_9&gt;</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have any comments on the further clarifications or technical changes to the current list of indicators? Did you encounter any issues in the calculation of the adverse impact for any of the other existing indicators in Annex I?  </w:t>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&lt;ESMA_QUESTION_SFDR_10&gt;</w:t>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&lt;ESMA_QUESTION_SFDR_10&gt;</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proposal to require the disclosure of the share of information for the PAI indicators for which the financial market participant relies on information directly from investee companies?</w:t>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&lt;ESMA_QUESTION_SFDR_11&gt;</w:t>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&lt;ESMA_QUESTION_SFDR_11&gt;</w:t>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What is your view on the approach taken in this consultation paper to define ‘all investments’? What are the advantages and drawbacks you identify? Would a change in the approach adopted for the treatment of ‘all investments’ be necessary in your view?</w:t>
      </w:r>
    </w:p>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&lt;ESMA_QUESTION_SFDR_12&gt;</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&lt;ESMA_QUESTION_SFDR_12&gt;</w:t>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ESAs’ proposal to only require the inclusion of information on investee companies’ value chains in the PAI calculations where the investee company reports them? If not, what would you propose as an alternative?</w:t>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&lt;ESMA_QUESTION_SFDR_13&gt;</w:t>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&lt;ESMA_QUESTION_SFDR_13&gt;</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proposed treatment of derivatives in the PAI indicators or would you suggest any other method?</w:t>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&lt;ESMA_QUESTION_SFDR_14&gt;</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&lt;ESMA_QUESTION_SFDR_14&gt;</w:t>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What are your views with regard to the treatment of derivatives in general (Taxonomy-alignment, share of sustainable investments and PAI calculations)? Should the netting provision of Article 17(1)(g) be applied to sustainable investment calculations? </w:t>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&lt;ESMA_QUESTION_SFDR_15&gt;</w:t>
      </w:r>
    </w:p>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&lt;ESMA_QUESTION_SFDR_15&gt;</w:t>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see the need to extend the scope of the provisions of point g of paragraph 1 of Article 17 of the SFDR Delegated Regulation to asset classes other than equity and sovereign exposures?</w:t>
      </w:r>
    </w:p>
    <w:p w:rsidR="00000000" w:rsidDel="00000000" w:rsidP="00000000" w:rsidRDefault="00000000" w:rsidRPr="00000000" w14:paraId="0000008E">
      <w:pPr>
        <w:jc w:val="both"/>
        <w:rPr>
          <w:rFonts w:ascii="Arial" w:cs="Arial" w:eastAsia="Arial" w:hAnsi="Arial"/>
        </w:rPr>
      </w:pPr>
      <w:r w:rsidDel="00000000" w:rsidR="00000000" w:rsidRPr="00000000">
        <w:rPr>
          <w:rFonts w:ascii="Arial" w:cs="Arial" w:eastAsia="Arial" w:hAnsi="Arial"/>
          <w:rtl w:val="0"/>
        </w:rPr>
        <w:t xml:space="preserve">&lt;ESMA_QUESTION_SFDR_16&gt;</w:t>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&lt;ESMA_QUESTION_SFDR_16&gt;</w:t>
      </w:r>
    </w:p>
    <w:p w:rsidR="00000000" w:rsidDel="00000000" w:rsidP="00000000" w:rsidRDefault="00000000" w:rsidRPr="00000000" w14:paraId="00000091">
      <w:pPr>
        <w:jc w:val="both"/>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ESAs’ assessment of the DNSH framework under SFDR?</w:t>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&lt;ESMA_QUESTION_SFDR_17&gt;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We support the need for transparent and comparable disclosures under DNSH across financial markets participants. It is important to establish a clear connection between sustainable investment and DNSH in the Taxonomy Regulation and SFDR for environmental PAI indicators. However, we caution against significantly increasing DNSH requirements without first integrating transition investments into the SFDR and wider EU sustainable finance framework. This integration should include incorporating climate transition plans into CSRD-related disclosure requirements. To achieve this, a broader framework is needed, such as reviewing SFDR to better incorporate the transition dimension of investments. This can be achieved through a stronger link between DNSH assessment and forward-looking metrics like investee companies' transition plans and decarbonization targets. Additionally, an extended Taxonomy should cover significantly harmful and transitioning activities.</w:t>
      </w: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&lt;ESMA_QUESTION_SFDR_17&gt;</w:t>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With regard to the DNSH disclosures in the SFDR Delegated Regulation, do you consider it relevant to make disclosures about the quantitative thresholds FMPs use to take into account the PAI indicators for DNSH purposes mandatory? Please explain your reasoning.</w:t>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&lt;ESMA_QUESTION_SFDR_18&gt;</w:t>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&lt;ESMA_QUESTION_SFDR_18&gt;</w:t>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support the introduction of an optional “safe harbour” for environmental DNSH for taxonomy-aligned activities? Please explain your reasoning.</w:t>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&lt;ESMA_QUESTION_SFDR_19&gt;</w:t>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&lt;ESMA_QUESTION_SFDR_19&gt;</w:t>
      </w:r>
    </w:p>
    <w:p w:rsidR="00000000" w:rsidDel="00000000" w:rsidP="00000000" w:rsidRDefault="00000000" w:rsidRPr="00000000" w14:paraId="000000A0">
      <w:pPr>
        <w:jc w:val="both"/>
        <w:rPr>
          <w:rFonts w:ascii="Arial" w:cs="Arial" w:eastAsia="Arial" w:hAnsi="Arial"/>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longer term view of the ESAs that if two parallel concepts of sustainability are retained that the Taxonomy TSCs should form the basis of DNSH assessments? Please explain your reasoning.</w:t>
      </w:r>
    </w:p>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&lt;ESMA_QUESTION_SFDR_20&gt;</w:t>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rtl w:val="0"/>
        </w:rPr>
        <w:t xml:space="preserve">&lt;ESMA_QUESTION_SFDR_20&gt;</w:t>
      </w:r>
    </w:p>
    <w:p w:rsidR="00000000" w:rsidDel="00000000" w:rsidP="00000000" w:rsidRDefault="00000000" w:rsidRPr="00000000" w14:paraId="000000A5">
      <w:pPr>
        <w:jc w:val="both"/>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Are there other options for the SFDR Delegated Regulation DNSH disclosures to reduce the risk of greenwashing and increase comparability?</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&lt;ESMA_QUESTION_SFDR_21&gt;</w:t>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&lt;ESMA_QUESTION_SFDR_21&gt;</w:t>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that the proposed disclosures strike the right balance between the need for clear, reliable, decision-useful information for investors and the need to keep requirements feasible and proportional for FMPs? Please explain your answers.</w:t>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&lt;ESMA_QUESTION_SFDR_22&gt;</w:t>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We endorse the idea of enhancing transparency regarding GHG emissions reduction targets through explanatory narratives in the relevant SFDR templates. By providing clearer information on how these targets will be achieved, whether through divestment at the portfolio level or investments and engagement with investee companies, investors will have more reliable and actionable data for decision-making. It is crucial to better incorporate investments in transitioning assets within the SFDR framework. This entails recognising and allowing investments in companies that have credible climate transition plans to decarbonize their activities under the SFDR framework, while also recognising the importance of portfolio-level divestment. This approach ensures a comprehensive and effective framework for sustainable investments.</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&lt;ESMA_QUESTION_SFDR_22&gt;</w:t>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r w:rsidDel="00000000" w:rsidR="00000000" w:rsidRPr="00000000">
        <w:rPr>
          <w:rtl w:val="0"/>
        </w:rPr>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&lt;ESMA_QUESTION_SFDR_23&gt;</w:t>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&lt;ESMA_QUESTION_SFDR_23&gt;</w:t>
      </w:r>
    </w:p>
    <w:p w:rsidR="00000000" w:rsidDel="00000000" w:rsidP="00000000" w:rsidRDefault="00000000" w:rsidRPr="00000000" w14:paraId="000000B4">
      <w:pPr>
        <w:jc w:val="both"/>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&lt;ESMA_QUESTION_SFDR_24&gt;</w:t>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As previously mentioned, we firmly advocate for including a differentiation between entity-level and product-level objectives for reducing GHG emissions within the SFDR framework. This differentiation is beneficial to FMPs as it enables them to provide greater transparency to end investors regarding the specific aims of each product. However, it is important to emphasise that the disclosure of credible transition plans, as defined in ESRS delegated act and potentially in the CSDDD, is crucial for investors to establish appropriate targets at the entity-level for these products.</w:t>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&lt;ESMA_QUESTION_SFDR_24&gt;</w:t>
      </w:r>
    </w:p>
    <w:p w:rsidR="00000000" w:rsidDel="00000000" w:rsidP="00000000" w:rsidRDefault="00000000" w:rsidRPr="00000000" w14:paraId="000000B9">
      <w:pPr>
        <w:jc w:val="both"/>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 xml:space="preserve">&lt;ESMA_QUESTION_SFDR_25&gt;</w:t>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&lt;ESMA_QUESTION_SFDR_25&gt;</w:t>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proposed approach to require that the target is calculated for all investments of the financial product? Please explain your answer.</w:t>
      </w: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Fonts w:ascii="Arial" w:cs="Arial" w:eastAsia="Arial" w:hAnsi="Arial"/>
          <w:rtl w:val="0"/>
        </w:rPr>
        <w:t xml:space="preserve">&lt;ESMA_QUESTION_SFDR_26&gt;</w:t>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&lt;ESMA_QUESTION_SFDR_26&gt;</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&lt;ESMA_QUESTION_SFDR_27&gt;</w:t>
      </w:r>
    </w:p>
    <w:p w:rsidR="00000000" w:rsidDel="00000000" w:rsidP="00000000" w:rsidRDefault="00000000" w:rsidRPr="00000000" w14:paraId="000000C6">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&lt;ESMA_QUESTION_SFDR_27&gt;</w:t>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approach taken to removals and the use of carbon credits and the alignment the ESAs have sought to achieve with the EFRAG Draft ESRS E1? Please explain your answer.</w:t>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&lt;ESMA_QUESTION_SFDR_28&gt;</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CC">
      <w:pPr>
        <w:jc w:val="both"/>
        <w:rPr>
          <w:rFonts w:ascii="Arial" w:cs="Arial" w:eastAsia="Arial" w:hAnsi="Arial"/>
        </w:rPr>
      </w:pPr>
      <w:r w:rsidDel="00000000" w:rsidR="00000000" w:rsidRPr="00000000">
        <w:rPr>
          <w:rFonts w:ascii="Arial" w:cs="Arial" w:eastAsia="Arial" w:hAnsi="Arial"/>
          <w:rtl w:val="0"/>
        </w:rPr>
        <w:t xml:space="preserve">&lt;ESMA_QUESTION_SFDR_28&gt;</w:t>
      </w:r>
    </w:p>
    <w:p w:rsidR="00000000" w:rsidDel="00000000" w:rsidP="00000000" w:rsidRDefault="00000000" w:rsidRPr="00000000" w14:paraId="000000CD">
      <w:pPr>
        <w:jc w:val="both"/>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&lt;ESMA_QUESTION_SFDR_29&gt;</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As mentioned in Question 22, there is currently a lack of integration of the transition perspective in the EU sustainable finance and SFDR frameworks. Therefore, it is important to establish a stronger connection between the product-level disclosures in the SFDR framework and the entity-level targets and transition plans. This alignment would ensure that product-level strategies for decarbonisation are in line with entity-level strategies, providing greater transparency regarding the objectives of products, particularly for end investors.</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&lt;ESMA_QUESTION_SFDR_29&gt;</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&lt;ESMA_QUESTION_SFDR_30&gt;</w:t>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&lt;ESMA_QUESTION_SFDR_30&gt;</w:t>
      </w:r>
    </w:p>
    <w:p w:rsidR="00000000" w:rsidDel="00000000" w:rsidP="00000000" w:rsidRDefault="00000000" w:rsidRPr="00000000" w14:paraId="000000D7">
      <w:pPr>
        <w:jc w:val="both"/>
        <w:rPr>
          <w:rFonts w:ascii="Arial" w:cs="Arial" w:eastAsia="Arial" w:hAnsi="Arial"/>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&lt;ESMA_QUESTION_SFDR_31&gt;</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&lt;ESMA_QUESTION_SFDR_31&gt;</w:t>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have any suggestion on how to further simplify or enhance the legibility of the current templates?</w:t>
      </w:r>
      <w:r w:rsidDel="00000000" w:rsidR="00000000" w:rsidRPr="00000000">
        <w:rPr>
          <w:rtl w:val="0"/>
        </w:rPr>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&lt;ESMA_QUESTION_SFDR_32&gt;</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&lt;ESMA_QUESTION_SFDR_32&gt;</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Is the investment tree in the asset allocation section necessary if the dashboard shows the proportion of sustainable and taxonomy-aligned investments?</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&lt;ESMA_QUESTION_SFDR_33&gt;</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&lt;ESMA_QUESTION_SFDR_33&gt;</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this approach of ensuring consistency in the use of colours in Annex II to V in the templates?</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&lt;ESMA_QUESTION_SFDR_34&gt;</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&lt;ESMA_QUESTION_SFDR_34&gt;</w:t>
      </w:r>
    </w:p>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approach to allow to display the pre-contractual and periodic disclosures in an extendable manner electronically?</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&lt;ESMA_QUESTION_SFDR_35&gt;</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&lt;ESMA_QUESTION_SFDR_35&gt;</w:t>
      </w:r>
    </w:p>
    <w:p w:rsidR="00000000" w:rsidDel="00000000" w:rsidP="00000000" w:rsidRDefault="00000000" w:rsidRPr="00000000" w14:paraId="000000F0">
      <w:pPr>
        <w:jc w:val="both"/>
        <w:rPr>
          <w:rFonts w:ascii="Arial" w:cs="Arial" w:eastAsia="Arial" w:hAnsi="Arial"/>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have any feedback with regard to the potential criteria for estimates?</w:t>
      </w:r>
      <w:r w:rsidDel="00000000" w:rsidR="00000000" w:rsidRPr="00000000">
        <w:rPr>
          <w:rtl w:val="0"/>
        </w:rPr>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&lt;ESMA_QUESTION_SFDR_36&gt;</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&lt;ESMA_QUESTION_SFDR_36&gt;</w:t>
      </w:r>
    </w:p>
    <w:p w:rsidR="00000000" w:rsidDel="00000000" w:rsidP="00000000" w:rsidRDefault="00000000" w:rsidRPr="00000000" w14:paraId="000000F5">
      <w:pPr>
        <w:jc w:val="both"/>
        <w:rPr>
          <w:rFonts w:ascii="Arial" w:cs="Arial" w:eastAsia="Arial" w:hAnsi="Arial"/>
        </w:rPr>
      </w:pP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Do you perceive the need for a more specific definition of the concept of “key environmental metrics” to prevent greenwashing? If so, how could those metrics be defined?</w:t>
      </w:r>
      <w:r w:rsidDel="00000000" w:rsidR="00000000" w:rsidRPr="00000000">
        <w:rPr>
          <w:rtl w:val="0"/>
        </w:rPr>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&lt;ESMA_QUESTION_SFDR_37&gt;</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&lt;ESMA_QUESTION_SFDR_37&gt;</w:t>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see the need to set out specific rules on the calculation of the proportion of sustainable investments of financial products? Please elaborate.</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&lt;ESMA_QUESTION_SFDR_38&gt;</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&lt;ESMA_QUESTION_SFDR_38&gt;</w:t>
      </w:r>
    </w:p>
    <w:p w:rsidR="00000000" w:rsidDel="00000000" w:rsidP="00000000" w:rsidRDefault="00000000" w:rsidRPr="00000000" w14:paraId="000000FF">
      <w:pPr>
        <w:jc w:val="both"/>
        <w:rPr>
          <w:rFonts w:ascii="Arial" w:cs="Arial" w:eastAsia="Arial" w:hAnsi="Arial"/>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that cross-referencing in periodic disclosures of financial products with investment options would be beneficial to address information overload?</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&lt;ESMA_QUESTION_SFDR_39&gt;</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&lt;ESMA_QUESTION_SFDR_39&gt;</w:t>
      </w:r>
    </w:p>
    <w:p w:rsidR="00000000" w:rsidDel="00000000" w:rsidP="00000000" w:rsidRDefault="00000000" w:rsidRPr="00000000" w14:paraId="00000104">
      <w:pPr>
        <w:jc w:val="both"/>
        <w:rPr>
          <w:rFonts w:ascii="Arial" w:cs="Arial" w:eastAsia="Arial" w:hAnsi="Arial"/>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agree with the proposed website disclosures for financial products with investment options?</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&lt;ESMA_QUESTION_SFDR_40&gt;</w:t>
      </w:r>
    </w:p>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&lt;ESMA_QUESTION_SFDR_40&gt;</w:t>
      </w:r>
    </w:p>
    <w:p w:rsidR="00000000" w:rsidDel="00000000" w:rsidP="00000000" w:rsidRDefault="00000000" w:rsidRPr="00000000" w14:paraId="00000109">
      <w:pPr>
        <w:jc w:val="both"/>
        <w:rPr>
          <w:rFonts w:ascii="Arial" w:cs="Arial" w:eastAsia="Arial" w:hAnsi="Arial"/>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&lt;ESMA_QUESTION_SFDR_41&gt;</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&lt;ESMA_QUESTION_SFDR_41&gt;</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&lt;ESMA_QUESTION_SFDR_42&gt;</w:t>
      </w:r>
    </w:p>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&lt;ESMA_QUESTION_SFDR_42&gt;</w:t>
      </w:r>
    </w:p>
    <w:p w:rsidR="00000000" w:rsidDel="00000000" w:rsidP="00000000" w:rsidRDefault="00000000" w:rsidRPr="00000000" w14:paraId="00000113">
      <w:pPr>
        <w:jc w:val="both"/>
        <w:rPr>
          <w:rFonts w:ascii="Arial" w:cs="Arial" w:eastAsia="Arial" w:hAnsi="Arial"/>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Do you have any views on the preliminary impact assessments? Can you provide estimates of costs associated with each of the policy options?</w:t>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&lt;ESMA_QUESTION_SFDR_43&gt;</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TYPE YOUR TEXT HERE</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&lt;ESMA_QUESTION_SFDR_43&gt;</w:t>
      </w:r>
    </w:p>
    <w:p w:rsidR="00000000" w:rsidDel="00000000" w:rsidP="00000000" w:rsidRDefault="00000000" w:rsidRPr="00000000" w14:paraId="00000118">
      <w:pPr>
        <w:jc w:val="both"/>
        <w:rPr>
          <w:rFonts w:ascii="Arial" w:cs="Arial" w:eastAsia="Arial" w:hAnsi="Arial"/>
        </w:rPr>
      </w:pPr>
      <w:r w:rsidDel="00000000" w:rsidR="00000000" w:rsidRPr="00000000">
        <w:rPr>
          <w:rtl w:val="0"/>
        </w:rPr>
      </w:r>
    </w:p>
    <w:p w:rsidR="00000000" w:rsidDel="00000000" w:rsidP="00000000" w:rsidRDefault="00000000" w:rsidRPr="00000000" w14:paraId="00000119">
      <w:pPr>
        <w:jc w:val="both"/>
        <w:rPr>
          <w:rFonts w:ascii="Arial" w:cs="Arial" w:eastAsia="Arial" w:hAnsi="Arial"/>
        </w:rPr>
      </w:pPr>
      <w:r w:rsidDel="00000000" w:rsidR="00000000" w:rsidRPr="00000000">
        <w:rPr>
          <w:rtl w:val="0"/>
        </w:rPr>
      </w:r>
    </w:p>
    <w:p w:rsidR="00000000" w:rsidDel="00000000" w:rsidP="00000000" w:rsidRDefault="00000000" w:rsidRPr="00000000" w14:paraId="0000011A">
      <w:pPr>
        <w:ind w:left="567" w:hanging="567"/>
        <w:jc w:val="both"/>
        <w:rPr>
          <w:rFonts w:ascii="Arial" w:cs="Arial" w:eastAsia="Arial" w:hAnsi="Arial"/>
          <w:b w:val="1"/>
          <w:sz w:val="28"/>
          <w:szCs w:val="2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956"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b579a"/>
        <w:sz w:val="22"/>
        <w:szCs w:val="22"/>
        <w:u w:val="none"/>
        <w:shd w:fill="e6e6e6"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
    <w:p w:rsidR="00000000" w:rsidDel="00000000" w:rsidP="00000000" w:rsidRDefault="00000000" w:rsidRPr="00000000" w14:paraId="0000012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analysis is based on a database of over 500 European undertakings rated by Inbonis ratings, using advanced AI models. The research utilises NLP models, including FinBert, FinBert-ESG, and FinBert-ESG-9, which are built upon Google's BERT model. These models analyse the sentiment and classify text into different ESG sections, allowing for a comprehensive assessment of ESG practices in the SMEs.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395546" cy="657225"/>
              <wp:effectExtent b="0" l="0" r="0" t="0"/>
              <wp:wrapNone/>
              <wp:docPr id="3" name=""/>
              <a:graphic>
                <a:graphicData uri="http://schemas.microsoft.com/office/word/2010/wordprocessingGroup">
                  <wpg:wgp>
                    <wpg:cNvGrpSpPr/>
                    <wpg:grpSpPr>
                      <a:xfrm>
                        <a:off x="2648225" y="3451375"/>
                        <a:ext cx="5395546" cy="657225"/>
                        <a:chOff x="2648225" y="3451375"/>
                        <a:chExt cx="5395550" cy="657250"/>
                      </a:xfrm>
                    </wpg:grpSpPr>
                    <wpg:grpSp>
                      <wpg:cNvGrpSpPr/>
                      <wpg:grpSpPr>
                        <a:xfrm>
                          <a:off x="2648227" y="3451388"/>
                          <a:ext cx="5395546" cy="657225"/>
                          <a:chOff x="0" y="0"/>
                          <a:chExt cx="5395546" cy="657225"/>
                        </a:xfrm>
                      </wpg:grpSpPr>
                      <wps:wsp>
                        <wps:cNvSpPr/>
                        <wps:cNvPr id="3" name="Shape 3"/>
                        <wps:spPr>
                          <a:xfrm>
                            <a:off x="0" y="0"/>
                            <a:ext cx="5395525" cy="6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74340" r="0" t="0"/>
                          <a:stretch/>
                        </pic:blipFill>
                        <pic:spPr>
                          <a:xfrm>
                            <a:off x="4107766" y="21101"/>
                            <a:ext cx="1287780" cy="551180"/>
                          </a:xfrm>
                          <a:prstGeom prst="rect">
                            <a:avLst/>
                          </a:prstGeom>
                          <a:noFill/>
                          <a:ln>
                            <a:noFill/>
                          </a:ln>
                        </pic:spPr>
                      </pic:pic>
                      <pic:pic>
                        <pic:nvPicPr>
                          <pic:cNvPr id="5" name="Shape 5"/>
                          <pic:cNvPicPr preferRelativeResize="0"/>
                        </pic:nvPicPr>
                        <pic:blipFill rotWithShape="1">
                          <a:blip r:embed="rId2">
                            <a:alphaModFix/>
                          </a:blip>
                          <a:srcRect b="0" l="0" r="0" t="0"/>
                          <a:stretch/>
                        </pic:blipFill>
                        <pic:spPr>
                          <a:xfrm>
                            <a:off x="0" y="0"/>
                            <a:ext cx="3829050" cy="65722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5395546" cy="657225"/>
              <wp:effectExtent b="0" l="0" r="0" t="0"/>
              <wp:wrapNone/>
              <wp:docPr id="3"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5395546" cy="657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474.496635785474pt;height:163.70342473993423pt;rotation:315;z-index:-503316481;mso-position-horizontal-relative:margin;mso-position-horizontal:center;mso-position-vertical-relative:margin;mso-position-vertical:center;" fillcolor="#d9ead3" stroked="f" type="#_x0000_t136">
          <v:fill angle="0" opacity="32768f"/>
          <v:textpath fitshape="t" string="DRAFT"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474.496635785474pt;height:163.70342473993423pt;rotation:315;z-index:-503316481;mso-position-horizontal-relative:margin;mso-position-horizontal:center;mso-position-vertical-relative:margin;mso-position-vertical:center;" fillcolor="#d9ead3" stroked="f" type="#_x0000_t136">
          <v:fill angle="0" opacity="32768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85"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077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7738"/>
  </w:style>
  <w:style w:type="paragraph" w:styleId="Footer">
    <w:name w:val="footer"/>
    <w:basedOn w:val="Normal"/>
    <w:link w:val="FooterChar"/>
    <w:uiPriority w:val="99"/>
    <w:unhideWhenUsed w:val="1"/>
    <w:rsid w:val="007077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7738"/>
  </w:style>
  <w:style w:type="paragraph" w:styleId="BalloonText">
    <w:name w:val="Balloon Text"/>
    <w:basedOn w:val="Normal"/>
    <w:link w:val="BalloonTextChar"/>
    <w:uiPriority w:val="99"/>
    <w:semiHidden w:val="1"/>
    <w:unhideWhenUsed w:val="1"/>
    <w:rsid w:val="0070773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7738"/>
    <w:rPr>
      <w:rFonts w:ascii="Tahoma" w:cs="Tahoma" w:hAnsi="Tahoma"/>
      <w:sz w:val="16"/>
      <w:szCs w:val="16"/>
    </w:rPr>
  </w:style>
  <w:style w:type="table" w:styleId="TableGrid">
    <w:name w:val="Table Grid"/>
    <w:basedOn w:val="TableNormal"/>
    <w:uiPriority w:val="39"/>
    <w:rsid w:val="00F278B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161F7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val="1"/>
    <w:qFormat w:val="1"/>
    <w:rsid w:val="00161F7C"/>
    <w:rPr>
      <w:vertAlign w:val="superscript"/>
    </w:rPr>
  </w:style>
  <w:style w:type="paragraph" w:styleId="Titlelevel1" w:customStyle="1">
    <w:name w:val="Title level 1"/>
    <w:autoRedefine w:val="1"/>
    <w:qFormat w:val="1"/>
    <w:rsid w:val="00F02D78"/>
    <w:pPr>
      <w:pBdr>
        <w:bottom w:color="2f5773" w:space="17" w:sz="8" w:val="single"/>
      </w:pBdr>
      <w:spacing w:after="240" w:line="240" w:lineRule="auto"/>
      <w:jc w:val="center"/>
    </w:pPr>
    <w:rPr>
      <w:rFonts w:ascii="Arial" w:cs="Arial" w:eastAsia="MS PGothic" w:hAnsi="Arial"/>
      <w:b w:val="1"/>
      <w:color w:val="2f5773"/>
      <w:spacing w:val="5"/>
      <w:kern w:val="28"/>
      <w:sz w:val="32"/>
      <w:szCs w:val="32"/>
    </w:rPr>
  </w:style>
  <w:style w:type="paragraph" w:styleId="Titlelevel3" w:customStyle="1">
    <w:name w:val="Title level 3"/>
    <w:qFormat w:val="1"/>
    <w:rsid w:val="00A05373"/>
    <w:pPr>
      <w:spacing w:after="240" w:before="240" w:line="240" w:lineRule="auto"/>
    </w:pPr>
    <w:rPr>
      <w:rFonts w:ascii="Calibri" w:cs="Times New Roman" w:eastAsia="MS PGothic" w:hAnsi="Calibri"/>
      <w:b w:val="1"/>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val="1"/>
    <w:rsid w:val="008057FF"/>
    <w:pPr>
      <w:ind w:left="720"/>
      <w:contextualSpacing w:val="1"/>
    </w:pPr>
  </w:style>
  <w:style w:type="character" w:styleId="CommentReference">
    <w:name w:val="annotation reference"/>
    <w:basedOn w:val="DefaultParagraphFont"/>
    <w:uiPriority w:val="99"/>
    <w:semiHidden w:val="1"/>
    <w:unhideWhenUsed w:val="1"/>
    <w:rsid w:val="009A3551"/>
    <w:rPr>
      <w:sz w:val="16"/>
      <w:szCs w:val="16"/>
    </w:rPr>
  </w:style>
  <w:style w:type="paragraph" w:styleId="CommentText">
    <w:name w:val="annotation text"/>
    <w:basedOn w:val="Normal"/>
    <w:link w:val="CommentTextChar"/>
    <w:uiPriority w:val="99"/>
    <w:unhideWhenUsed w:val="1"/>
    <w:rsid w:val="009A3551"/>
    <w:pPr>
      <w:spacing w:line="240" w:lineRule="auto"/>
    </w:pPr>
    <w:rPr>
      <w:sz w:val="20"/>
      <w:szCs w:val="20"/>
    </w:rPr>
  </w:style>
  <w:style w:type="character" w:styleId="CommentTextChar" w:customStyle="1">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val="1"/>
    <w:unhideWhenUsed w:val="1"/>
    <w:rsid w:val="009A3551"/>
    <w:rPr>
      <w:b w:val="1"/>
      <w:bCs w:val="1"/>
    </w:rPr>
  </w:style>
  <w:style w:type="character" w:styleId="CommentSubjectChar" w:customStyle="1">
    <w:name w:val="Comment Subject Char"/>
    <w:basedOn w:val="CommentTextChar"/>
    <w:link w:val="CommentSubject"/>
    <w:uiPriority w:val="99"/>
    <w:semiHidden w:val="1"/>
    <w:rsid w:val="009A3551"/>
    <w:rPr>
      <w:b w:val="1"/>
      <w:bCs w:val="1"/>
      <w:sz w:val="20"/>
      <w:szCs w:val="20"/>
    </w:rPr>
  </w:style>
  <w:style w:type="paragraph" w:styleId="NormalWeb">
    <w:name w:val="Normal (Web)"/>
    <w:basedOn w:val="Normal"/>
    <w:uiPriority w:val="99"/>
    <w:semiHidden w:val="1"/>
    <w:unhideWhenUsed w:val="1"/>
    <w:rsid w:val="0013601B"/>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A37BEC"/>
    <w:rPr>
      <w:color w:val="0000ff" w:themeColor="hyperlink"/>
      <w:u w:val="single"/>
    </w:rPr>
  </w:style>
  <w:style w:type="paragraph" w:styleId="Default" w:customStyle="1">
    <w:name w:val="Default"/>
    <w:rsid w:val="00D36E67"/>
    <w:pPr>
      <w:autoSpaceDE w:val="0"/>
      <w:autoSpaceDN w:val="0"/>
      <w:adjustRightInd w:val="0"/>
      <w:spacing w:after="0" w:line="240" w:lineRule="auto"/>
    </w:pPr>
    <w:rPr>
      <w:rFonts w:ascii="Calibri" w:cs="Calibri" w:hAnsi="Calibri"/>
      <w:color w:val="000000"/>
      <w:sz w:val="24"/>
      <w:szCs w:val="24"/>
    </w:rPr>
  </w:style>
  <w:style w:type="character" w:styleId="ListParagraphChar" w:customStyle="1">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val="1"/>
    <w:locked w:val="1"/>
    <w:rsid w:val="00D36E67"/>
  </w:style>
  <w:style w:type="paragraph" w:styleId="Title">
    <w:name w:val="Title"/>
    <w:basedOn w:val="Normal"/>
    <w:next w:val="Normal"/>
    <w:link w:val="TitleChar"/>
    <w:uiPriority w:val="10"/>
    <w:qFormat w:val="1"/>
    <w:rsid w:val="005B6CD1"/>
    <w:pPr>
      <w:widowControl w:val="0"/>
      <w:pBdr>
        <w:bottom w:color="4f81bd" w:space="4" w:sz="8" w:themeColor="accent1" w:val="single"/>
      </w:pBdr>
      <w:autoSpaceDE w:val="0"/>
      <w:autoSpaceDN w:val="0"/>
      <w:adjustRightInd w:val="0"/>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lang w:eastAsia="en-GB"/>
    </w:rPr>
  </w:style>
  <w:style w:type="character" w:styleId="TitleChar" w:customStyle="1">
    <w:name w:val="Title Char"/>
    <w:basedOn w:val="DefaultParagraphFont"/>
    <w:link w:val="Title"/>
    <w:uiPriority w:val="10"/>
    <w:rsid w:val="005B6CD1"/>
    <w:rPr>
      <w:rFonts w:asciiTheme="majorHAnsi" w:cstheme="majorBidi" w:eastAsiaTheme="majorEastAsia" w:hAnsiTheme="majorHAnsi"/>
      <w:color w:val="17365d" w:themeColor="text2" w:themeShade="0000BF"/>
      <w:spacing w:val="5"/>
      <w:kern w:val="28"/>
      <w:sz w:val="52"/>
      <w:szCs w:val="52"/>
      <w:lang w:eastAsia="en-GB"/>
    </w:rPr>
  </w:style>
  <w:style w:type="paragraph" w:styleId="Revision">
    <w:name w:val="Revision"/>
    <w:hidden w:val="1"/>
    <w:uiPriority w:val="99"/>
    <w:semiHidden w:val="1"/>
    <w:rsid w:val="00D1763F"/>
    <w:pPr>
      <w:spacing w:after="0" w:line="240" w:lineRule="auto"/>
    </w:pPr>
  </w:style>
  <w:style w:type="character" w:styleId="FollowedHyperlink">
    <w:name w:val="FollowedHyperlink"/>
    <w:basedOn w:val="DefaultParagraphFont"/>
    <w:uiPriority w:val="99"/>
    <w:semiHidden w:val="1"/>
    <w:unhideWhenUsed w:val="1"/>
    <w:rsid w:val="001275B5"/>
    <w:rPr>
      <w:color w:val="800080" w:themeColor="followedHyperlink"/>
      <w:u w:val="single"/>
    </w:rPr>
  </w:style>
  <w:style w:type="paragraph" w:styleId="Letterhead" w:customStyle="1">
    <w:name w:val="Letterhead"/>
    <w:basedOn w:val="Normal"/>
    <w:link w:val="LetterheadChar"/>
    <w:qFormat w:val="1"/>
    <w:rsid w:val="0079065E"/>
    <w:pPr>
      <w:spacing w:after="0"/>
      <w:jc w:val="right"/>
    </w:pPr>
    <w:rPr>
      <w:rFonts w:eastAsiaTheme="minorEastAsia"/>
      <w:b w:val="1"/>
      <w:szCs w:val="20"/>
    </w:rPr>
  </w:style>
  <w:style w:type="character" w:styleId="LetterheadChar" w:customStyle="1">
    <w:name w:val="Letterhead Char"/>
    <w:basedOn w:val="DefaultParagraphFont"/>
    <w:link w:val="Letterhead"/>
    <w:rsid w:val="0079065E"/>
    <w:rPr>
      <w:rFonts w:eastAsiaTheme="minorEastAsia"/>
      <w:b w:val="1"/>
      <w:szCs w:val="20"/>
    </w:rPr>
  </w:style>
  <w:style w:type="paragraph" w:styleId="body" w:customStyle="1">
    <w:name w:val="body"/>
    <w:qFormat w:val="1"/>
    <w:rsid w:val="0079065E"/>
    <w:pPr>
      <w:spacing w:after="120" w:before="240"/>
      <w:jc w:val="both"/>
    </w:pPr>
    <w:rPr>
      <w:rFonts w:ascii="Calibri" w:hAnsi="Calibri" w:eastAsiaTheme="minorEastAsia"/>
      <w:lang w:val="en-US"/>
    </w:rPr>
  </w:style>
  <w:style w:type="character" w:styleId="ESMARegularuse" w:customStyle="1">
    <w:name w:val="ESMA Regular use"/>
    <w:basedOn w:val="DefaultParagraphFont"/>
    <w:uiPriority w:val="1"/>
    <w:qFormat w:val="1"/>
    <w:rsid w:val="005418F4"/>
    <w:rPr>
      <w:b w:val="0"/>
      <w:bCs w:val="1"/>
      <w:caps w:val="1"/>
      <w:smallCaps w:val="0"/>
      <w:color w:val="1f497d" w:themeColor="text2"/>
      <w:sz w:val="22"/>
    </w:rPr>
  </w:style>
  <w:style w:type="paragraph" w:styleId="HeaderFoot" w:customStyle="1">
    <w:name w:val="HeaderFoot"/>
    <w:basedOn w:val="Normal"/>
    <w:link w:val="HeaderFootChar"/>
    <w:qFormat w:val="1"/>
    <w:rsid w:val="005418F4"/>
    <w:pPr>
      <w:spacing w:after="0"/>
      <w:jc w:val="right"/>
    </w:pPr>
    <w:rPr>
      <w:rFonts w:ascii="Arial" w:cs="Arial" w:hAnsi="Arial" w:eastAsiaTheme="minorEastAsia"/>
      <w:color w:val="001b4f"/>
      <w:sz w:val="16"/>
      <w:szCs w:val="16"/>
    </w:rPr>
  </w:style>
  <w:style w:type="character" w:styleId="HeaderFootChar" w:customStyle="1">
    <w:name w:val="HeaderFoot Char"/>
    <w:basedOn w:val="DefaultParagraphFont"/>
    <w:link w:val="HeaderFoot"/>
    <w:rsid w:val="005418F4"/>
    <w:rPr>
      <w:rFonts w:ascii="Arial" w:cs="Arial" w:hAnsi="Arial" w:eastAsiaTheme="minorEastAsia"/>
      <w:color w:val="001b4f"/>
      <w:sz w:val="16"/>
      <w:szCs w:val="16"/>
    </w:rPr>
  </w:style>
  <w:style w:type="character" w:styleId="UnresolvedMention">
    <w:name w:val="Unresolved Mention"/>
    <w:basedOn w:val="DefaultParagraphFont"/>
    <w:uiPriority w:val="99"/>
    <w:semiHidden w:val="1"/>
    <w:unhideWhenUsed w:val="1"/>
    <w:rsid w:val="00905E44"/>
    <w:rPr>
      <w:color w:val="605e5c"/>
      <w:shd w:color="auto" w:fill="e1dfdd" w:val="clear"/>
    </w:rPr>
  </w:style>
  <w:style w:type="paragraph" w:styleId="Questionstyle" w:customStyle="1">
    <w:name w:val="Question style"/>
    <w:basedOn w:val="Normal"/>
    <w:next w:val="Normal"/>
    <w:link w:val="QuestionstyleChar"/>
    <w:autoRedefine w:val="1"/>
    <w:qFormat w:val="1"/>
    <w:rsid w:val="00A03138"/>
    <w:pPr>
      <w:numPr>
        <w:numId w:val="38"/>
      </w:numPr>
      <w:spacing w:after="250"/>
      <w:contextualSpacing w:val="1"/>
      <w:jc w:val="both"/>
    </w:pPr>
    <w:rPr>
      <w:rFonts w:ascii="Arial" w:cs="Arial" w:hAnsi="Arial" w:eastAsiaTheme="minorEastAsia"/>
      <w:b w:val="1"/>
      <w:lang w:val="en-US"/>
    </w:rPr>
  </w:style>
  <w:style w:type="character" w:styleId="QuestionstyleChar" w:customStyle="1">
    <w:name w:val="Question style Char"/>
    <w:basedOn w:val="DefaultParagraphFont"/>
    <w:link w:val="Questionstyle"/>
    <w:rsid w:val="00A03138"/>
    <w:rPr>
      <w:rFonts w:ascii="Arial" w:cs="Arial" w:hAnsi="Arial" w:eastAsiaTheme="minorEastAsia"/>
      <w:b w:val="1"/>
      <w:lang w:val="en-US"/>
    </w:rPr>
  </w:style>
  <w:style w:type="paragraph" w:styleId="02Date" w:customStyle="1">
    <w:name w:val="02_Date"/>
    <w:basedOn w:val="Normal"/>
    <w:rsid w:val="004B03A3"/>
    <w:pPr>
      <w:spacing w:after="0" w:line="220" w:lineRule="exact"/>
    </w:pPr>
    <w:rPr>
      <w:rFonts w:ascii="Arial" w:cs="Times New Roman" w:eastAsia="Times New Roman" w:hAnsi="Arial"/>
      <w:sz w:val="17"/>
      <w:szCs w:val="24"/>
      <w:lang w:eastAsia="de-DE"/>
    </w:rPr>
  </w:style>
  <w:style w:type="paragraph" w:styleId="paragraph" w:customStyle="1">
    <w:name w:val="paragraph"/>
    <w:basedOn w:val="Normal"/>
    <w:rsid w:val="001E674E"/>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1E674E"/>
  </w:style>
  <w:style w:type="character" w:styleId="eop" w:customStyle="1">
    <w:name w:val="eop"/>
    <w:basedOn w:val="DefaultParagraphFont"/>
    <w:rsid w:val="001E674E"/>
  </w:style>
  <w:style w:type="character" w:styleId="Mention">
    <w:name w:val="Mention"/>
    <w:basedOn w:val="DefaultParagraphFont"/>
    <w:uiPriority w:val="99"/>
    <w:unhideWhenUsed w:val="1"/>
    <w:rsid w:val="00285164"/>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sma.europa.eu/legal-notice" TargetMode="External"/><Relationship Id="rId10" Type="http://schemas.openxmlformats.org/officeDocument/2006/relationships/hyperlink" Target="https://eiopa.europa.eu/Pages/Links/Legal-notice.aspx"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ba.europa.eu/legal-notice"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esma.europa.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HpqbJNn4FxOze2Y7mARLB0N8g==">CgMxLjAyCGguZ2pkZ3hzMgloLjMwajB6bGwyCWguMWZvYjl0ZTIJaC4zem55c2g3MgloLjJldDkycDAyCGgudHlqY3d0MgloLjNkeTZ2a20yCWguMXQzaDVzZjIJaC40ZDM0b2c4MgloLjJzOGV5bzEyCWguMTdkcDh2dTgAciExcWEzdjhoRzN0a2FHamVldGpQVXNsOUlxSXBmdlB6aVM=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2023-06-07T07:19:00Z</dcterms:created>
  <dc:creator>Greta Di Pierri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0x01010025ABD036FA94A443B7FB5379585765CC</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