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41BB" w:rsidP="009C41BB" w:rsidRDefault="009C41BB" w14:paraId="3B671A0B" w14:textId="77777777">
      <w:pPr>
        <w:spacing w:after="250"/>
        <w:jc w:val="both"/>
        <w:rPr>
          <w:rFonts w:ascii="Arial" w:hAnsi="Arial" w:cs="Arial" w:eastAsiaTheme="majorEastAsia"/>
          <w:b/>
          <w:bCs/>
          <w:color w:val="00379F"/>
          <w:sz w:val="56"/>
          <w:szCs w:val="56"/>
        </w:rPr>
      </w:pPr>
    </w:p>
    <w:p w:rsidR="009C41BB" w:rsidP="009C41BB" w:rsidRDefault="009C41BB" w14:paraId="3C14CB93" w14:textId="77777777">
      <w:pPr>
        <w:spacing w:after="250"/>
        <w:jc w:val="both"/>
        <w:rPr>
          <w:rFonts w:ascii="Arial" w:hAnsi="Arial" w:cs="Arial" w:eastAsiaTheme="majorEastAsia"/>
          <w:b/>
          <w:bCs/>
          <w:color w:val="00379F"/>
          <w:sz w:val="56"/>
          <w:szCs w:val="56"/>
        </w:rPr>
      </w:pPr>
    </w:p>
    <w:p w:rsidRPr="005418F4" w:rsidR="009C41BB" w:rsidP="009C41BB" w:rsidRDefault="009C41BB" w14:paraId="7693E271" w14:textId="7D5EE219">
      <w:pPr>
        <w:spacing w:after="250"/>
        <w:jc w:val="both"/>
        <w:rPr>
          <w:rFonts w:ascii="Arial" w:hAnsi="Arial" w:cs="Arial" w:eastAsiaTheme="majorEastAsia"/>
          <w:b/>
          <w:bCs/>
          <w:color w:val="00379F"/>
          <w:sz w:val="56"/>
          <w:szCs w:val="56"/>
        </w:rPr>
      </w:pPr>
      <w:r w:rsidRPr="005418F4">
        <w:rPr>
          <w:rFonts w:ascii="Arial" w:hAnsi="Arial" w:cs="Arial" w:eastAsiaTheme="majorEastAsia"/>
          <w:b/>
          <w:bCs/>
          <w:color w:val="00379F"/>
          <w:sz w:val="56"/>
          <w:szCs w:val="56"/>
        </w:rPr>
        <w:t xml:space="preserve">Reply </w:t>
      </w:r>
      <w:proofErr w:type="gramStart"/>
      <w:r w:rsidRPr="005418F4">
        <w:rPr>
          <w:rFonts w:ascii="Arial" w:hAnsi="Arial" w:cs="Arial" w:eastAsiaTheme="majorEastAsia"/>
          <w:b/>
          <w:bCs/>
          <w:color w:val="00379F"/>
          <w:sz w:val="56"/>
          <w:szCs w:val="56"/>
        </w:rPr>
        <w:t>form</w:t>
      </w:r>
      <w:proofErr w:type="gramEnd"/>
    </w:p>
    <w:p w:rsidRPr="005418F4" w:rsidR="009C41BB" w:rsidP="009C41BB" w:rsidRDefault="009C41BB" w14:paraId="2262F8EC" w14:textId="77777777">
      <w:pPr>
        <w:jc w:val="both"/>
        <w:rPr>
          <w:rFonts w:ascii="Arial" w:hAnsi="Arial" w:cs="Arial"/>
          <w:b/>
          <w:bCs/>
          <w:sz w:val="28"/>
          <w:szCs w:val="28"/>
          <w:lang w:val="en-US"/>
        </w:rPr>
      </w:pPr>
      <w:r w:rsidRPr="005418F4">
        <w:rPr>
          <w:rFonts w:ascii="Arial" w:hAnsi="Arial" w:cs="Arial" w:eastAsiaTheme="minorEastAsia"/>
          <w:b/>
          <w:bCs/>
          <w:color w:val="1A1A1A" w:themeColor="background1" w:themeShade="1A"/>
          <w:sz w:val="28"/>
          <w:szCs w:val="28"/>
        </w:rPr>
        <w:t xml:space="preserve">on the </w:t>
      </w:r>
      <w:r>
        <w:rPr>
          <w:rFonts w:ascii="Arial" w:hAnsi="Arial" w:cs="Arial" w:eastAsiaTheme="minorEastAsia"/>
          <w:b/>
          <w:bCs/>
          <w:color w:val="1A1A1A" w:themeColor="background1" w:themeShade="1A"/>
          <w:sz w:val="28"/>
          <w:szCs w:val="28"/>
        </w:rPr>
        <w:t xml:space="preserve">Joint </w:t>
      </w:r>
      <w:r w:rsidRPr="005418F4">
        <w:rPr>
          <w:rFonts w:ascii="Arial" w:hAnsi="Arial" w:cs="Arial" w:eastAsiaTheme="minorEastAsia"/>
          <w:b/>
          <w:bCs/>
          <w:color w:val="1A1A1A" w:themeColor="background1" w:themeShade="1A"/>
          <w:sz w:val="28"/>
          <w:szCs w:val="28"/>
        </w:rPr>
        <w:t>Consultation Paper on</w:t>
      </w:r>
      <w:r>
        <w:rPr>
          <w:rFonts w:ascii="Arial" w:hAnsi="Arial" w:cs="Arial"/>
          <w:b/>
          <w:bCs/>
          <w:sz w:val="28"/>
          <w:szCs w:val="28"/>
        </w:rPr>
        <w:t xml:space="preserve"> the r</w:t>
      </w:r>
      <w:proofErr w:type="spellStart"/>
      <w:r w:rsidRPr="005418F4">
        <w:rPr>
          <w:rFonts w:ascii="Arial" w:hAnsi="Arial" w:cs="Arial"/>
          <w:b/>
          <w:bCs/>
          <w:sz w:val="28"/>
          <w:szCs w:val="28"/>
          <w:lang w:val="en-US"/>
        </w:rPr>
        <w:t>eview</w:t>
      </w:r>
      <w:proofErr w:type="spellEnd"/>
      <w:r w:rsidRPr="005418F4">
        <w:rPr>
          <w:rFonts w:ascii="Arial" w:hAnsi="Arial" w:cs="Arial"/>
          <w:b/>
          <w:bCs/>
          <w:sz w:val="28"/>
          <w:szCs w:val="28"/>
          <w:lang w:val="en-US"/>
        </w:rPr>
        <w:t xml:space="preserve"> of SFDR Delegated</w:t>
      </w:r>
      <w:r>
        <w:rPr>
          <w:rFonts w:ascii="Arial" w:hAnsi="Arial" w:cs="Arial"/>
          <w:b/>
          <w:bCs/>
          <w:sz w:val="28"/>
          <w:szCs w:val="28"/>
          <w:lang w:val="en-US"/>
        </w:rPr>
        <w:t xml:space="preserve"> </w:t>
      </w:r>
      <w:r w:rsidRPr="005418F4">
        <w:rPr>
          <w:rFonts w:ascii="Arial" w:hAnsi="Arial" w:cs="Arial"/>
          <w:b/>
          <w:bCs/>
          <w:sz w:val="28"/>
          <w:szCs w:val="28"/>
          <w:lang w:val="en-US"/>
        </w:rPr>
        <w:t>Regulation regarding PAI and financial product disclosures</w:t>
      </w:r>
    </w:p>
    <w:p w:rsidR="009C41BB" w:rsidRDefault="009C41BB" w14:paraId="6E3D513D" w14:textId="77777777">
      <w:pPr>
        <w:rPr>
          <w:rFonts w:ascii="Arial" w:hAnsi="Arial" w:cs="Arial" w:eastAsiaTheme="minorEastAsia"/>
          <w:b/>
          <w:bCs/>
          <w:color w:val="00379F"/>
          <w:kern w:val="32"/>
          <w:sz w:val="28"/>
          <w:szCs w:val="28"/>
        </w:rPr>
      </w:pPr>
      <w:r>
        <w:rPr>
          <w:rFonts w:ascii="Arial" w:hAnsi="Arial" w:cs="Arial" w:eastAsiaTheme="minorEastAsia"/>
          <w:b/>
          <w:bCs/>
          <w:color w:val="00379F"/>
          <w:kern w:val="32"/>
          <w:sz w:val="28"/>
          <w:szCs w:val="28"/>
        </w:rPr>
        <w:br w:type="page"/>
      </w:r>
    </w:p>
    <w:p w:rsidRPr="004B03A3" w:rsidR="004B03A3" w:rsidP="009C41BB" w:rsidRDefault="004B03A3" w14:paraId="2F0F68FF" w14:textId="77777777">
      <w:pPr>
        <w:spacing w:after="250"/>
        <w:ind w:left="426" w:hanging="426"/>
        <w:jc w:val="both"/>
        <w:rPr>
          <w:rFonts w:ascii="Arial" w:hAnsi="Arial" w:cs="Arial" w:eastAsiaTheme="minorEastAsia"/>
          <w:bCs/>
          <w:color w:val="1A1A1A" w:themeColor="background1" w:themeShade="1A"/>
          <w:sz w:val="16"/>
          <w:szCs w:val="16"/>
        </w:rPr>
      </w:pPr>
      <w:r>
        <w:rPr>
          <w:rFonts w:ascii="Arial" w:hAnsi="Arial" w:cs="Arial" w:eastAsiaTheme="minorEastAsia"/>
          <w:b/>
          <w:color w:val="1A1A1A" w:themeColor="background1" w:themeShade="1A"/>
          <w:sz w:val="28"/>
          <w:szCs w:val="28"/>
        </w:rPr>
        <w:lastRenderedPageBreak/>
        <w:tab/>
      </w:r>
      <w:r>
        <w:rPr>
          <w:rFonts w:ascii="Arial" w:hAnsi="Arial" w:cs="Arial" w:eastAsiaTheme="minorEastAsia"/>
          <w:b/>
          <w:color w:val="1A1A1A" w:themeColor="background1" w:themeShade="1A"/>
          <w:sz w:val="28"/>
          <w:szCs w:val="28"/>
        </w:rPr>
        <w:tab/>
      </w:r>
    </w:p>
    <w:p w:rsidR="009C41BB" w:rsidP="54639287" w:rsidRDefault="004B03A3" w14:paraId="26B2F243" w14:textId="231A2DC7">
      <w:pPr>
        <w:pStyle w:val="02Date"/>
        <w:rPr>
          <w:rFonts w:cs="Arial" w:eastAsiaTheme="minorEastAsia"/>
          <w:b/>
          <w:bCs/>
          <w:color w:val="1A1A1A" w:themeColor="background1" w:themeShade="1A"/>
          <w:sz w:val="28"/>
          <w:szCs w:val="28"/>
        </w:rPr>
      </w:pPr>
      <w:r w:rsidRPr="004B03A3">
        <w:rPr>
          <w:rFonts w:cs="Arial" w:eastAsiaTheme="minorEastAsia"/>
          <w:bCs/>
          <w:color w:val="1A1A1A" w:themeColor="background1" w:themeShade="1A"/>
          <w:sz w:val="16"/>
          <w:szCs w:val="16"/>
        </w:rPr>
        <w:tab/>
      </w:r>
      <w:r w:rsidRPr="004B03A3">
        <w:rPr>
          <w:rFonts w:cs="Arial" w:eastAsiaTheme="minorEastAsia"/>
          <w:bCs/>
          <w:color w:val="1A1A1A" w:themeColor="background1" w:themeShade="1A"/>
          <w:sz w:val="16"/>
          <w:szCs w:val="16"/>
        </w:rPr>
        <w:tab/>
      </w:r>
      <w:r w:rsidRPr="004B03A3">
        <w:rPr>
          <w:rFonts w:cs="Arial" w:eastAsiaTheme="minorEastAsia"/>
          <w:bCs/>
          <w:color w:val="1A1A1A" w:themeColor="background1" w:themeShade="1A"/>
          <w:sz w:val="16"/>
          <w:szCs w:val="16"/>
        </w:rPr>
        <w:tab/>
      </w:r>
      <w:r w:rsidRPr="004B03A3">
        <w:rPr>
          <w:rFonts w:cs="Arial" w:eastAsiaTheme="minorEastAsia"/>
          <w:bCs/>
          <w:color w:val="1A1A1A" w:themeColor="background1" w:themeShade="1A"/>
          <w:sz w:val="16"/>
          <w:szCs w:val="16"/>
        </w:rPr>
        <w:tab/>
      </w:r>
      <w:r w:rsidRPr="004B03A3">
        <w:rPr>
          <w:rFonts w:cs="Arial" w:eastAsiaTheme="minorEastAsia"/>
          <w:bCs/>
          <w:color w:val="1A1A1A" w:themeColor="background1" w:themeShade="1A"/>
          <w:sz w:val="16"/>
          <w:szCs w:val="16"/>
        </w:rPr>
        <w:tab/>
      </w:r>
      <w:r w:rsidRPr="004B03A3">
        <w:rPr>
          <w:rFonts w:cs="Arial" w:eastAsiaTheme="minorEastAsia"/>
          <w:bCs/>
          <w:color w:val="1A1A1A" w:themeColor="background1" w:themeShade="1A"/>
          <w:sz w:val="16"/>
          <w:szCs w:val="16"/>
        </w:rPr>
        <w:tab/>
      </w:r>
      <w:r w:rsidRPr="004B03A3">
        <w:rPr>
          <w:rFonts w:cs="Arial" w:eastAsiaTheme="minorEastAsia"/>
          <w:bCs/>
          <w:color w:val="1A1A1A" w:themeColor="background1" w:themeShade="1A"/>
          <w:sz w:val="16"/>
          <w:szCs w:val="16"/>
        </w:rPr>
        <w:tab/>
      </w:r>
      <w:r w:rsidRPr="004B03A3">
        <w:rPr>
          <w:rFonts w:cs="Arial" w:eastAsiaTheme="minorEastAsia"/>
          <w:bCs/>
          <w:color w:val="1A1A1A" w:themeColor="background1" w:themeShade="1A"/>
          <w:sz w:val="16"/>
          <w:szCs w:val="16"/>
        </w:rPr>
        <w:tab/>
      </w:r>
      <w:r w:rsidRPr="004B03A3">
        <w:rPr>
          <w:rFonts w:cs="Arial" w:eastAsiaTheme="minorEastAsia"/>
          <w:bCs/>
          <w:color w:val="1A1A1A" w:themeColor="background1" w:themeShade="1A"/>
          <w:sz w:val="16"/>
          <w:szCs w:val="16"/>
        </w:rPr>
        <w:tab/>
      </w:r>
      <w:r w:rsidRPr="004B03A3">
        <w:rPr>
          <w:rFonts w:cs="Arial" w:eastAsiaTheme="minorEastAsia"/>
          <w:bCs/>
          <w:color w:val="1A1A1A" w:themeColor="background1" w:themeShade="1A"/>
          <w:sz w:val="16"/>
          <w:szCs w:val="16"/>
        </w:rPr>
        <w:tab/>
      </w:r>
      <w:r w:rsidRPr="54639287">
        <w:rPr>
          <w:rFonts w:cs="Arial" w:eastAsiaTheme="minorEastAsia"/>
          <w:color w:val="1A1A1A" w:themeColor="background1" w:themeShade="1A"/>
          <w:sz w:val="16"/>
          <w:szCs w:val="16"/>
        </w:rPr>
        <w:t>12 April 2023</w:t>
      </w:r>
      <w:r>
        <w:rPr>
          <w:rFonts w:cs="Arial" w:eastAsiaTheme="minorEastAsia"/>
          <w:b/>
          <w:color w:val="1A1A1A" w:themeColor="background1" w:themeShade="1A"/>
          <w:sz w:val="28"/>
          <w:szCs w:val="28"/>
        </w:rPr>
        <w:tab/>
      </w:r>
      <w:r>
        <w:rPr>
          <w:rFonts w:cs="Arial" w:eastAsiaTheme="minorEastAsia"/>
          <w:b/>
          <w:color w:val="1A1A1A" w:themeColor="background1" w:themeShade="1A"/>
          <w:sz w:val="28"/>
          <w:szCs w:val="28"/>
        </w:rPr>
        <w:tab/>
      </w:r>
      <w:r>
        <w:rPr>
          <w:rFonts w:cs="Arial" w:eastAsiaTheme="minorEastAsia"/>
          <w:b/>
          <w:color w:val="1A1A1A" w:themeColor="background1" w:themeShade="1A"/>
          <w:sz w:val="28"/>
          <w:szCs w:val="28"/>
        </w:rPr>
        <w:tab/>
      </w:r>
      <w:r>
        <w:rPr>
          <w:rFonts w:cs="Arial" w:eastAsiaTheme="minorEastAsia"/>
          <w:b/>
          <w:color w:val="1A1A1A" w:themeColor="background1" w:themeShade="1A"/>
          <w:sz w:val="28"/>
          <w:szCs w:val="28"/>
        </w:rPr>
        <w:tab/>
      </w:r>
      <w:r>
        <w:rPr>
          <w:rFonts w:cs="Arial" w:eastAsiaTheme="minorEastAsia"/>
          <w:b/>
          <w:color w:val="1A1A1A" w:themeColor="background1" w:themeShade="1A"/>
          <w:sz w:val="28"/>
          <w:szCs w:val="28"/>
        </w:rPr>
        <w:tab/>
      </w:r>
      <w:r>
        <w:rPr>
          <w:rFonts w:cs="Arial" w:eastAsiaTheme="minorEastAsia"/>
          <w:b/>
          <w:color w:val="1A1A1A" w:themeColor="background1" w:themeShade="1A"/>
          <w:sz w:val="28"/>
          <w:szCs w:val="28"/>
        </w:rPr>
        <w:tab/>
      </w:r>
      <w:r>
        <w:rPr>
          <w:rFonts w:cs="Arial" w:eastAsiaTheme="minorEastAsia"/>
          <w:b/>
          <w:color w:val="1A1A1A" w:themeColor="background1" w:themeShade="1A"/>
          <w:sz w:val="28"/>
          <w:szCs w:val="28"/>
        </w:rPr>
        <w:tab/>
      </w:r>
      <w:r>
        <w:rPr>
          <w:rFonts w:cs="Arial" w:eastAsiaTheme="minorEastAsia"/>
          <w:b/>
          <w:color w:val="1A1A1A" w:themeColor="background1" w:themeShade="1A"/>
          <w:sz w:val="28"/>
          <w:szCs w:val="28"/>
        </w:rPr>
        <w:tab/>
      </w:r>
      <w:r>
        <w:rPr>
          <w:rFonts w:cs="Arial" w:eastAsiaTheme="minorEastAsia"/>
          <w:b/>
          <w:color w:val="1A1A1A" w:themeColor="background1" w:themeShade="1A"/>
          <w:sz w:val="28"/>
          <w:szCs w:val="28"/>
        </w:rPr>
        <w:tab/>
      </w:r>
      <w:r w:rsidRPr="004B03A3">
        <w:rPr>
          <w:rFonts w:cs="Arial" w:eastAsiaTheme="minorEastAsia"/>
          <w:b/>
          <w:color w:val="1A1A1A" w:themeColor="background1" w:themeShade="1A"/>
          <w:sz w:val="16"/>
          <w:szCs w:val="16"/>
        </w:rPr>
        <w:tab/>
      </w:r>
      <w:r w:rsidR="00CF372A">
        <w:rPr>
          <w:rFonts w:cs="Arial" w:eastAsiaTheme="minorEastAsia"/>
          <w:b/>
          <w:color w:val="1A1A1A" w:themeColor="background1" w:themeShade="1A"/>
          <w:sz w:val="16"/>
          <w:szCs w:val="16"/>
        </w:rPr>
        <w:tab/>
      </w:r>
      <w:r w:rsidRPr="004B03A3">
        <w:rPr>
          <w:rFonts w:cs="Arial"/>
          <w:sz w:val="16"/>
          <w:szCs w:val="16"/>
        </w:rPr>
        <w:t>ESMA</w:t>
      </w:r>
      <w:r w:rsidRPr="004B03A3" w:rsidR="3107FB2D">
        <w:rPr>
          <w:rFonts w:cs="Arial"/>
          <w:sz w:val="16"/>
          <w:szCs w:val="16"/>
        </w:rPr>
        <w:t>34-45-1218</w:t>
      </w:r>
      <w:r>
        <w:rPr>
          <w:rFonts w:cs="Arial" w:eastAsiaTheme="minorEastAsia"/>
          <w:b/>
          <w:color w:val="1A1A1A" w:themeColor="background1" w:themeShade="1A"/>
          <w:sz w:val="28"/>
          <w:szCs w:val="28"/>
        </w:rPr>
        <w:tab/>
      </w:r>
      <w:r>
        <w:rPr>
          <w:rFonts w:cs="Arial" w:eastAsiaTheme="minorEastAsia"/>
          <w:b/>
          <w:color w:val="1A1A1A" w:themeColor="background1" w:themeShade="1A"/>
          <w:sz w:val="28"/>
          <w:szCs w:val="28"/>
        </w:rPr>
        <w:tab/>
      </w:r>
      <w:r>
        <w:rPr>
          <w:rFonts w:cs="Arial" w:eastAsiaTheme="minorEastAsia"/>
          <w:b/>
          <w:color w:val="1A1A1A" w:themeColor="background1" w:themeShade="1A"/>
          <w:sz w:val="28"/>
          <w:szCs w:val="28"/>
        </w:rPr>
        <w:tab/>
      </w:r>
      <w:r>
        <w:rPr>
          <w:rFonts w:cs="Arial" w:eastAsiaTheme="minorEastAsia"/>
          <w:b/>
          <w:color w:val="1A1A1A" w:themeColor="background1" w:themeShade="1A"/>
          <w:sz w:val="28"/>
          <w:szCs w:val="28"/>
        </w:rPr>
        <w:tab/>
      </w:r>
      <w:r>
        <w:rPr>
          <w:rFonts w:cs="Arial" w:eastAsiaTheme="minorEastAsia"/>
          <w:b/>
          <w:color w:val="1A1A1A" w:themeColor="background1" w:themeShade="1A"/>
          <w:sz w:val="28"/>
          <w:szCs w:val="28"/>
        </w:rPr>
        <w:tab/>
      </w:r>
      <w:r>
        <w:rPr>
          <w:rFonts w:cs="Arial" w:eastAsiaTheme="minorEastAsia"/>
          <w:b/>
          <w:color w:val="1A1A1A" w:themeColor="background1" w:themeShade="1A"/>
          <w:sz w:val="28"/>
          <w:szCs w:val="28"/>
        </w:rPr>
        <w:tab/>
      </w:r>
      <w:r>
        <w:rPr>
          <w:rFonts w:cs="Arial" w:eastAsiaTheme="minorEastAsia"/>
          <w:b/>
          <w:color w:val="1A1A1A" w:themeColor="background1" w:themeShade="1A"/>
          <w:sz w:val="28"/>
          <w:szCs w:val="28"/>
        </w:rPr>
        <w:tab/>
      </w:r>
      <w:r>
        <w:rPr>
          <w:rFonts w:cs="Arial" w:eastAsiaTheme="minorEastAsia"/>
          <w:b/>
          <w:color w:val="1A1A1A" w:themeColor="background1" w:themeShade="1A"/>
          <w:sz w:val="28"/>
          <w:szCs w:val="28"/>
        </w:rPr>
        <w:tab/>
      </w:r>
      <w:r>
        <w:rPr>
          <w:rFonts w:cs="Arial" w:eastAsiaTheme="minorEastAsia"/>
          <w:b/>
          <w:color w:val="1A1A1A" w:themeColor="background1" w:themeShade="1A"/>
          <w:sz w:val="28"/>
          <w:szCs w:val="28"/>
        </w:rPr>
        <w:tab/>
      </w:r>
    </w:p>
    <w:p w:rsidRPr="005418F4" w:rsidR="009C41BB" w:rsidP="009C41BB" w:rsidRDefault="009C41BB" w14:paraId="7A1108B7" w14:textId="5B1A9AD6">
      <w:pPr>
        <w:spacing w:after="250"/>
        <w:ind w:left="426" w:hanging="426"/>
        <w:jc w:val="both"/>
        <w:rPr>
          <w:rFonts w:ascii="Arial" w:hAnsi="Arial" w:cs="Arial" w:eastAsiaTheme="minorEastAsia"/>
          <w:b/>
          <w:color w:val="1A1A1A" w:themeColor="background1" w:themeShade="1A"/>
          <w:sz w:val="28"/>
          <w:szCs w:val="28"/>
        </w:rPr>
      </w:pPr>
      <w:r w:rsidRPr="005418F4">
        <w:rPr>
          <w:rFonts w:ascii="Arial" w:hAnsi="Arial" w:cs="Arial" w:eastAsiaTheme="minorEastAsia"/>
          <w:b/>
          <w:color w:val="1A1A1A" w:themeColor="background1" w:themeShade="1A"/>
          <w:sz w:val="28"/>
          <w:szCs w:val="28"/>
        </w:rPr>
        <w:t xml:space="preserve">Responding to this paper </w:t>
      </w:r>
    </w:p>
    <w:p w:rsidRPr="005418F4" w:rsidR="009C41BB" w:rsidP="009C41BB" w:rsidRDefault="009C41BB" w14:paraId="7A883F70" w14:textId="77777777">
      <w:pPr>
        <w:spacing w:after="250"/>
        <w:jc w:val="both"/>
        <w:rPr>
          <w:rFonts w:ascii="Arial" w:hAnsi="Arial" w:cs="Arial" w:eastAsiaTheme="minorEastAsia"/>
          <w:color w:val="1A1A1A" w:themeColor="background1" w:themeShade="1A"/>
          <w:szCs w:val="20"/>
        </w:rPr>
      </w:pPr>
      <w:r>
        <w:rPr>
          <w:rFonts w:ascii="Arial" w:hAnsi="Arial" w:cs="Arial" w:eastAsiaTheme="minorEastAsia"/>
          <w:color w:val="1A1A1A" w:themeColor="background1" w:themeShade="1A"/>
          <w:szCs w:val="20"/>
        </w:rPr>
        <w:t>The ESAs</w:t>
      </w:r>
      <w:r w:rsidRPr="005418F4">
        <w:rPr>
          <w:rFonts w:ascii="Arial" w:hAnsi="Arial" w:cs="Arial" w:eastAsiaTheme="minorEastAsia"/>
          <w:color w:val="1A1A1A" w:themeColor="background1" w:themeShade="1A"/>
          <w:szCs w:val="20"/>
        </w:rPr>
        <w:t xml:space="preserve"> invite comments on all matters in the </w:t>
      </w:r>
      <w:r>
        <w:rPr>
          <w:rFonts w:ascii="Arial" w:hAnsi="Arial" w:cs="Arial" w:eastAsiaTheme="minorEastAsia"/>
          <w:color w:val="1A1A1A" w:themeColor="background1" w:themeShade="1A"/>
          <w:szCs w:val="20"/>
        </w:rPr>
        <w:t xml:space="preserve">Joint </w:t>
      </w:r>
      <w:r w:rsidRPr="005418F4">
        <w:rPr>
          <w:rFonts w:ascii="Arial" w:hAnsi="Arial" w:cs="Arial" w:eastAsiaTheme="minorEastAsia"/>
          <w:color w:val="1A1A1A" w:themeColor="background1" w:themeShade="1A"/>
          <w:szCs w:val="20"/>
        </w:rPr>
        <w:t xml:space="preserve">Consultation Paper and </w:t>
      </w:r>
      <w:proofErr w:type="gramStart"/>
      <w:r w:rsidRPr="005418F4">
        <w:rPr>
          <w:rFonts w:ascii="Arial" w:hAnsi="Arial" w:cs="Arial" w:eastAsiaTheme="minorEastAsia"/>
          <w:color w:val="1A1A1A" w:themeColor="background1" w:themeShade="1A"/>
          <w:szCs w:val="20"/>
        </w:rPr>
        <w:t>in particular on</w:t>
      </w:r>
      <w:proofErr w:type="gramEnd"/>
      <w:r w:rsidRPr="005418F4">
        <w:rPr>
          <w:rFonts w:ascii="Arial" w:hAnsi="Arial" w:cs="Arial" w:eastAsiaTheme="minorEastAsia"/>
          <w:color w:val="1A1A1A" w:themeColor="background1" w:themeShade="1A"/>
          <w:szCs w:val="20"/>
        </w:rPr>
        <w:t xml:space="preserve"> the specific questions in this reply form. Comments are most helpful if they:</w:t>
      </w:r>
    </w:p>
    <w:p w:rsidRPr="005418F4" w:rsidR="009C41BB" w:rsidP="279FB398" w:rsidRDefault="009C41BB" w14:paraId="57F6A3F2" w14:textId="0D7DE7EF">
      <w:pPr>
        <w:numPr>
          <w:ilvl w:val="0"/>
          <w:numId w:val="37"/>
        </w:numPr>
        <w:spacing w:after="250"/>
        <w:jc w:val="both"/>
        <w:rPr>
          <w:rFonts w:ascii="Arial" w:hAnsi="Arial" w:cs="Arial" w:eastAsiaTheme="minorEastAsia"/>
          <w:color w:val="1A1A1A" w:themeColor="background1" w:themeShade="1A"/>
        </w:rPr>
      </w:pPr>
      <w:r w:rsidRPr="279FB398">
        <w:rPr>
          <w:rFonts w:ascii="Arial" w:hAnsi="Arial" w:cs="Arial" w:eastAsiaTheme="minorEastAsia"/>
          <w:color w:val="1A1A1A"/>
        </w:rPr>
        <w:t xml:space="preserve">respond to the question </w:t>
      </w:r>
      <w:proofErr w:type="gramStart"/>
      <w:r w:rsidRPr="279FB398">
        <w:rPr>
          <w:rFonts w:ascii="Arial" w:hAnsi="Arial" w:cs="Arial" w:eastAsiaTheme="minorEastAsia"/>
          <w:color w:val="1A1A1A"/>
        </w:rPr>
        <w:t>stat</w:t>
      </w:r>
      <w:r w:rsidRPr="279FB398" w:rsidR="590A19A6">
        <w:rPr>
          <w:rFonts w:ascii="Arial" w:hAnsi="Arial" w:cs="Arial" w:eastAsiaTheme="minorEastAsia"/>
          <w:color w:val="1A1A1A"/>
        </w:rPr>
        <w:t>e</w:t>
      </w:r>
      <w:r w:rsidRPr="279FB398">
        <w:rPr>
          <w:rFonts w:ascii="Arial" w:hAnsi="Arial" w:cs="Arial" w:eastAsiaTheme="minorEastAsia"/>
          <w:color w:val="1A1A1A"/>
        </w:rPr>
        <w:t>d;</w:t>
      </w:r>
      <w:proofErr w:type="gramEnd"/>
    </w:p>
    <w:p w:rsidRPr="005418F4" w:rsidR="009C41BB" w:rsidP="009C41BB" w:rsidRDefault="009C41BB" w14:paraId="2BFC6949" w14:textId="77777777">
      <w:pPr>
        <w:numPr>
          <w:ilvl w:val="0"/>
          <w:numId w:val="37"/>
        </w:numPr>
        <w:spacing w:after="250"/>
        <w:jc w:val="both"/>
        <w:rPr>
          <w:rFonts w:ascii="Arial" w:hAnsi="Arial" w:cs="Arial" w:eastAsiaTheme="minorEastAsia"/>
          <w:color w:val="1A1A1A" w:themeColor="background1" w:themeShade="1A"/>
          <w:szCs w:val="20"/>
        </w:rPr>
      </w:pPr>
      <w:r w:rsidRPr="005418F4">
        <w:rPr>
          <w:rFonts w:ascii="Arial" w:hAnsi="Arial" w:cs="Arial" w:eastAsiaTheme="minorEastAsia"/>
          <w:color w:val="1A1A1A" w:themeColor="background1" w:themeShade="1A"/>
          <w:szCs w:val="20"/>
        </w:rPr>
        <w:t xml:space="preserve">indicate the specific question to which the comment </w:t>
      </w:r>
      <w:proofErr w:type="gramStart"/>
      <w:r w:rsidRPr="005418F4">
        <w:rPr>
          <w:rFonts w:ascii="Arial" w:hAnsi="Arial" w:cs="Arial" w:eastAsiaTheme="minorEastAsia"/>
          <w:color w:val="1A1A1A" w:themeColor="background1" w:themeShade="1A"/>
          <w:szCs w:val="20"/>
        </w:rPr>
        <w:t>relates;</w:t>
      </w:r>
      <w:proofErr w:type="gramEnd"/>
    </w:p>
    <w:p w:rsidRPr="005418F4" w:rsidR="009C41BB" w:rsidP="009C41BB" w:rsidRDefault="009C41BB" w14:paraId="0D5FDE5A" w14:textId="77777777">
      <w:pPr>
        <w:numPr>
          <w:ilvl w:val="0"/>
          <w:numId w:val="37"/>
        </w:numPr>
        <w:spacing w:after="250"/>
        <w:jc w:val="both"/>
        <w:rPr>
          <w:rFonts w:ascii="Arial" w:hAnsi="Arial" w:cs="Arial" w:eastAsiaTheme="minorEastAsia"/>
          <w:color w:val="1A1A1A" w:themeColor="background1" w:themeShade="1A"/>
          <w:szCs w:val="20"/>
        </w:rPr>
      </w:pPr>
      <w:r w:rsidRPr="005418F4">
        <w:rPr>
          <w:rFonts w:ascii="Arial" w:hAnsi="Arial" w:cs="Arial" w:eastAsiaTheme="minorEastAsia"/>
          <w:color w:val="1A1A1A" w:themeColor="background1" w:themeShade="1A"/>
          <w:szCs w:val="20"/>
        </w:rPr>
        <w:t>contain a clear rationale; and</w:t>
      </w:r>
    </w:p>
    <w:p w:rsidRPr="005418F4" w:rsidR="009C41BB" w:rsidP="009C41BB" w:rsidRDefault="009C41BB" w14:paraId="31E1EB74" w14:textId="77777777">
      <w:pPr>
        <w:numPr>
          <w:ilvl w:val="0"/>
          <w:numId w:val="37"/>
        </w:numPr>
        <w:spacing w:after="250"/>
        <w:jc w:val="both"/>
        <w:rPr>
          <w:rFonts w:ascii="Arial" w:hAnsi="Arial" w:cs="Arial" w:eastAsiaTheme="minorEastAsia"/>
          <w:color w:val="1A1A1A" w:themeColor="background1" w:themeShade="1A"/>
          <w:szCs w:val="20"/>
        </w:rPr>
      </w:pPr>
      <w:r w:rsidRPr="005418F4">
        <w:rPr>
          <w:rFonts w:ascii="Arial" w:hAnsi="Arial" w:cs="Arial" w:eastAsiaTheme="minorEastAsia"/>
          <w:color w:val="1A1A1A" w:themeColor="background1" w:themeShade="1A"/>
          <w:szCs w:val="20"/>
        </w:rPr>
        <w:t xml:space="preserve">describe any alternatives </w:t>
      </w:r>
      <w:r>
        <w:rPr>
          <w:rFonts w:ascii="Arial" w:hAnsi="Arial" w:cs="Arial" w:eastAsiaTheme="minorEastAsia"/>
          <w:color w:val="1A1A1A" w:themeColor="background1" w:themeShade="1A"/>
          <w:szCs w:val="20"/>
        </w:rPr>
        <w:t xml:space="preserve">the </w:t>
      </w:r>
      <w:r w:rsidRPr="005418F4">
        <w:rPr>
          <w:rFonts w:ascii="Arial" w:hAnsi="Arial" w:cs="Arial" w:eastAsiaTheme="minorEastAsia"/>
          <w:color w:val="1A1A1A" w:themeColor="background1" w:themeShade="1A"/>
          <w:szCs w:val="20"/>
        </w:rPr>
        <w:t>ESA</w:t>
      </w:r>
      <w:r>
        <w:rPr>
          <w:rFonts w:ascii="Arial" w:hAnsi="Arial" w:cs="Arial" w:eastAsiaTheme="minorEastAsia"/>
          <w:color w:val="1A1A1A" w:themeColor="background1" w:themeShade="1A"/>
          <w:szCs w:val="20"/>
        </w:rPr>
        <w:t>s</w:t>
      </w:r>
      <w:r w:rsidRPr="005418F4">
        <w:rPr>
          <w:rFonts w:ascii="Arial" w:hAnsi="Arial" w:cs="Arial" w:eastAsiaTheme="minorEastAsia"/>
          <w:color w:val="1A1A1A" w:themeColor="background1" w:themeShade="1A"/>
          <w:szCs w:val="20"/>
        </w:rPr>
        <w:t xml:space="preserve"> should consider.</w:t>
      </w:r>
    </w:p>
    <w:p w:rsidRPr="005418F4" w:rsidR="009C41BB" w:rsidP="009C41BB" w:rsidRDefault="009C41BB" w14:paraId="431282EE" w14:textId="77777777">
      <w:pPr>
        <w:spacing w:after="250"/>
        <w:jc w:val="both"/>
        <w:rPr>
          <w:rFonts w:ascii="Arial" w:hAnsi="Arial" w:cs="Arial" w:eastAsiaTheme="minorEastAsia"/>
          <w:b/>
          <w:color w:val="1A1A1A" w:themeColor="background1" w:themeShade="1A"/>
          <w:szCs w:val="20"/>
        </w:rPr>
      </w:pPr>
      <w:r w:rsidRPr="005418F4">
        <w:rPr>
          <w:rFonts w:ascii="Arial" w:hAnsi="Arial" w:cs="Arial" w:eastAsiaTheme="minorEastAsia"/>
          <w:color w:val="1A1A1A" w:themeColor="background1" w:themeShade="1A"/>
          <w:szCs w:val="20"/>
        </w:rPr>
        <w:t xml:space="preserve">ESMA will consider all comments received by </w:t>
      </w:r>
      <w:r w:rsidRPr="005418F4">
        <w:rPr>
          <w:rFonts w:ascii="Arial" w:hAnsi="Arial" w:cs="Arial" w:eastAsiaTheme="minorEastAsia"/>
          <w:b/>
          <w:bCs/>
          <w:color w:val="1A1A1A" w:themeColor="background1" w:themeShade="1A"/>
          <w:szCs w:val="20"/>
        </w:rPr>
        <w:t>4</w:t>
      </w:r>
      <w:r w:rsidRPr="005418F4">
        <w:rPr>
          <w:rFonts w:ascii="Arial" w:hAnsi="Arial" w:cs="Arial" w:eastAsiaTheme="minorEastAsia"/>
          <w:b/>
          <w:color w:val="1A1A1A" w:themeColor="background1" w:themeShade="1A"/>
          <w:szCs w:val="20"/>
        </w:rPr>
        <w:t xml:space="preserve"> </w:t>
      </w:r>
      <w:proofErr w:type="gramStart"/>
      <w:r>
        <w:rPr>
          <w:rFonts w:ascii="Arial" w:hAnsi="Arial" w:cs="Arial" w:eastAsiaTheme="minorEastAsia"/>
          <w:b/>
          <w:color w:val="1A1A1A" w:themeColor="background1" w:themeShade="1A"/>
          <w:szCs w:val="20"/>
        </w:rPr>
        <w:t xml:space="preserve">July </w:t>
      </w:r>
      <w:r w:rsidRPr="005418F4">
        <w:rPr>
          <w:rFonts w:ascii="Arial" w:hAnsi="Arial" w:cs="Arial" w:eastAsiaTheme="minorEastAsia"/>
          <w:b/>
          <w:color w:val="1A1A1A" w:themeColor="background1" w:themeShade="1A"/>
          <w:szCs w:val="20"/>
        </w:rPr>
        <w:t xml:space="preserve"> 2023</w:t>
      </w:r>
      <w:proofErr w:type="gramEnd"/>
      <w:r w:rsidRPr="005418F4">
        <w:rPr>
          <w:rFonts w:ascii="Arial" w:hAnsi="Arial" w:cs="Arial" w:eastAsiaTheme="minorEastAsia"/>
          <w:b/>
          <w:color w:val="1A1A1A" w:themeColor="background1" w:themeShade="1A"/>
          <w:szCs w:val="20"/>
        </w:rPr>
        <w:t xml:space="preserve">. </w:t>
      </w:r>
    </w:p>
    <w:p w:rsidR="009C41BB" w:rsidP="009C41BB" w:rsidRDefault="009C41BB" w14:paraId="64F0B1AF" w14:textId="77777777">
      <w:pPr>
        <w:spacing w:after="250"/>
        <w:ind w:left="426" w:hanging="426"/>
        <w:jc w:val="both"/>
        <w:rPr>
          <w:rFonts w:ascii="Arial" w:hAnsi="Arial" w:cs="Arial" w:eastAsiaTheme="minorEastAsia"/>
          <w:b/>
          <w:color w:val="1A1A1A" w:themeColor="background1" w:themeShade="1A"/>
          <w:sz w:val="28"/>
          <w:szCs w:val="28"/>
        </w:rPr>
      </w:pPr>
    </w:p>
    <w:p w:rsidRPr="005418F4" w:rsidR="009C41BB" w:rsidP="009C41BB" w:rsidRDefault="009C41BB" w14:paraId="3835AA5F" w14:textId="3A04CB1C">
      <w:pPr>
        <w:spacing w:after="250"/>
        <w:ind w:left="426" w:hanging="426"/>
        <w:jc w:val="both"/>
        <w:rPr>
          <w:rFonts w:ascii="Arial" w:hAnsi="Arial" w:cs="Arial" w:eastAsiaTheme="minorEastAsia"/>
          <w:b/>
          <w:color w:val="1A1A1A" w:themeColor="background1" w:themeShade="1A"/>
          <w:sz w:val="28"/>
          <w:szCs w:val="28"/>
        </w:rPr>
      </w:pPr>
      <w:r w:rsidRPr="005418F4">
        <w:rPr>
          <w:rFonts w:ascii="Arial" w:hAnsi="Arial" w:cs="Arial" w:eastAsiaTheme="minorEastAsia"/>
          <w:b/>
          <w:color w:val="1A1A1A" w:themeColor="background1" w:themeShade="1A"/>
          <w:sz w:val="28"/>
          <w:szCs w:val="28"/>
        </w:rPr>
        <w:t>Instructions</w:t>
      </w:r>
    </w:p>
    <w:p w:rsidRPr="005418F4" w:rsidR="009C41BB" w:rsidP="009C41BB" w:rsidRDefault="009C41BB" w14:paraId="7DD5C40B" w14:textId="77777777">
      <w:pPr>
        <w:spacing w:after="250"/>
        <w:jc w:val="both"/>
        <w:rPr>
          <w:rFonts w:ascii="Arial" w:hAnsi="Arial" w:cs="Arial" w:eastAsiaTheme="minorEastAsia"/>
          <w:color w:val="1A1A1A" w:themeColor="background1" w:themeShade="1A"/>
          <w:szCs w:val="20"/>
        </w:rPr>
      </w:pPr>
      <w:proofErr w:type="gramStart"/>
      <w:r w:rsidRPr="005418F4">
        <w:rPr>
          <w:rFonts w:ascii="Arial" w:hAnsi="Arial" w:cs="Arial" w:eastAsiaTheme="minorEastAsia"/>
          <w:color w:val="1A1A1A" w:themeColor="background1" w:themeShade="1A"/>
          <w:szCs w:val="20"/>
        </w:rPr>
        <w:t>In order to</w:t>
      </w:r>
      <w:proofErr w:type="gramEnd"/>
      <w:r w:rsidRPr="005418F4">
        <w:rPr>
          <w:rFonts w:ascii="Arial" w:hAnsi="Arial" w:cs="Arial" w:eastAsiaTheme="minorEastAsia"/>
          <w:color w:val="1A1A1A" w:themeColor="background1" w:themeShade="1A"/>
          <w:szCs w:val="20"/>
        </w:rPr>
        <w:t xml:space="preserve"> facilitate analysis of responses to the </w:t>
      </w:r>
      <w:r>
        <w:rPr>
          <w:rFonts w:ascii="Arial" w:hAnsi="Arial" w:cs="Arial" w:eastAsiaTheme="minorEastAsia"/>
          <w:color w:val="1A1A1A" w:themeColor="background1" w:themeShade="1A"/>
          <w:szCs w:val="20"/>
        </w:rPr>
        <w:t xml:space="preserve">Joint </w:t>
      </w:r>
      <w:r w:rsidRPr="005418F4">
        <w:rPr>
          <w:rFonts w:ascii="Arial" w:hAnsi="Arial" w:cs="Arial" w:eastAsiaTheme="minorEastAsia"/>
          <w:color w:val="1A1A1A" w:themeColor="background1" w:themeShade="1A"/>
          <w:szCs w:val="20"/>
        </w:rPr>
        <w:t>Consultation Paper, respondents are requested to follow the below steps when preparing and submitting their response:</w:t>
      </w:r>
    </w:p>
    <w:p w:rsidRPr="005418F4" w:rsidR="009C41BB" w:rsidP="009C41BB" w:rsidRDefault="009C41BB" w14:paraId="0CCEC96B" w14:textId="77777777">
      <w:pPr>
        <w:numPr>
          <w:ilvl w:val="0"/>
          <w:numId w:val="37"/>
        </w:numPr>
        <w:spacing w:after="250"/>
        <w:jc w:val="both"/>
        <w:rPr>
          <w:rFonts w:ascii="Arial" w:hAnsi="Arial" w:cs="Arial" w:eastAsiaTheme="minorEastAsia"/>
          <w:color w:val="1A1A1A" w:themeColor="background1" w:themeShade="1A"/>
          <w:szCs w:val="20"/>
        </w:rPr>
      </w:pPr>
      <w:r w:rsidRPr="005418F4">
        <w:rPr>
          <w:rFonts w:ascii="Arial" w:hAnsi="Arial" w:cs="Arial" w:eastAsiaTheme="minorEastAsia"/>
          <w:color w:val="1A1A1A" w:themeColor="background1" w:themeShade="1A"/>
          <w:szCs w:val="20"/>
        </w:rPr>
        <w:t xml:space="preserve">Insert your responses to the questions in the </w:t>
      </w:r>
      <w:r>
        <w:rPr>
          <w:rFonts w:ascii="Arial" w:hAnsi="Arial" w:cs="Arial" w:eastAsiaTheme="minorEastAsia"/>
          <w:color w:val="1A1A1A" w:themeColor="background1" w:themeShade="1A"/>
          <w:szCs w:val="20"/>
        </w:rPr>
        <w:t xml:space="preserve">Joint </w:t>
      </w:r>
      <w:r w:rsidRPr="005418F4">
        <w:rPr>
          <w:rFonts w:ascii="Arial" w:hAnsi="Arial" w:cs="Arial" w:eastAsiaTheme="minorEastAsia"/>
          <w:color w:val="1A1A1A" w:themeColor="background1" w:themeShade="1A"/>
          <w:szCs w:val="20"/>
        </w:rPr>
        <w:t xml:space="preserve">Consultation Paper in this reply form. </w:t>
      </w:r>
    </w:p>
    <w:p w:rsidRPr="005418F4" w:rsidR="009C41BB" w:rsidP="009C41BB" w:rsidRDefault="009C41BB" w14:paraId="7411C53E" w14:textId="77777777">
      <w:pPr>
        <w:numPr>
          <w:ilvl w:val="0"/>
          <w:numId w:val="37"/>
        </w:numPr>
        <w:spacing w:after="250"/>
        <w:jc w:val="both"/>
        <w:rPr>
          <w:rFonts w:ascii="Arial" w:hAnsi="Arial" w:cs="Arial" w:eastAsiaTheme="minorEastAsia"/>
          <w:color w:val="1A1A1A" w:themeColor="background1" w:themeShade="1A"/>
          <w:szCs w:val="20"/>
        </w:rPr>
      </w:pPr>
      <w:r w:rsidRPr="005418F4">
        <w:rPr>
          <w:rFonts w:ascii="Arial" w:hAnsi="Arial" w:cs="Arial" w:eastAsiaTheme="minorEastAsia"/>
          <w:color w:val="1A1A1A" w:themeColor="background1" w:themeShade="1A"/>
          <w:szCs w:val="20"/>
        </w:rPr>
        <w:t>Please do not remove tags of the type &lt;ESMA_QUESTION_</w:t>
      </w:r>
      <w:r>
        <w:rPr>
          <w:rFonts w:ascii="Arial" w:hAnsi="Arial" w:cs="Arial" w:eastAsiaTheme="minorEastAsia"/>
          <w:color w:val="1A1A1A" w:themeColor="background1" w:themeShade="1A"/>
          <w:szCs w:val="20"/>
        </w:rPr>
        <w:t>SFDR</w:t>
      </w:r>
      <w:r w:rsidRPr="005418F4">
        <w:rPr>
          <w:rFonts w:ascii="Arial" w:hAnsi="Arial" w:cs="Arial" w:eastAsiaTheme="minorEastAsia"/>
          <w:color w:val="1A1A1A" w:themeColor="background1" w:themeShade="1A"/>
          <w:szCs w:val="20"/>
        </w:rPr>
        <w:t xml:space="preserve">_1&gt;. Your response to each question </w:t>
      </w:r>
      <w:proofErr w:type="gramStart"/>
      <w:r w:rsidRPr="005418F4">
        <w:rPr>
          <w:rFonts w:ascii="Arial" w:hAnsi="Arial" w:cs="Arial" w:eastAsiaTheme="minorEastAsia"/>
          <w:color w:val="1A1A1A" w:themeColor="background1" w:themeShade="1A"/>
          <w:szCs w:val="20"/>
        </w:rPr>
        <w:t>has to</w:t>
      </w:r>
      <w:proofErr w:type="gramEnd"/>
      <w:r w:rsidRPr="005418F4">
        <w:rPr>
          <w:rFonts w:ascii="Arial" w:hAnsi="Arial" w:cs="Arial" w:eastAsiaTheme="minorEastAsia"/>
          <w:color w:val="1A1A1A" w:themeColor="background1" w:themeShade="1A"/>
          <w:szCs w:val="20"/>
        </w:rPr>
        <w:t xml:space="preserve"> be framed by the two tags corresponding to the question.</w:t>
      </w:r>
    </w:p>
    <w:p w:rsidRPr="005418F4" w:rsidR="009C41BB" w:rsidP="009C41BB" w:rsidRDefault="009C41BB" w14:paraId="68C8BE47" w14:textId="77777777">
      <w:pPr>
        <w:numPr>
          <w:ilvl w:val="0"/>
          <w:numId w:val="37"/>
        </w:numPr>
        <w:spacing w:after="250"/>
        <w:jc w:val="both"/>
        <w:rPr>
          <w:rFonts w:ascii="Arial" w:hAnsi="Arial" w:cs="Arial" w:eastAsiaTheme="minorEastAsia"/>
          <w:color w:val="1A1A1A" w:themeColor="background1" w:themeShade="1A"/>
          <w:szCs w:val="20"/>
        </w:rPr>
      </w:pPr>
      <w:r w:rsidRPr="005418F4">
        <w:rPr>
          <w:rFonts w:ascii="Arial" w:hAnsi="Arial" w:cs="Arial" w:eastAsiaTheme="minorEastAsia"/>
          <w:color w:val="1A1A1A" w:themeColor="background1" w:themeShade="1A"/>
          <w:szCs w:val="20"/>
        </w:rPr>
        <w:t>If you do not wish to respond to a given question, please do not delete it but simply leave the text “TYPE YOUR TEXT HERE” between the tags.</w:t>
      </w:r>
    </w:p>
    <w:p w:rsidRPr="005418F4" w:rsidR="009C41BB" w:rsidP="009C41BB" w:rsidRDefault="009C41BB" w14:paraId="78389337" w14:textId="77777777">
      <w:pPr>
        <w:numPr>
          <w:ilvl w:val="0"/>
          <w:numId w:val="37"/>
        </w:numPr>
        <w:spacing w:after="250"/>
        <w:jc w:val="both"/>
        <w:rPr>
          <w:rFonts w:ascii="Arial" w:hAnsi="Arial" w:cs="Arial" w:eastAsiaTheme="minorEastAsia"/>
          <w:color w:val="1A1A1A" w:themeColor="background1" w:themeShade="1A"/>
          <w:szCs w:val="20"/>
        </w:rPr>
      </w:pPr>
      <w:r w:rsidRPr="005418F4">
        <w:rPr>
          <w:rFonts w:ascii="Arial" w:hAnsi="Arial" w:cs="Arial" w:eastAsiaTheme="minorEastAsia"/>
          <w:color w:val="1A1A1A" w:themeColor="background1" w:themeShade="1A"/>
          <w:szCs w:val="20"/>
        </w:rPr>
        <w:t xml:space="preserve">When you have drafted your responses, save the reply form according to the following convention: ESMA_CP </w:t>
      </w:r>
      <w:r>
        <w:rPr>
          <w:rFonts w:ascii="Arial" w:hAnsi="Arial" w:cs="Arial" w:eastAsiaTheme="minorEastAsia"/>
          <w:color w:val="1A1A1A" w:themeColor="background1" w:themeShade="1A"/>
          <w:szCs w:val="20"/>
        </w:rPr>
        <w:t xml:space="preserve">SFDR </w:t>
      </w:r>
      <w:proofErr w:type="spellStart"/>
      <w:r>
        <w:rPr>
          <w:rFonts w:ascii="Arial" w:hAnsi="Arial" w:cs="Arial" w:eastAsiaTheme="minorEastAsia"/>
          <w:color w:val="1A1A1A" w:themeColor="background1" w:themeShade="1A"/>
          <w:szCs w:val="20"/>
        </w:rPr>
        <w:t>Review</w:t>
      </w:r>
      <w:r w:rsidRPr="005418F4">
        <w:rPr>
          <w:rFonts w:ascii="Arial" w:hAnsi="Arial" w:cs="Arial" w:eastAsiaTheme="minorEastAsia"/>
          <w:color w:val="1A1A1A" w:themeColor="background1" w:themeShade="1A"/>
          <w:szCs w:val="20"/>
        </w:rPr>
        <w:t>_nameofrespondent</w:t>
      </w:r>
      <w:proofErr w:type="spellEnd"/>
      <w:r w:rsidRPr="005418F4">
        <w:rPr>
          <w:rFonts w:ascii="Arial" w:hAnsi="Arial" w:cs="Arial" w:eastAsiaTheme="minorEastAsia"/>
          <w:color w:val="1A1A1A" w:themeColor="background1" w:themeShade="1A"/>
          <w:szCs w:val="20"/>
        </w:rPr>
        <w:t xml:space="preserve">. </w:t>
      </w:r>
    </w:p>
    <w:p w:rsidRPr="005418F4" w:rsidR="009C41BB" w:rsidP="009C41BB" w:rsidRDefault="009C41BB" w14:paraId="2D7494A0" w14:textId="77777777">
      <w:pPr>
        <w:spacing w:after="250"/>
        <w:ind w:left="360"/>
        <w:jc w:val="both"/>
        <w:rPr>
          <w:rFonts w:ascii="Arial" w:hAnsi="Arial" w:cs="Arial" w:eastAsiaTheme="minorEastAsia"/>
          <w:color w:val="1A1A1A" w:themeColor="background1" w:themeShade="1A"/>
          <w:szCs w:val="20"/>
        </w:rPr>
      </w:pPr>
      <w:r w:rsidRPr="005418F4">
        <w:rPr>
          <w:rFonts w:ascii="Arial" w:hAnsi="Arial" w:cs="Arial" w:eastAsiaTheme="minorEastAsia"/>
          <w:color w:val="1A1A1A" w:themeColor="background1" w:themeShade="1A"/>
          <w:szCs w:val="20"/>
        </w:rPr>
        <w:t xml:space="preserve">For example, for a respondent named ABCD, the reply form would be saved with the following name: ESMA_CP </w:t>
      </w:r>
      <w:r>
        <w:rPr>
          <w:rFonts w:ascii="Arial" w:hAnsi="Arial" w:cs="Arial" w:eastAsiaTheme="minorEastAsia"/>
          <w:color w:val="1A1A1A" w:themeColor="background1" w:themeShade="1A"/>
          <w:szCs w:val="20"/>
        </w:rPr>
        <w:t xml:space="preserve">SFDR </w:t>
      </w:r>
      <w:proofErr w:type="spellStart"/>
      <w:r>
        <w:rPr>
          <w:rFonts w:ascii="Arial" w:hAnsi="Arial" w:cs="Arial" w:eastAsiaTheme="minorEastAsia"/>
          <w:color w:val="1A1A1A" w:themeColor="background1" w:themeShade="1A"/>
          <w:szCs w:val="20"/>
        </w:rPr>
        <w:t>Review</w:t>
      </w:r>
      <w:r w:rsidRPr="005418F4">
        <w:rPr>
          <w:rFonts w:ascii="Arial" w:hAnsi="Arial" w:cs="Arial" w:eastAsiaTheme="minorEastAsia"/>
          <w:color w:val="1A1A1A" w:themeColor="background1" w:themeShade="1A"/>
          <w:szCs w:val="20"/>
        </w:rPr>
        <w:t>_ABCD</w:t>
      </w:r>
      <w:proofErr w:type="spellEnd"/>
      <w:r w:rsidRPr="005418F4">
        <w:rPr>
          <w:rFonts w:ascii="Arial" w:hAnsi="Arial" w:cs="Arial" w:eastAsiaTheme="minorEastAsia"/>
          <w:color w:val="1A1A1A" w:themeColor="background1" w:themeShade="1A"/>
          <w:szCs w:val="20"/>
        </w:rPr>
        <w:t>.</w:t>
      </w:r>
    </w:p>
    <w:p w:rsidRPr="005418F4" w:rsidR="009C41BB" w:rsidP="009C41BB" w:rsidRDefault="009C41BB" w14:paraId="6C768A79" w14:textId="77777777">
      <w:pPr>
        <w:numPr>
          <w:ilvl w:val="0"/>
          <w:numId w:val="37"/>
        </w:numPr>
        <w:spacing w:after="250"/>
        <w:jc w:val="both"/>
        <w:rPr>
          <w:rFonts w:ascii="Arial" w:hAnsi="Arial" w:cs="Arial" w:eastAsiaTheme="minorEastAsia"/>
          <w:color w:val="1A1A1A" w:themeColor="background1" w:themeShade="1A"/>
          <w:szCs w:val="20"/>
        </w:rPr>
      </w:pPr>
      <w:r w:rsidRPr="005418F4">
        <w:rPr>
          <w:rFonts w:ascii="Arial" w:hAnsi="Arial" w:cs="Arial" w:eastAsiaTheme="minorEastAsia"/>
          <w:color w:val="1A1A1A" w:themeColor="background1" w:themeShade="1A"/>
          <w:szCs w:val="20"/>
        </w:rPr>
        <w:t>Upload the Word reply form containing your responses to ESMA’s website (</w:t>
      </w:r>
      <w:r w:rsidRPr="005418F4">
        <w:rPr>
          <w:rFonts w:ascii="Arial" w:hAnsi="Arial" w:cs="Arial" w:eastAsiaTheme="minorEastAsia"/>
          <w:b/>
          <w:bCs/>
          <w:color w:val="1A1A1A" w:themeColor="background1" w:themeShade="1A"/>
          <w:szCs w:val="20"/>
        </w:rPr>
        <w:t>pdf documents will not be considered except for annexes</w:t>
      </w:r>
      <w:r w:rsidRPr="005418F4">
        <w:rPr>
          <w:rFonts w:ascii="Arial" w:hAnsi="Arial" w:cs="Arial" w:eastAsiaTheme="minorEastAsia"/>
          <w:color w:val="1A1A1A" w:themeColor="background1" w:themeShade="1A"/>
          <w:szCs w:val="20"/>
        </w:rPr>
        <w:t xml:space="preserve">). All contributions should be submitted online at </w:t>
      </w:r>
      <w:hyperlink w:history="1" r:id="rId11">
        <w:r w:rsidRPr="005418F4">
          <w:rPr>
            <w:rFonts w:ascii="Arial" w:hAnsi="Arial" w:cs="Arial" w:eastAsiaTheme="minorEastAsia"/>
            <w:color w:val="0000FF"/>
            <w:szCs w:val="20"/>
            <w:u w:val="single"/>
          </w:rPr>
          <w:t>www.esma.europa.eu</w:t>
        </w:r>
      </w:hyperlink>
      <w:r w:rsidRPr="005418F4">
        <w:rPr>
          <w:rFonts w:ascii="Arial" w:hAnsi="Arial" w:cs="Arial" w:eastAsiaTheme="minorEastAsia"/>
          <w:color w:val="1A1A1A" w:themeColor="background1" w:themeShade="1A"/>
          <w:szCs w:val="20"/>
        </w:rPr>
        <w:t xml:space="preserve"> under the heading ‘Your input - Consultations’. </w:t>
      </w:r>
    </w:p>
    <w:p w:rsidRPr="005418F4" w:rsidR="009C41BB" w:rsidP="009C41BB" w:rsidRDefault="009C41BB" w14:paraId="1AAB47AF" w14:textId="77777777">
      <w:pPr>
        <w:spacing w:after="250"/>
        <w:jc w:val="both"/>
        <w:rPr>
          <w:rFonts w:ascii="Arial" w:hAnsi="Arial" w:cs="Arial" w:eastAsiaTheme="minorEastAsia"/>
          <w:color w:val="1A1A1A" w:themeColor="background1" w:themeShade="1A"/>
          <w:szCs w:val="20"/>
        </w:rPr>
      </w:pPr>
    </w:p>
    <w:p w:rsidRPr="005418F4" w:rsidR="009C41BB" w:rsidP="009C41BB" w:rsidRDefault="009C41BB" w14:paraId="37E9C4A4" w14:textId="77777777">
      <w:pPr>
        <w:spacing w:after="250"/>
        <w:jc w:val="both"/>
        <w:rPr>
          <w:rFonts w:ascii="Arial" w:hAnsi="Arial" w:cs="Arial" w:eastAsiaTheme="minorEastAsia"/>
          <w:color w:val="1A1A1A" w:themeColor="background1" w:themeShade="1A"/>
          <w:szCs w:val="20"/>
        </w:rPr>
      </w:pPr>
    </w:p>
    <w:p w:rsidRPr="005418F4" w:rsidR="009C41BB" w:rsidP="009C41BB" w:rsidRDefault="009C41BB" w14:paraId="1E2986AC" w14:textId="77777777">
      <w:pPr>
        <w:spacing w:after="250"/>
        <w:jc w:val="both"/>
        <w:rPr>
          <w:rFonts w:ascii="Arial" w:hAnsi="Arial" w:cs="Arial" w:eastAsiaTheme="minorEastAsia"/>
          <w:color w:val="1A1A1A" w:themeColor="background1" w:themeShade="1A"/>
          <w:szCs w:val="20"/>
        </w:rPr>
      </w:pPr>
    </w:p>
    <w:p w:rsidRPr="005418F4" w:rsidR="009C41BB" w:rsidP="009C41BB" w:rsidRDefault="009C41BB" w14:paraId="3A2025B7" w14:textId="77777777">
      <w:pPr>
        <w:spacing w:after="250"/>
        <w:ind w:left="426" w:hanging="426"/>
        <w:jc w:val="both"/>
        <w:rPr>
          <w:rFonts w:ascii="Arial" w:hAnsi="Arial" w:cs="Arial" w:eastAsiaTheme="minorEastAsia"/>
          <w:b/>
          <w:color w:val="1A1A1A" w:themeColor="background1" w:themeShade="1A"/>
          <w:sz w:val="28"/>
          <w:szCs w:val="28"/>
        </w:rPr>
      </w:pPr>
      <w:r w:rsidRPr="005418F4">
        <w:rPr>
          <w:rFonts w:ascii="Arial" w:hAnsi="Arial" w:cs="Arial" w:eastAsiaTheme="minorEastAsia"/>
          <w:b/>
          <w:color w:val="1A1A1A" w:themeColor="background1" w:themeShade="1A"/>
          <w:sz w:val="28"/>
          <w:szCs w:val="28"/>
        </w:rPr>
        <w:t>Publication of responses</w:t>
      </w:r>
    </w:p>
    <w:p w:rsidRPr="005418F4" w:rsidR="009C41BB" w:rsidP="009C41BB" w:rsidRDefault="009C41BB" w14:paraId="7E539DEA" w14:textId="77777777">
      <w:pPr>
        <w:spacing w:after="250"/>
        <w:jc w:val="both"/>
        <w:rPr>
          <w:rFonts w:ascii="Arial" w:hAnsi="Arial" w:cs="Arial" w:eastAsiaTheme="minorEastAsia"/>
          <w:color w:val="1A1A1A" w:themeColor="background1" w:themeShade="1A"/>
          <w:szCs w:val="20"/>
        </w:rPr>
      </w:pPr>
      <w:r w:rsidRPr="005418F4">
        <w:rPr>
          <w:rFonts w:ascii="Arial" w:hAnsi="Arial" w:cs="Arial" w:eastAsiaTheme="minorEastAsia"/>
          <w:color w:val="1A1A1A" w:themeColor="background1" w:themeShade="1A"/>
          <w:szCs w:val="20"/>
        </w:rPr>
        <w:t xml:space="preserve">All contributions received will be published following the close of the </w:t>
      </w:r>
      <w:proofErr w:type="gramStart"/>
      <w:r w:rsidRPr="005418F4">
        <w:rPr>
          <w:rFonts w:ascii="Arial" w:hAnsi="Arial" w:cs="Arial" w:eastAsiaTheme="minorEastAsia"/>
          <w:color w:val="1A1A1A" w:themeColor="background1" w:themeShade="1A"/>
          <w:szCs w:val="20"/>
        </w:rPr>
        <w:t>consultation, unless</w:t>
      </w:r>
      <w:proofErr w:type="gramEnd"/>
      <w:r w:rsidRPr="005418F4">
        <w:rPr>
          <w:rFonts w:ascii="Arial" w:hAnsi="Arial" w:cs="Arial" w:eastAsiaTheme="minorEastAsia"/>
          <w:color w:val="1A1A1A" w:themeColor="background1" w:themeShade="1A"/>
          <w:szCs w:val="20"/>
        </w:rPr>
        <w:t xml:space="preserve">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w:t>
      </w:r>
      <w:r>
        <w:rPr>
          <w:rFonts w:ascii="Arial" w:hAnsi="Arial" w:cs="Arial" w:eastAsiaTheme="minorEastAsia"/>
          <w:color w:val="1A1A1A" w:themeColor="background1" w:themeShade="1A"/>
          <w:szCs w:val="20"/>
        </w:rPr>
        <w:t>’</w:t>
      </w:r>
      <w:r w:rsidRPr="005418F4">
        <w:rPr>
          <w:rFonts w:ascii="Arial" w:hAnsi="Arial" w:cs="Arial" w:eastAsiaTheme="minorEastAsia"/>
          <w:color w:val="1A1A1A" w:themeColor="background1" w:themeShade="1A"/>
          <w:szCs w:val="20"/>
        </w:rPr>
        <w:t xml:space="preserve"> rules on access to documents. We may consult you if we receive such a request. Any decision we make not to disclose the response is reviewable by ESMA’s Board of Appeal and the European Ombudsman.</w:t>
      </w:r>
    </w:p>
    <w:p w:rsidRPr="005418F4" w:rsidR="009C41BB" w:rsidP="009C41BB" w:rsidRDefault="009C41BB" w14:paraId="68DE224D" w14:textId="77777777">
      <w:pPr>
        <w:spacing w:after="250"/>
        <w:jc w:val="both"/>
        <w:rPr>
          <w:rFonts w:ascii="Arial" w:hAnsi="Arial" w:cs="Arial" w:eastAsiaTheme="minorEastAsia"/>
          <w:color w:val="1A1A1A" w:themeColor="background1" w:themeShade="1A"/>
          <w:szCs w:val="20"/>
        </w:rPr>
      </w:pPr>
    </w:p>
    <w:p w:rsidRPr="005418F4" w:rsidR="009C41BB" w:rsidP="009C41BB" w:rsidRDefault="009C41BB" w14:paraId="2CD6CD66" w14:textId="77777777">
      <w:pPr>
        <w:spacing w:after="250"/>
        <w:ind w:left="426" w:hanging="426"/>
        <w:jc w:val="both"/>
        <w:rPr>
          <w:rFonts w:ascii="Arial" w:hAnsi="Arial" w:cs="Arial" w:eastAsiaTheme="minorEastAsia"/>
          <w:b/>
          <w:color w:val="1A1A1A" w:themeColor="background1" w:themeShade="1A"/>
          <w:sz w:val="28"/>
          <w:szCs w:val="28"/>
        </w:rPr>
      </w:pPr>
      <w:r w:rsidRPr="005418F4">
        <w:rPr>
          <w:rFonts w:ascii="Arial" w:hAnsi="Arial" w:cs="Arial" w:eastAsiaTheme="minorEastAsia"/>
          <w:b/>
          <w:color w:val="1A1A1A" w:themeColor="background1" w:themeShade="1A"/>
          <w:sz w:val="28"/>
          <w:szCs w:val="28"/>
        </w:rPr>
        <w:t>Data protection</w:t>
      </w:r>
    </w:p>
    <w:p w:rsidRPr="00905E44" w:rsidR="009C41BB" w:rsidP="009C41BB" w:rsidRDefault="009C41BB" w14:paraId="47928B56" w14:textId="77777777">
      <w:pPr>
        <w:spacing w:after="250"/>
        <w:jc w:val="both"/>
        <w:rPr>
          <w:rFonts w:ascii="Arial" w:hAnsi="Arial" w:cs="Arial" w:eastAsiaTheme="minorEastAsia"/>
          <w:color w:val="1A1A1A" w:themeColor="background1" w:themeShade="1A"/>
          <w:lang w:eastAsia="en-GB"/>
        </w:rPr>
      </w:pPr>
      <w:r w:rsidRPr="00905E44">
        <w:rPr>
          <w:rFonts w:ascii="Arial" w:hAnsi="Arial" w:cs="Arial" w:eastAsiaTheme="minorEastAsia"/>
          <w:color w:val="1A1A1A" w:themeColor="background1" w:themeShade="1A"/>
          <w:lang w:eastAsia="en-GB"/>
        </w:rPr>
        <w:t xml:space="preserve">The protection of individuals </w:t>
      </w:r>
      <w:proofErr w:type="gramStart"/>
      <w:r w:rsidRPr="00905E44">
        <w:rPr>
          <w:rFonts w:ascii="Arial" w:hAnsi="Arial" w:cs="Arial" w:eastAsiaTheme="minorEastAsia"/>
          <w:color w:val="1A1A1A" w:themeColor="background1" w:themeShade="1A"/>
          <w:lang w:eastAsia="en-GB"/>
        </w:rPr>
        <w:t>with regard to</w:t>
      </w:r>
      <w:proofErr w:type="gramEnd"/>
      <w:r w:rsidRPr="00905E44">
        <w:rPr>
          <w:rFonts w:ascii="Arial" w:hAnsi="Arial" w:cs="Arial" w:eastAsiaTheme="minorEastAsia"/>
          <w:color w:val="1A1A1A" w:themeColor="background1" w:themeShade="1A"/>
          <w:lang w:eastAsia="en-GB"/>
        </w:rPr>
        <w:t xml:space="preserve"> the processing of personal data by the ESAs is based on Regulation (EU) 2018/1725</w:t>
      </w:r>
      <w:r w:rsidRPr="00905E44">
        <w:rPr>
          <w:rFonts w:ascii="Arial" w:hAnsi="Arial" w:cs="Arial" w:eastAsiaTheme="minorEastAsia"/>
          <w:color w:val="1A1A1A" w:themeColor="background1" w:themeShade="1A"/>
          <w:vertAlign w:val="superscript"/>
          <w:lang w:eastAsia="en-GB"/>
        </w:rPr>
        <w:footnoteReference w:id="1"/>
      </w:r>
      <w:r w:rsidRPr="00905E44">
        <w:rPr>
          <w:rFonts w:ascii="Arial" w:hAnsi="Arial" w:cs="Arial" w:eastAsiaTheme="minorEastAsia"/>
          <w:color w:val="1A1A1A" w:themeColor="background1" w:themeShade="1A"/>
          <w:lang w:eastAsia="en-GB"/>
        </w:rPr>
        <w:t xml:space="preserve">. Further information on data protection can be found under the </w:t>
      </w:r>
      <w:hyperlink w:history="1" r:id="rId12">
        <w:r w:rsidRPr="00905E44">
          <w:rPr>
            <w:rStyle w:val="Lienhypertexte"/>
            <w:rFonts w:ascii="Arial" w:hAnsi="Arial" w:cs="Arial" w:eastAsiaTheme="minorEastAsia"/>
            <w:lang w:eastAsia="en-GB"/>
          </w:rPr>
          <w:t>Legal notice</w:t>
        </w:r>
      </w:hyperlink>
      <w:r w:rsidRPr="00905E44">
        <w:rPr>
          <w:rFonts w:ascii="Arial" w:hAnsi="Arial" w:cs="Arial" w:eastAsiaTheme="minorEastAsia"/>
          <w:color w:val="1A1A1A" w:themeColor="background1" w:themeShade="1A"/>
          <w:lang w:eastAsia="en-GB"/>
        </w:rPr>
        <w:t xml:space="preserve"> section of the EBA website and under the </w:t>
      </w:r>
      <w:hyperlink w:history="1" r:id="rId13">
        <w:r w:rsidRPr="00905E44">
          <w:rPr>
            <w:rStyle w:val="Lienhypertexte"/>
            <w:rFonts w:ascii="Arial" w:hAnsi="Arial" w:cs="Arial" w:eastAsiaTheme="minorEastAsia"/>
            <w:lang w:eastAsia="en-GB"/>
          </w:rPr>
          <w:t>Legal notice</w:t>
        </w:r>
      </w:hyperlink>
      <w:r w:rsidRPr="00905E44">
        <w:rPr>
          <w:rFonts w:ascii="Arial" w:hAnsi="Arial" w:cs="Arial" w:eastAsiaTheme="minorEastAsia"/>
          <w:color w:val="1A1A1A" w:themeColor="background1" w:themeShade="1A"/>
          <w:lang w:eastAsia="en-GB"/>
        </w:rPr>
        <w:t xml:space="preserve"> section of the EIOPA website and under the </w:t>
      </w:r>
      <w:hyperlink w:history="1" r:id="rId14">
        <w:r w:rsidRPr="00905E44">
          <w:rPr>
            <w:rStyle w:val="Lienhypertexte"/>
            <w:rFonts w:ascii="Arial" w:hAnsi="Arial" w:cs="Arial" w:eastAsiaTheme="minorEastAsia"/>
            <w:lang w:eastAsia="en-GB"/>
          </w:rPr>
          <w:t>Legal notice</w:t>
        </w:r>
      </w:hyperlink>
      <w:r w:rsidRPr="00905E44">
        <w:rPr>
          <w:rFonts w:ascii="Arial" w:hAnsi="Arial" w:cs="Arial" w:eastAsiaTheme="minorEastAsia"/>
          <w:color w:val="1A1A1A" w:themeColor="background1" w:themeShade="1A"/>
          <w:lang w:eastAsia="en-GB"/>
        </w:rPr>
        <w:t xml:space="preserve"> section of the ESMA website.</w:t>
      </w:r>
    </w:p>
    <w:p w:rsidR="009C41BB" w:rsidRDefault="009C41BB" w14:paraId="1CBF5A34" w14:textId="77777777">
      <w:pPr>
        <w:rPr>
          <w:rFonts w:ascii="Arial" w:hAnsi="Arial" w:cs="Arial" w:eastAsiaTheme="minorEastAsia"/>
          <w:b/>
          <w:bCs/>
          <w:color w:val="00379F"/>
          <w:kern w:val="32"/>
          <w:sz w:val="28"/>
          <w:szCs w:val="28"/>
        </w:rPr>
      </w:pPr>
      <w:r>
        <w:rPr>
          <w:rFonts w:ascii="Arial" w:hAnsi="Arial" w:cs="Arial" w:eastAsiaTheme="minorEastAsia"/>
          <w:b/>
          <w:bCs/>
          <w:color w:val="00379F"/>
          <w:kern w:val="32"/>
          <w:sz w:val="28"/>
          <w:szCs w:val="28"/>
        </w:rPr>
        <w:br w:type="page"/>
      </w:r>
    </w:p>
    <w:p w:rsidR="009C41BB" w:rsidP="005418F4" w:rsidRDefault="009C41BB" w14:paraId="4A0A5A2F" w14:textId="77777777">
      <w:pPr>
        <w:keepNext/>
        <w:spacing w:before="240" w:after="60" w:line="360" w:lineRule="auto"/>
        <w:ind w:left="720" w:hanging="360"/>
        <w:jc w:val="both"/>
        <w:outlineLvl w:val="0"/>
        <w:rPr>
          <w:rFonts w:ascii="Arial" w:hAnsi="Arial" w:cs="Arial" w:eastAsiaTheme="minorEastAsia"/>
          <w:b/>
          <w:bCs/>
          <w:color w:val="00379F"/>
          <w:kern w:val="32"/>
          <w:sz w:val="28"/>
          <w:szCs w:val="28"/>
        </w:rPr>
      </w:pPr>
    </w:p>
    <w:p w:rsidRPr="009C41BB" w:rsidR="005418F4" w:rsidP="005418F4" w:rsidRDefault="005418F4" w14:paraId="6BE4B484" w14:textId="00DD6F7A">
      <w:pPr>
        <w:keepNext/>
        <w:spacing w:before="240" w:after="60" w:line="360" w:lineRule="auto"/>
        <w:ind w:left="720" w:hanging="360"/>
        <w:jc w:val="both"/>
        <w:outlineLvl w:val="0"/>
        <w:rPr>
          <w:rFonts w:ascii="Arial" w:hAnsi="Arial" w:cs="Arial" w:eastAsiaTheme="minorEastAsia"/>
          <w:b/>
          <w:color w:val="1A1A1A" w:themeColor="background1" w:themeShade="1A"/>
          <w:sz w:val="28"/>
          <w:szCs w:val="28"/>
        </w:rPr>
      </w:pPr>
      <w:r w:rsidRPr="009C41BB">
        <w:rPr>
          <w:rFonts w:ascii="Arial" w:hAnsi="Arial" w:cs="Arial" w:eastAsiaTheme="minorEastAsia"/>
          <w:b/>
          <w:color w:val="1A1A1A" w:themeColor="background1" w:themeShade="1A"/>
          <w:sz w:val="28"/>
          <w:szCs w:val="28"/>
        </w:rPr>
        <w:t>General information about respondent</w:t>
      </w:r>
    </w:p>
    <w:tbl>
      <w:tblPr>
        <w:tblW w:w="95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29"/>
        <w:gridCol w:w="5595"/>
      </w:tblGrid>
      <w:tr w:rsidRPr="005418F4" w:rsidR="005418F4" w:rsidTr="00123714" w14:paraId="41EDECFD" w14:textId="77777777">
        <w:tc>
          <w:tcPr>
            <w:tcW w:w="3929" w:type="dxa"/>
            <w:shd w:val="clear" w:color="auto" w:fill="auto"/>
            <w:vAlign w:val="center"/>
          </w:tcPr>
          <w:p w:rsidRPr="005418F4" w:rsidR="005418F4" w:rsidP="005418F4" w:rsidRDefault="005418F4" w14:paraId="3FEE209E" w14:textId="77777777">
            <w:pPr>
              <w:spacing w:after="250"/>
              <w:rPr>
                <w:rFonts w:ascii="Arial" w:hAnsi="Arial" w:cs="Arial" w:eastAsiaTheme="minorEastAsia"/>
                <w:color w:val="00379F"/>
                <w:szCs w:val="20"/>
              </w:rPr>
            </w:pPr>
            <w:permStart w:edGrp="everyone" w:colFirst="1" w:colLast="1" w:id="761084185"/>
            <w:r w:rsidRPr="009C41BB">
              <w:rPr>
                <w:rFonts w:ascii="Arial" w:hAnsi="Arial" w:cs="Arial" w:eastAsiaTheme="minorEastAsia"/>
                <w:szCs w:val="20"/>
              </w:rPr>
              <w:t>Name of the company / organisation</w:t>
            </w:r>
          </w:p>
        </w:tc>
        <w:sdt>
          <w:sdtPr>
            <w:rPr>
              <w:rFonts w:ascii="Arial" w:hAnsi="Arial" w:cs="Arial" w:eastAsiaTheme="minorEastAsia"/>
              <w:color w:val="808080"/>
              <w:szCs w:val="20"/>
            </w:rPr>
            <w:id w:val="651570699"/>
            <w:text/>
          </w:sdtPr>
          <w:sdtContent>
            <w:tc>
              <w:tcPr>
                <w:tcW w:w="5595" w:type="dxa"/>
                <w:shd w:val="clear" w:color="auto" w:fill="auto"/>
                <w:vAlign w:val="center"/>
              </w:tcPr>
              <w:p w:rsidRPr="005418F4" w:rsidR="005418F4" w:rsidP="005418F4" w:rsidRDefault="0079085E" w14:paraId="2D662032" w14:textId="00FCBA5B">
                <w:pPr>
                  <w:spacing w:after="250"/>
                  <w:rPr>
                    <w:rFonts w:ascii="Arial" w:hAnsi="Arial" w:cs="Arial" w:eastAsiaTheme="minorEastAsia"/>
                    <w:color w:val="808080"/>
                    <w:szCs w:val="20"/>
                  </w:rPr>
                </w:pPr>
                <w:r>
                  <w:rPr>
                    <w:rFonts w:ascii="Arial" w:hAnsi="Arial" w:cs="Arial" w:eastAsiaTheme="minorEastAsia"/>
                    <w:color w:val="808080"/>
                    <w:szCs w:val="20"/>
                  </w:rPr>
                  <w:t>Reclaim Finance</w:t>
                </w:r>
              </w:p>
            </w:tc>
          </w:sdtContent>
        </w:sdt>
      </w:tr>
      <w:tr w:rsidRPr="005418F4" w:rsidR="005418F4" w:rsidTr="00123714" w14:paraId="1994CDD1" w14:textId="77777777">
        <w:tc>
          <w:tcPr>
            <w:tcW w:w="3929" w:type="dxa"/>
            <w:shd w:val="clear" w:color="auto" w:fill="auto"/>
            <w:vAlign w:val="center"/>
          </w:tcPr>
          <w:p w:rsidRPr="009C41BB" w:rsidR="005418F4" w:rsidP="005418F4" w:rsidRDefault="005418F4" w14:paraId="5FA9830B" w14:textId="77777777">
            <w:pPr>
              <w:spacing w:after="250"/>
              <w:rPr>
                <w:rFonts w:ascii="Arial" w:hAnsi="Arial" w:cs="Arial" w:eastAsiaTheme="minorEastAsia"/>
                <w:szCs w:val="20"/>
              </w:rPr>
            </w:pPr>
            <w:permStart w:edGrp="everyone" w:colFirst="1" w:colLast="1" w:id="334762462"/>
            <w:permEnd w:id="761084185"/>
            <w:r w:rsidRPr="009C41BB">
              <w:rPr>
                <w:rFonts w:ascii="Arial" w:hAnsi="Arial" w:cs="Arial" w:eastAsiaTheme="minorEastAsia"/>
                <w:szCs w:val="20"/>
              </w:rPr>
              <w:t>Activity</w:t>
            </w:r>
          </w:p>
        </w:tc>
        <w:tc>
          <w:tcPr>
            <w:tcW w:w="5595" w:type="dxa"/>
            <w:shd w:val="clear" w:color="auto" w:fill="auto"/>
            <w:vAlign w:val="center"/>
          </w:tcPr>
          <w:p w:rsidRPr="005418F4" w:rsidR="005418F4" w:rsidP="005418F4" w:rsidRDefault="00000000" w14:paraId="051534BC" w14:textId="6706462C">
            <w:pPr>
              <w:spacing w:after="250"/>
              <w:rPr>
                <w:rFonts w:ascii="Arial" w:hAnsi="Arial" w:cs="Arial" w:eastAsiaTheme="minorEastAsia"/>
                <w:color w:val="1A1A1A" w:themeColor="background1" w:themeShade="1A"/>
                <w:szCs w:val="20"/>
              </w:rPr>
            </w:pPr>
            <w:sdt>
              <w:sdtPr>
                <w:rPr>
                  <w:rFonts w:ascii="Arial" w:hAnsi="Arial" w:cs="Arial" w:eastAsiaTheme="minorEastAsia"/>
                  <w:color w:val="1A1A1A" w:themeColor="background1" w:themeShade="1A"/>
                  <w:szCs w:val="20"/>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A74703">
                  <w:rPr>
                    <w:rFonts w:ascii="Arial" w:hAnsi="Arial" w:cs="Arial" w:eastAsiaTheme="minorEastAsia"/>
                    <w:color w:val="1A1A1A" w:themeColor="background1" w:themeShade="1A"/>
                    <w:szCs w:val="20"/>
                  </w:rPr>
                  <w:t>Audit/Legal/Individual</w:t>
                </w:r>
              </w:sdtContent>
            </w:sdt>
          </w:p>
        </w:tc>
      </w:tr>
      <w:tr w:rsidRPr="005418F4" w:rsidR="005418F4" w:rsidTr="00123714" w14:paraId="6D2BB9B6" w14:textId="77777777">
        <w:tc>
          <w:tcPr>
            <w:tcW w:w="3929" w:type="dxa"/>
            <w:shd w:val="clear" w:color="auto" w:fill="auto"/>
            <w:vAlign w:val="center"/>
          </w:tcPr>
          <w:p w:rsidRPr="009C41BB" w:rsidR="005418F4" w:rsidP="005418F4" w:rsidRDefault="005418F4" w14:paraId="7CA88345" w14:textId="77777777">
            <w:pPr>
              <w:spacing w:after="250"/>
              <w:rPr>
                <w:rFonts w:ascii="Arial" w:hAnsi="Arial" w:cs="Arial" w:eastAsiaTheme="minorEastAsia"/>
                <w:szCs w:val="20"/>
              </w:rPr>
            </w:pPr>
            <w:permStart w:edGrp="everyone" w:colFirst="1" w:colLast="1" w:id="587276884"/>
            <w:permEnd w:id="334762462"/>
            <w:r w:rsidRPr="009C41BB">
              <w:rPr>
                <w:rFonts w:ascii="Arial" w:hAnsi="Arial" w:cs="Arial" w:eastAsiaTheme="minorEastAsia"/>
                <w:szCs w:val="20"/>
              </w:rPr>
              <w:t>Are you representing an association?</w:t>
            </w:r>
          </w:p>
        </w:tc>
        <w:sdt>
          <w:sdtPr>
            <w:rPr>
              <w:rFonts w:ascii="Arial" w:hAnsi="Arial" w:cs="Arial" w:eastAsiaTheme="minorEastAsia"/>
              <w:color w:val="1A1A1A" w:themeColor="background1" w:themeShade="1A"/>
              <w:szCs w:val="20"/>
            </w:rPr>
            <w:id w:val="-226150188"/>
            <w14:checkbox>
              <w14:checked w14:val="1"/>
              <w14:checkedState w14:val="2612" w14:font="MS Gothic"/>
              <w14:uncheckedState w14:val="2610" w14:font="MS Gothic"/>
            </w14:checkbox>
          </w:sdtPr>
          <w:sdtContent>
            <w:tc>
              <w:tcPr>
                <w:tcW w:w="5595" w:type="dxa"/>
                <w:shd w:val="clear" w:color="auto" w:fill="auto"/>
                <w:vAlign w:val="center"/>
              </w:tcPr>
              <w:p w:rsidRPr="005418F4" w:rsidR="005418F4" w:rsidP="005418F4" w:rsidRDefault="00A74703" w14:paraId="67C0DEAE" w14:textId="03A30F9F">
                <w:pPr>
                  <w:spacing w:after="250"/>
                  <w:rPr>
                    <w:rFonts w:ascii="Arial" w:hAnsi="Arial" w:cs="Arial" w:eastAsiaTheme="minorEastAsia"/>
                    <w:color w:val="1A1A1A" w:themeColor="background1" w:themeShade="1A"/>
                    <w:szCs w:val="20"/>
                  </w:rPr>
                </w:pPr>
                <w:r>
                  <w:rPr>
                    <w:rFonts w:hint="eastAsia" w:ascii="MS Gothic" w:hAnsi="MS Gothic" w:eastAsia="MS Gothic" w:cs="Arial"/>
                    <w:color w:val="1A1A1A" w:themeColor="background1" w:themeShade="1A"/>
                    <w:szCs w:val="20"/>
                  </w:rPr>
                  <w:t>☒</w:t>
                </w:r>
              </w:p>
            </w:tc>
          </w:sdtContent>
        </w:sdt>
      </w:tr>
      <w:tr w:rsidRPr="005418F4" w:rsidR="005418F4" w:rsidTr="00123714" w14:paraId="7877AB38" w14:textId="77777777">
        <w:tc>
          <w:tcPr>
            <w:tcW w:w="3929" w:type="dxa"/>
            <w:shd w:val="clear" w:color="auto" w:fill="auto"/>
            <w:vAlign w:val="center"/>
          </w:tcPr>
          <w:p w:rsidRPr="009C41BB" w:rsidR="005418F4" w:rsidP="005418F4" w:rsidRDefault="005418F4" w14:paraId="418068AA" w14:textId="77777777">
            <w:pPr>
              <w:spacing w:after="250"/>
              <w:rPr>
                <w:rFonts w:ascii="Arial" w:hAnsi="Arial" w:cs="Arial" w:eastAsiaTheme="minorEastAsia"/>
                <w:szCs w:val="20"/>
              </w:rPr>
            </w:pPr>
            <w:permStart w:edGrp="everyone" w:colFirst="1" w:colLast="1" w:id="1969555385"/>
            <w:permEnd w:id="587276884"/>
            <w:r w:rsidRPr="009C41BB">
              <w:rPr>
                <w:rFonts w:ascii="Arial" w:hAnsi="Arial" w:cs="Arial" w:eastAsiaTheme="minorEastAsia"/>
                <w:szCs w:val="20"/>
              </w:rPr>
              <w:t>Country/Region</w:t>
            </w:r>
          </w:p>
        </w:tc>
        <w:sdt>
          <w:sdtPr>
            <w:rPr>
              <w:rFonts w:ascii="Arial" w:hAnsi="Arial" w:cs="Arial" w:eastAsiaTheme="minorEastAsia"/>
              <w:color w:val="1A1A1A" w:themeColor="background1" w:themeShade="1A"/>
              <w:szCs w:val="20"/>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rsidRPr="005418F4" w:rsidR="005418F4" w:rsidP="005418F4" w:rsidRDefault="00A74703" w14:paraId="763C0ACF" w14:textId="638BF600">
                <w:pPr>
                  <w:spacing w:after="250"/>
                  <w:rPr>
                    <w:rFonts w:ascii="Arial" w:hAnsi="Arial" w:cs="Arial" w:eastAsiaTheme="minorEastAsia"/>
                    <w:color w:val="1A1A1A" w:themeColor="background1" w:themeShade="1A"/>
                    <w:szCs w:val="20"/>
                  </w:rPr>
                </w:pPr>
                <w:r>
                  <w:rPr>
                    <w:rFonts w:ascii="Arial" w:hAnsi="Arial" w:cs="Arial" w:eastAsiaTheme="minorEastAsia"/>
                    <w:color w:val="1A1A1A" w:themeColor="background1" w:themeShade="1A"/>
                    <w:szCs w:val="20"/>
                  </w:rPr>
                  <w:t>France</w:t>
                </w:r>
              </w:p>
            </w:tc>
          </w:sdtContent>
        </w:sdt>
      </w:tr>
      <w:permEnd w:id="1969555385"/>
    </w:tbl>
    <w:p w:rsidRPr="005418F4" w:rsidR="005418F4" w:rsidP="005418F4" w:rsidRDefault="005418F4" w14:paraId="21F085A5" w14:textId="77777777">
      <w:pPr>
        <w:spacing w:after="250"/>
        <w:jc w:val="both"/>
        <w:rPr>
          <w:rFonts w:ascii="Arial" w:hAnsi="Arial" w:cs="Arial" w:eastAsiaTheme="minorEastAsia"/>
          <w:color w:val="1A1A1A" w:themeColor="background1" w:themeShade="1A"/>
          <w:szCs w:val="20"/>
        </w:rPr>
      </w:pPr>
    </w:p>
    <w:p w:rsidRPr="009C41BB" w:rsidR="005418F4" w:rsidP="005418F4" w:rsidRDefault="005418F4" w14:paraId="2343DFFD" w14:textId="77777777">
      <w:pPr>
        <w:keepNext/>
        <w:spacing w:before="240" w:after="60" w:line="360" w:lineRule="auto"/>
        <w:ind w:left="720" w:hanging="360"/>
        <w:jc w:val="both"/>
        <w:outlineLvl w:val="0"/>
        <w:rPr>
          <w:rFonts w:ascii="Arial" w:hAnsi="Arial" w:cs="Arial" w:eastAsiaTheme="minorEastAsia"/>
          <w:b/>
          <w:color w:val="1A1A1A" w:themeColor="background1" w:themeShade="1A"/>
          <w:sz w:val="28"/>
          <w:szCs w:val="28"/>
        </w:rPr>
      </w:pPr>
      <w:r w:rsidRPr="009C41BB">
        <w:rPr>
          <w:rFonts w:ascii="Arial" w:hAnsi="Arial" w:cs="Arial" w:eastAsiaTheme="minorEastAsia"/>
          <w:b/>
          <w:color w:val="1A1A1A" w:themeColor="background1" w:themeShade="1A"/>
          <w:sz w:val="28"/>
          <w:szCs w:val="28"/>
        </w:rPr>
        <w:t>Questions</w:t>
      </w:r>
    </w:p>
    <w:p w:rsidR="009C41BB" w:rsidP="009C41BB" w:rsidRDefault="009C41BB" w14:paraId="3423BAEF" w14:textId="1C4B4347">
      <w:pPr>
        <w:pStyle w:val="Questionstyle"/>
        <w:numPr>
          <w:ilvl w:val="0"/>
          <w:numId w:val="42"/>
        </w:numPr>
      </w:pPr>
      <w:bookmarkStart w:name="_Hlk131609827" w:id="0"/>
      <w:r>
        <w:t>: 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0"/>
    <w:p w:rsidR="009C41BB" w:rsidP="009C41BB" w:rsidRDefault="009C41BB" w14:paraId="59C73552" w14:textId="77777777">
      <w:r>
        <w:t>&lt;ESMA_QUESTION_SFDR_1&gt;</w:t>
      </w:r>
      <w:permStart w:edGrp="everyone" w:id="5929778"/>
      <w:permEnd w:id="5929778"/>
    </w:p>
    <w:p w:rsidR="009C41BB" w:rsidP="009C41BB" w:rsidRDefault="009C41BB" w14:paraId="4A55641A" w14:textId="1DFE558D">
      <w:permStart w:edGrp="everyone" w:id="1348034591"/>
      <w:r>
        <w:t>TYPE YOUR TEXT HERE</w:t>
      </w:r>
    </w:p>
    <w:permEnd w:id="1348034591"/>
    <w:p w:rsidR="009C41BB" w:rsidP="009C41BB" w:rsidRDefault="009C41BB" w14:paraId="48EE2711" w14:textId="77777777">
      <w:r>
        <w:t>&lt;ESMA_QUESTION_SFDR_1&gt;</w:t>
      </w:r>
    </w:p>
    <w:p w:rsidR="009C41BB" w:rsidP="009C41BB" w:rsidRDefault="009C41BB" w14:paraId="735D870C" w14:textId="77777777"/>
    <w:p w:rsidR="009C41BB" w:rsidP="009C41BB" w:rsidRDefault="009C41BB" w14:paraId="6612C953" w14:textId="77777777">
      <w:pPr>
        <w:pStyle w:val="Questionstyle"/>
        <w:numPr>
          <w:ilvl w:val="0"/>
          <w:numId w:val="42"/>
        </w:numPr>
      </w:pPr>
      <w:bookmarkStart w:name="_Hlk131609829" w:id="1"/>
      <w:r>
        <w:t>: Would you recommend any other mandatory social indicator or adjust any of the ones proposed?</w:t>
      </w:r>
    </w:p>
    <w:bookmarkEnd w:id="1"/>
    <w:p w:rsidR="009C41BB" w:rsidP="009C41BB" w:rsidRDefault="009C41BB" w14:paraId="79C259A1" w14:textId="77777777">
      <w:r>
        <w:t>&lt;ESMA_QUESTION_SFDR_2&gt;</w:t>
      </w:r>
    </w:p>
    <w:p w:rsidR="009C41BB" w:rsidP="009C41BB" w:rsidRDefault="009C41BB" w14:paraId="2FF56595" w14:textId="77777777">
      <w:permStart w:edGrp="everyone" w:id="1140268191"/>
      <w:r>
        <w:t>TYPE YOUR TEXT HERE</w:t>
      </w:r>
    </w:p>
    <w:permEnd w:id="1140268191"/>
    <w:p w:rsidR="009C41BB" w:rsidP="009C41BB" w:rsidRDefault="009C41BB" w14:paraId="7446D4C6" w14:textId="77777777">
      <w:r>
        <w:t>&lt;ESMA_QUESTION_SFDR_2&gt;</w:t>
      </w:r>
    </w:p>
    <w:p w:rsidR="009C41BB" w:rsidP="009C41BB" w:rsidRDefault="009C41BB" w14:paraId="5C5DB35A" w14:textId="77777777"/>
    <w:p w:rsidR="009C41BB" w:rsidP="009C41BB" w:rsidRDefault="009C41BB" w14:paraId="11B6749E" w14:textId="77777777">
      <w:pPr>
        <w:pStyle w:val="Questionstyle"/>
        <w:numPr>
          <w:ilvl w:val="0"/>
          <w:numId w:val="42"/>
        </w:numPr>
      </w:pPr>
      <w:bookmarkStart w:name="_Hlk131609830" w:id="2"/>
      <w:r>
        <w:t xml:space="preserve">: Do you agree with the newly proposed opt-in social indicators in Annex I, Table III (excessive use of non-guaranteed-hour employees in investee companies, 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w:t>
      </w:r>
      <w:r>
        <w:lastRenderedPageBreak/>
        <w:t>by the operations of investee companies, lack of grievance/complaints handling mechanism for consumers/ end-users of the investee companies)?</w:t>
      </w:r>
    </w:p>
    <w:bookmarkEnd w:id="2"/>
    <w:p w:rsidR="009C41BB" w:rsidP="009C41BB" w:rsidRDefault="009C41BB" w14:paraId="1FA47A9C" w14:textId="77777777">
      <w:r>
        <w:t>&lt;ESMA_QUESTION_SFDR_3&gt;</w:t>
      </w:r>
    </w:p>
    <w:p w:rsidR="009C41BB" w:rsidP="009C41BB" w:rsidRDefault="009C41BB" w14:paraId="040088C5" w14:textId="77777777">
      <w:permStart w:edGrp="everyone" w:id="1930569352"/>
      <w:r>
        <w:t>TYPE YOUR TEXT HERE</w:t>
      </w:r>
    </w:p>
    <w:permEnd w:id="1930569352"/>
    <w:p w:rsidR="009C41BB" w:rsidP="009C41BB" w:rsidRDefault="009C41BB" w14:paraId="238B95BB" w14:textId="77777777">
      <w:r>
        <w:t>&lt;ESMA_QUESTION_SFDR_3&gt;</w:t>
      </w:r>
    </w:p>
    <w:p w:rsidR="009C41BB" w:rsidP="009C41BB" w:rsidRDefault="009C41BB" w14:paraId="3CFBE832" w14:textId="77777777"/>
    <w:p w:rsidR="009C41BB" w:rsidP="009C41BB" w:rsidRDefault="009C41BB" w14:paraId="2707A806" w14:textId="77777777">
      <w:pPr>
        <w:pStyle w:val="Questionstyle"/>
        <w:numPr>
          <w:ilvl w:val="0"/>
          <w:numId w:val="42"/>
        </w:numPr>
      </w:pPr>
      <w:bookmarkStart w:name="_Hlk131609831" w:id="3"/>
      <w:r>
        <w:t>: Would you recommend any other social indicator or adjust any of the ones proposed?</w:t>
      </w:r>
    </w:p>
    <w:bookmarkEnd w:id="3"/>
    <w:p w:rsidR="009C41BB" w:rsidP="009C41BB" w:rsidRDefault="009C41BB" w14:paraId="6BC5AA32" w14:textId="77777777">
      <w:r>
        <w:t>&lt;ESMA_QUESTION_SFDR_4&gt;</w:t>
      </w:r>
    </w:p>
    <w:p w:rsidR="009C41BB" w:rsidP="009C41BB" w:rsidRDefault="009C41BB" w14:paraId="191F2CF6" w14:textId="77777777">
      <w:permStart w:edGrp="everyone" w:id="2056993415"/>
      <w:r>
        <w:t>TYPE YOUR TEXT HERE</w:t>
      </w:r>
    </w:p>
    <w:permEnd w:id="2056993415"/>
    <w:p w:rsidR="009C41BB" w:rsidP="009C41BB" w:rsidRDefault="009C41BB" w14:paraId="5C0CA950" w14:textId="77777777">
      <w:r>
        <w:t>&lt;ESMA_QUESTION_SFDR_4&gt;</w:t>
      </w:r>
    </w:p>
    <w:p w:rsidR="009C41BB" w:rsidP="009C41BB" w:rsidRDefault="009C41BB" w14:paraId="6CC85AFF" w14:textId="77777777"/>
    <w:p w:rsidR="009C41BB" w:rsidP="009C41BB" w:rsidRDefault="009C41BB" w14:paraId="5D57C8EB" w14:textId="77777777">
      <w:pPr>
        <w:pStyle w:val="Questionstyle"/>
        <w:numPr>
          <w:ilvl w:val="0"/>
          <w:numId w:val="42"/>
        </w:numPr>
      </w:pPr>
      <w:bookmarkStart w:name="_Hlk131609833" w:id="4"/>
      <w:r>
        <w:t>: Do you agree with the changes proposed to the existing mandatory and opt-in social indicators in Annex I, Table I and III (</w:t>
      </w:r>
      <w:proofErr w:type="gramStart"/>
      <w:r>
        <w:t>i.e.</w:t>
      </w:r>
      <w:proofErr w:type="gramEnd"/>
      <w:r>
        <w:t xml:space="preserve"> replacing the UN Global Compact Principles with the UN Guiding Principles and ILO Declaration on Fundamental Principles and Rights at Work)? Do you have any additional suggestions for changes to other indicators not considered by the ESAs?</w:t>
      </w:r>
    </w:p>
    <w:bookmarkEnd w:id="4"/>
    <w:p w:rsidR="009C41BB" w:rsidP="009C41BB" w:rsidRDefault="009C41BB" w14:paraId="0BC3C8F3" w14:textId="77777777">
      <w:r>
        <w:t>&lt;ESMA_QUESTION_SFDR_5&gt;</w:t>
      </w:r>
    </w:p>
    <w:p w:rsidR="009C41BB" w:rsidP="009C41BB" w:rsidRDefault="009C41BB" w14:paraId="7100C321" w14:textId="77777777">
      <w:permStart w:edGrp="everyone" w:id="452221127"/>
      <w:r>
        <w:t>TYPE YOUR TEXT HERE</w:t>
      </w:r>
    </w:p>
    <w:permEnd w:id="452221127"/>
    <w:p w:rsidR="009C41BB" w:rsidP="009C41BB" w:rsidRDefault="009C41BB" w14:paraId="454AB350" w14:textId="77777777">
      <w:r>
        <w:t>&lt;ESMA_QUESTION_SFDR_5&gt;</w:t>
      </w:r>
    </w:p>
    <w:p w:rsidR="009C41BB" w:rsidP="009C41BB" w:rsidRDefault="009C41BB" w14:paraId="5DCDD44F" w14:textId="77777777"/>
    <w:p w:rsidR="009C41BB" w:rsidP="009C41BB" w:rsidRDefault="009C41BB" w14:paraId="3C56C925" w14:textId="77777777">
      <w:pPr>
        <w:pStyle w:val="Questionstyle"/>
        <w:numPr>
          <w:ilvl w:val="0"/>
          <w:numId w:val="42"/>
        </w:numPr>
      </w:pPr>
      <w:bookmarkStart w:name="_Hlk131609834" w:id="5"/>
      <w:r>
        <w:t>: For real estate assets, do you consider relevant to apply any PAI indicator related to social matters to the entity in charge of the management of the real estate assets the FMP invested in?</w:t>
      </w:r>
    </w:p>
    <w:bookmarkEnd w:id="5"/>
    <w:p w:rsidR="009C41BB" w:rsidP="009C41BB" w:rsidRDefault="009C41BB" w14:paraId="686F603D" w14:textId="77777777">
      <w:r>
        <w:t>&lt;ESMA_QUESTION_SFDR_6&gt;</w:t>
      </w:r>
    </w:p>
    <w:p w:rsidR="009C41BB" w:rsidP="009C41BB" w:rsidRDefault="009C41BB" w14:paraId="13CBEF29" w14:textId="77777777">
      <w:permStart w:edGrp="everyone" w:id="887372501"/>
      <w:r>
        <w:t>TYPE YOUR TEXT HERE</w:t>
      </w:r>
    </w:p>
    <w:permEnd w:id="887372501"/>
    <w:p w:rsidR="009C41BB" w:rsidP="009C41BB" w:rsidRDefault="009C41BB" w14:paraId="11A2BA0F" w14:textId="77777777">
      <w:r>
        <w:t>&lt;ESMA_QUESTION_SFDR_6&gt;</w:t>
      </w:r>
    </w:p>
    <w:p w:rsidR="009C41BB" w:rsidP="009C41BB" w:rsidRDefault="009C41BB" w14:paraId="2AC893D6" w14:textId="77777777"/>
    <w:p w:rsidRPr="00D5110C" w:rsidR="009C41BB" w:rsidP="009C41BB" w:rsidRDefault="009C41BB" w14:paraId="6BDC5008" w14:textId="77777777">
      <w:pPr>
        <w:pStyle w:val="Questionstyle"/>
        <w:numPr>
          <w:ilvl w:val="0"/>
          <w:numId w:val="42"/>
        </w:numPr>
      </w:pPr>
      <w:bookmarkStart w:name="_Hlk131609836" w:id="6"/>
      <w:r w:rsidRPr="00D5110C">
        <w:t xml:space="preserve">: For real estate assets, do you see any merit in adjusting the definition of PAI indicator 22 of Table 1 </w:t>
      </w:r>
      <w:proofErr w:type="gramStart"/>
      <w:r w:rsidRPr="00D5110C">
        <w:t>in order to</w:t>
      </w:r>
      <w:proofErr w:type="gramEnd"/>
      <w:r w:rsidRPr="00D5110C">
        <w:t xml:space="preserve"> align it with the EU Taxonomy criteria </w:t>
      </w:r>
      <w:r w:rsidRPr="00D5110C">
        <w:lastRenderedPageBreak/>
        <w:t>applicable to the DNSH of the climate change mitigation objective under the climate change adaptation objective?</w:t>
      </w:r>
    </w:p>
    <w:bookmarkEnd w:id="6"/>
    <w:p w:rsidR="009C41BB" w:rsidP="009C41BB" w:rsidRDefault="009C41BB" w14:paraId="7DF73432" w14:textId="77777777">
      <w:r>
        <w:t>&lt;ESMA_QUESTION_SFDR_7&gt;</w:t>
      </w:r>
    </w:p>
    <w:p w:rsidR="009C41BB" w:rsidP="009C41BB" w:rsidRDefault="00A74703" w14:paraId="0F9A5495" w14:textId="25CCFD36">
      <w:pPr>
        <w:rPr>
          <w:lang w:val="en-US"/>
        </w:rPr>
      </w:pPr>
      <w:permStart w:edGrp="everyone" w:id="1335120249"/>
      <w:r w:rsidRPr="00A74703">
        <w:rPr>
          <w:lang w:val="en-US"/>
        </w:rPr>
        <w:t>Adjusting the criteria to ali</w:t>
      </w:r>
      <w:r>
        <w:rPr>
          <w:lang w:val="en-US"/>
        </w:rPr>
        <w:t xml:space="preserve">gn it with the EU taxonomy criteria is useful to ensure coherency between financial institutions’ reporting of on buildings and taxonomy reporting, thus also helping to identify how much support is devoted to efficient real estate assets. </w:t>
      </w:r>
    </w:p>
    <w:p w:rsidRPr="00A74703" w:rsidR="00A74703" w:rsidP="009C41BB" w:rsidRDefault="00A74703" w14:paraId="1C32E06E" w14:textId="0E88B43D">
      <w:pPr>
        <w:rPr>
          <w:lang w:val="en-US"/>
        </w:rPr>
      </w:pPr>
      <w:r w:rsidRPr="0F4EAF91" w:rsidR="00A74703">
        <w:rPr>
          <w:lang w:val="en-US"/>
        </w:rPr>
        <w:t xml:space="preserve">However, it should also be noted that major improvements to EU real estate energy performance are mandated by the recent EPBD that notably requires deeper involvement of the EU financial sector in building renovation. In this context, we believe </w:t>
      </w:r>
      <w:r w:rsidRPr="0F4EAF91" w:rsidR="00A74703">
        <w:rPr>
          <w:b w:val="1"/>
          <w:bCs w:val="1"/>
          <w:lang w:val="en-US"/>
        </w:rPr>
        <w:t>the DNSH criteria for real estate should be updated considering both the EU Taxonomy and the EPBD</w:t>
      </w:r>
      <w:r w:rsidRPr="0F4EAF91" w:rsidR="00A74703">
        <w:rPr>
          <w:lang w:val="en-US"/>
        </w:rPr>
        <w:t xml:space="preserve">. We call on the ESMA to check the coherence of the proposed criteria, and any </w:t>
      </w:r>
      <w:r w:rsidRPr="0F4EAF91" w:rsidR="00A74703">
        <w:rPr>
          <w:lang w:val="en-US"/>
        </w:rPr>
        <w:t>additional</w:t>
      </w:r>
      <w:r w:rsidRPr="0F4EAF91" w:rsidR="00A74703">
        <w:rPr>
          <w:lang w:val="en-US"/>
        </w:rPr>
        <w:t xml:space="preserve"> criteria regarding building renovation, against EPBD objectives and to further </w:t>
      </w:r>
      <w:r w:rsidRPr="0F4EAF91" w:rsidR="76AB13E7">
        <w:rPr>
          <w:lang w:val="en-US"/>
        </w:rPr>
        <w:t>adjust</w:t>
      </w:r>
      <w:r w:rsidRPr="0F4EAF91" w:rsidR="00A74703">
        <w:rPr>
          <w:lang w:val="en-US"/>
        </w:rPr>
        <w:t xml:space="preserve"> them accordingly.</w:t>
      </w:r>
    </w:p>
    <w:permEnd w:id="1335120249"/>
    <w:p w:rsidRPr="00A74703" w:rsidR="009C41BB" w:rsidP="009C41BB" w:rsidRDefault="009C41BB" w14:paraId="2EAB99B1" w14:textId="77777777">
      <w:pPr>
        <w:rPr>
          <w:lang w:val="en-US"/>
        </w:rPr>
      </w:pPr>
      <w:r w:rsidRPr="00A74703">
        <w:rPr>
          <w:lang w:val="en-US"/>
        </w:rPr>
        <w:t>&lt;ESMA_QUESTION_SFDR_7&gt;</w:t>
      </w:r>
    </w:p>
    <w:p w:rsidRPr="00A74703" w:rsidR="009C41BB" w:rsidP="009C41BB" w:rsidRDefault="009C41BB" w14:paraId="0833F2AC" w14:textId="77777777">
      <w:pPr>
        <w:rPr>
          <w:lang w:val="en-US"/>
        </w:rPr>
      </w:pPr>
    </w:p>
    <w:p w:rsidR="009C41BB" w:rsidP="009C41BB" w:rsidRDefault="009C41BB" w14:paraId="4BF15C04" w14:textId="77777777">
      <w:pPr>
        <w:pStyle w:val="Questionstyle"/>
        <w:numPr>
          <w:ilvl w:val="0"/>
          <w:numId w:val="42"/>
        </w:numPr>
      </w:pPr>
      <w:bookmarkStart w:name="_Hlk131609837" w:id="7"/>
      <w:r>
        <w:t>: Do you see any challenges in the interaction between the definition ‘enterprise value’ and ‘current value of investment’ for the calculation of the PAI indicators?</w:t>
      </w:r>
    </w:p>
    <w:bookmarkEnd w:id="7"/>
    <w:p w:rsidR="009C41BB" w:rsidP="009C41BB" w:rsidRDefault="009C41BB" w14:paraId="0563F3C0" w14:textId="77777777">
      <w:r>
        <w:t>&lt;ESMA_QUESTION_SFDR_8&gt;</w:t>
      </w:r>
    </w:p>
    <w:p w:rsidR="009C41BB" w:rsidP="009C41BB" w:rsidRDefault="009C41BB" w14:paraId="668ACE9C" w14:textId="77777777">
      <w:permStart w:edGrp="everyone" w:id="1288714632"/>
      <w:r>
        <w:t>TYPE YOUR TEXT HERE</w:t>
      </w:r>
    </w:p>
    <w:permEnd w:id="1288714632"/>
    <w:p w:rsidR="009C41BB" w:rsidP="009C41BB" w:rsidRDefault="009C41BB" w14:paraId="762529E9" w14:textId="77777777">
      <w:r>
        <w:t>&lt;ESMA_QUESTION_SFDR_8&gt;</w:t>
      </w:r>
    </w:p>
    <w:p w:rsidR="009C41BB" w:rsidP="009C41BB" w:rsidRDefault="009C41BB" w14:paraId="0AC5B76C" w14:textId="77777777"/>
    <w:p w:rsidR="009C41BB" w:rsidP="009C41BB" w:rsidRDefault="009C41BB" w14:paraId="5E1A73BD" w14:textId="77777777">
      <w:pPr>
        <w:pStyle w:val="Questionstyle"/>
        <w:numPr>
          <w:ilvl w:val="0"/>
          <w:numId w:val="42"/>
        </w:numPr>
      </w:pPr>
      <w:bookmarkStart w:name="_Hlk131609838" w:id="8"/>
      <w:r>
        <w:t xml:space="preserve">: Do you have any comments or proposed adjustments to the new formulae suggested in Annex I?  </w:t>
      </w:r>
    </w:p>
    <w:bookmarkEnd w:id="8"/>
    <w:p w:rsidR="009C41BB" w:rsidP="009C41BB" w:rsidRDefault="009C41BB" w14:paraId="37D6FAC5" w14:textId="77777777">
      <w:r>
        <w:t>&lt;ESMA_QUESTION_SFDR_9&gt;</w:t>
      </w:r>
    </w:p>
    <w:p w:rsidR="009C41BB" w:rsidP="009C41BB" w:rsidRDefault="009C41BB" w14:paraId="4D5F1AA0" w14:textId="77777777">
      <w:permStart w:edGrp="everyone" w:id="2059607147"/>
      <w:r>
        <w:t>TYPE YOUR TEXT HERE</w:t>
      </w:r>
    </w:p>
    <w:permEnd w:id="2059607147"/>
    <w:p w:rsidR="009C41BB" w:rsidP="009C41BB" w:rsidRDefault="009C41BB" w14:paraId="548D5BC4" w14:textId="77777777">
      <w:r>
        <w:t>&lt;ESMA_QUESTION_SFDR_9&gt;</w:t>
      </w:r>
    </w:p>
    <w:p w:rsidR="009C41BB" w:rsidP="009C41BB" w:rsidRDefault="009C41BB" w14:paraId="4E0660C5" w14:textId="77777777"/>
    <w:p w:rsidR="009C41BB" w:rsidP="009C41BB" w:rsidRDefault="009C41BB" w14:paraId="65BB34FD" w14:textId="77777777">
      <w:pPr>
        <w:pStyle w:val="Questionstyle"/>
        <w:numPr>
          <w:ilvl w:val="0"/>
          <w:numId w:val="42"/>
        </w:numPr>
      </w:pPr>
      <w:bookmarkStart w:name="_Hlk131609840" w:id="9"/>
      <w:r>
        <w:t xml:space="preserve">: Do you have any comments on the further clarifications or technical changes to the current list of indicators? Did you encounter any issues in the calculation of the adverse impact for any of the other existing indicators in Annex I?  </w:t>
      </w:r>
    </w:p>
    <w:bookmarkEnd w:id="9"/>
    <w:p w:rsidR="009C41BB" w:rsidP="009C41BB" w:rsidRDefault="009C41BB" w14:paraId="59ECBC6E" w14:textId="77777777">
      <w:r>
        <w:t>&lt;ESMA_QUESTION_SFDR_10&gt;</w:t>
      </w:r>
    </w:p>
    <w:p w:rsidR="009C41BB" w:rsidP="009C41BB" w:rsidRDefault="009C41BB" w14:paraId="6A059EBA" w14:textId="77777777">
      <w:permStart w:edGrp="everyone" w:id="1591695117"/>
      <w:r>
        <w:lastRenderedPageBreak/>
        <w:t>TYPE YOUR TEXT HERE</w:t>
      </w:r>
    </w:p>
    <w:permEnd w:id="1591695117"/>
    <w:p w:rsidR="009C41BB" w:rsidP="009C41BB" w:rsidRDefault="009C41BB" w14:paraId="74A72C72" w14:textId="77777777">
      <w:r>
        <w:t>&lt;ESMA_QUESTION_SFDR_10&gt;</w:t>
      </w:r>
    </w:p>
    <w:p w:rsidR="009C41BB" w:rsidP="009C41BB" w:rsidRDefault="009C41BB" w14:paraId="4C60FA50" w14:textId="77777777"/>
    <w:p w:rsidR="009C41BB" w:rsidP="009C41BB" w:rsidRDefault="009C41BB" w14:paraId="3F6FB44A" w14:textId="77777777">
      <w:pPr>
        <w:pStyle w:val="Questionstyle"/>
        <w:numPr>
          <w:ilvl w:val="0"/>
          <w:numId w:val="42"/>
        </w:numPr>
      </w:pPr>
      <w:bookmarkStart w:name="_Hlk131609841" w:id="10"/>
      <w:r>
        <w:t>: Do you agree with the proposal to require the disclosure of the share of information for the PAI indicators for which the financial market participant relies on information directly from investee companies?</w:t>
      </w:r>
    </w:p>
    <w:bookmarkEnd w:id="10"/>
    <w:p w:rsidR="009C41BB" w:rsidP="009C41BB" w:rsidRDefault="009C41BB" w14:paraId="3B6463EF" w14:textId="77777777">
      <w:r>
        <w:t>&lt;ESMA_QUESTION_SFDR_11&gt;</w:t>
      </w:r>
    </w:p>
    <w:p w:rsidR="009C41BB" w:rsidP="009C41BB" w:rsidRDefault="009C41BB" w14:paraId="155A94A1" w14:textId="77777777">
      <w:permStart w:edGrp="everyone" w:id="1653823566"/>
      <w:r>
        <w:t>TYPE YOUR TEXT HERE</w:t>
      </w:r>
    </w:p>
    <w:permEnd w:id="1653823566"/>
    <w:p w:rsidR="009C41BB" w:rsidP="009C41BB" w:rsidRDefault="009C41BB" w14:paraId="4F049EEF" w14:textId="77777777">
      <w:r>
        <w:t>&lt;ESMA_QUESTION_SFDR_11&gt;</w:t>
      </w:r>
    </w:p>
    <w:p w:rsidR="009C41BB" w:rsidP="009C41BB" w:rsidRDefault="009C41BB" w14:paraId="7F52045F" w14:textId="77777777"/>
    <w:p w:rsidRPr="00D5110C" w:rsidR="009C41BB" w:rsidP="009C41BB" w:rsidRDefault="009C41BB" w14:paraId="087EB0A5" w14:textId="77777777">
      <w:pPr>
        <w:pStyle w:val="Questionstyle"/>
        <w:numPr>
          <w:ilvl w:val="0"/>
          <w:numId w:val="42"/>
        </w:numPr>
      </w:pPr>
      <w:r w:rsidRPr="00D5110C">
        <w:t>: What is your view on the approach taken in this consultation paper to define ‘all investments’? What are the advantages and drawbacks you identify? Would a change in the approach adopted for the treatment of ‘all investments’ be necessary in your view?</w:t>
      </w:r>
    </w:p>
    <w:p w:rsidR="009C41BB" w:rsidP="009C41BB" w:rsidRDefault="009C41BB" w14:paraId="7F4B4E6E" w14:textId="77777777">
      <w:r>
        <w:t>&lt;ESMA_QUESTION_SFDR_12&gt;</w:t>
      </w:r>
    </w:p>
    <w:p w:rsidR="000F5063" w:rsidP="009C41BB" w:rsidRDefault="000F5063" w14:paraId="504DD169" w14:textId="6D74377F">
      <w:permStart w:edGrp="everyone" w:id="684359195"/>
      <w:r w:rsidR="429BD62B">
        <w:rPr/>
        <w:t>As is mentioned in the consultation document, defining “</w:t>
      </w:r>
      <w:r w:rsidRPr="000F5063" w:rsidR="429BD62B">
        <w:rPr/>
        <w:t>All investments</w:t>
      </w:r>
      <w:r w:rsidR="429BD62B">
        <w:rPr/>
        <w:t>” as</w:t>
      </w:r>
      <w:r w:rsidRPr="000F5063" w:rsidR="429BD62B">
        <w:rPr/>
        <w:t xml:space="preserve"> </w:t>
      </w:r>
      <w:r w:rsidR="429BD62B">
        <w:rPr/>
        <w:t>“</w:t>
      </w:r>
      <w:r w:rsidRPr="000F5063" w:rsidR="429BD62B">
        <w:rPr/>
        <w:t xml:space="preserve">investments in the particular type of entity or real estate </w:t>
      </w:r>
      <w:r w:rsidR="429BD62B">
        <w:rPr/>
        <w:t xml:space="preserve">asset </w:t>
      </w:r>
      <w:r w:rsidRPr="000F5063" w:rsidR="429BD62B">
        <w:rPr/>
        <w:t>causing the adverse impact</w:t>
      </w:r>
      <w:r w:rsidR="429BD62B">
        <w:rPr/>
        <w:t xml:space="preserve">” </w:t>
      </w:r>
      <w:r w:rsidR="26F6A779">
        <w:rPr/>
        <w:t xml:space="preserve">has</w:t>
      </w:r>
      <w:r w:rsidR="429BD62B">
        <w:rPr/>
        <w:t xml:space="preserve"> </w:t>
      </w:r>
      <w:r w:rsidR="429BD62B">
        <w:rPr/>
        <w:t xml:space="preserve">the major advantage of linking the indicator only to the investments for which it is relevant</w:t>
      </w:r>
      <w:r w:rsidRPr="000F5063" w:rsidR="429BD62B">
        <w:rPr/>
        <w:t>.</w:t>
      </w:r>
      <w:r w:rsidR="429BD62B">
        <w:rPr/>
        <w:t xml:space="preserve"> </w:t>
      </w:r>
    </w:p>
    <w:p w:rsidR="000F5063" w:rsidP="009C41BB" w:rsidRDefault="000F5063" w14:paraId="1A3179DB" w14:textId="3710F96F">
      <w:r w:rsidR="429BD62B">
        <w:rPr/>
        <w:t xml:space="preserve">Indeed, the current definition of “all investments” aggregates the results of the reporting on each indicator at the level of the </w:t>
      </w:r>
      <w:r w:rsidR="398F14D6">
        <w:rPr/>
        <w:t>FMP</w:t>
      </w:r>
      <w:r w:rsidR="429BD62B">
        <w:rPr/>
        <w:t xml:space="preserve">, thus artificially increasing or lowering the value of the “all investments” indicator </w:t>
      </w:r>
      <w:r w:rsidR="6BCE375C">
        <w:rPr/>
        <w:t>reported depending</w:t>
      </w:r>
      <w:r w:rsidR="429BD62B">
        <w:rPr/>
        <w:t xml:space="preserve"> on how much of the </w:t>
      </w:r>
      <w:r w:rsidR="398F14D6">
        <w:rPr/>
        <w:t>FMP’s portfolio</w:t>
      </w:r>
      <w:r w:rsidR="429BD62B">
        <w:rPr/>
        <w:t xml:space="preserve"> is composed of assets/entity for which the indicator is relevant</w:t>
      </w:r>
      <w:r w:rsidR="429BD62B">
        <w:rPr/>
        <w:t xml:space="preserve">.  </w:t>
      </w:r>
      <w:r w:rsidR="429BD62B">
        <w:rPr/>
        <w:t xml:space="preserve">As the </w:t>
      </w:r>
      <w:r w:rsidR="3C1569A7">
        <w:rPr/>
        <w:t>example</w:t>
      </w:r>
      <w:r w:rsidR="429BD62B">
        <w:rPr/>
        <w:t xml:space="preserve"> provided in the consultation document shows, the values that are then reported under “all investments” </w:t>
      </w:r>
      <w:r w:rsidR="398F14D6">
        <w:rPr/>
        <w:t>could be</w:t>
      </w:r>
      <w:r w:rsidR="429BD62B">
        <w:rPr/>
        <w:t xml:space="preserve"> misleading when it comes to understanding how </w:t>
      </w:r>
      <w:r w:rsidR="429BD62B">
        <w:rPr/>
        <w:t>a</w:t>
      </w:r>
      <w:r w:rsidR="429BD62B">
        <w:rPr/>
        <w:t xml:space="preserve"> </w:t>
      </w:r>
      <w:r w:rsidR="398F14D6">
        <w:rPr/>
        <w:t>FMP</w:t>
      </w:r>
      <w:r w:rsidR="429BD62B">
        <w:rPr/>
        <w:t xml:space="preserve"> consider</w:t>
      </w:r>
      <w:r w:rsidR="398F14D6">
        <w:rPr/>
        <w:t>s</w:t>
      </w:r>
      <w:r w:rsidR="429BD62B">
        <w:rPr/>
        <w:t xml:space="preserve"> PAIs no matter what </w:t>
      </w:r>
      <w:r w:rsidR="277E7841">
        <w:rPr/>
        <w:t>its specific composition is</w:t>
      </w:r>
      <w:r w:rsidR="429BD62B">
        <w:rPr/>
        <w:t xml:space="preserve">. </w:t>
      </w:r>
    </w:p>
    <w:p w:rsidR="000F5063" w:rsidP="009C41BB" w:rsidRDefault="000F5063" w14:paraId="2236365D" w14:textId="4DE4FAA9">
      <w:r>
        <w:t xml:space="preserve">To say it differently, </w:t>
      </w:r>
      <w:r w:rsidRPr="00174F12">
        <w:rPr>
          <w:b/>
          <w:bCs/>
        </w:rPr>
        <w:t>the proposed updated definition of “all investments” enables the users of the reporting to better understand how the FMP treats different types of assets/entities regarding relevant PAIs, and therefore to have a more accurate picture of its social and environmental commitments</w:t>
      </w:r>
      <w:r>
        <w:t>.</w:t>
      </w:r>
    </w:p>
    <w:permEnd w:id="684359195"/>
    <w:p w:rsidR="009C41BB" w:rsidP="009C41BB" w:rsidRDefault="009C41BB" w14:paraId="0ECB2AE8" w14:textId="77777777">
      <w:r>
        <w:t>&lt;ESMA_QUESTION_SFDR_12&gt;</w:t>
      </w:r>
    </w:p>
    <w:p w:rsidR="009C41BB" w:rsidP="009C41BB" w:rsidRDefault="009C41BB" w14:paraId="2339BDE1" w14:textId="77777777"/>
    <w:p w:rsidR="009C41BB" w:rsidP="009C41BB" w:rsidRDefault="009C41BB" w14:paraId="79363208" w14:textId="77777777">
      <w:pPr>
        <w:pStyle w:val="Questionstyle"/>
        <w:numPr>
          <w:ilvl w:val="0"/>
          <w:numId w:val="42"/>
        </w:numPr>
      </w:pPr>
      <w:r>
        <w:t xml:space="preserve">: Do you agree with the ESAs’ proposal to only require the inclusion of information on investee companies’ value chains in the PAI calculations where </w:t>
      </w:r>
      <w:r>
        <w:lastRenderedPageBreak/>
        <w:t>the investee company reports them? If not, what would you propose as an alternative?</w:t>
      </w:r>
    </w:p>
    <w:p w:rsidR="009C41BB" w:rsidP="009C41BB" w:rsidRDefault="009C41BB" w14:paraId="2F2A602F" w14:textId="77777777">
      <w:r>
        <w:t>&lt;ESMA_QUESTION_SFDR_13&gt;</w:t>
      </w:r>
    </w:p>
    <w:p w:rsidR="00874082" w:rsidP="009C41BB" w:rsidRDefault="00874082" w14:paraId="4AA23DEC" w14:textId="09820227">
      <w:permStart w:edGrp="everyone" w:id="1426525783"/>
      <w:r w:rsidRPr="00D80B26">
        <w:rPr>
          <w:b/>
          <w:bCs/>
        </w:rPr>
        <w:t>Reclaim Finance does not agree with the ESAs’ proposal to only require the inclusion of information on investee companies’ value chains in the PAI calculations where the investee company reports them</w:t>
      </w:r>
      <w:r>
        <w:t>.</w:t>
      </w:r>
    </w:p>
    <w:p w:rsidR="00AA09CD" w:rsidP="009C41BB" w:rsidRDefault="00874082" w14:paraId="250823B7" w14:textId="0FA31F3F">
      <w:r>
        <w:t>Indeed, while we strongly agree with the ESAs’ decision to base value chain assessment of the definition of value chain laid out in the ESRS, we note that information should at least be fully reported for all indicators in Table 1 (regardless of whether the information is provided by the entity).</w:t>
      </w:r>
    </w:p>
    <w:p w:rsidR="00874082" w:rsidP="009C41BB" w:rsidRDefault="00874082" w14:paraId="140C2E96" w14:textId="6D432B0E">
      <w:r>
        <w:t>In the SFDR, Table 1 indicators are considered essential to assessing the potential “adverse impact” of a FMP’s activities. These indicators are also coherent with information required under the ESRS</w:t>
      </w:r>
      <w:r w:rsidR="00950129">
        <w:t>, where estimates and proxies can be used</w:t>
      </w:r>
      <w:r>
        <w:t xml:space="preserve">. </w:t>
      </w:r>
    </w:p>
    <w:p w:rsidR="00AA09CD" w:rsidP="009C41BB" w:rsidRDefault="00950129" w14:paraId="2436B186" w14:textId="7A92803F">
      <w:r>
        <w:t>Furthermore, w</w:t>
      </w:r>
      <w:r w:rsidR="00874082">
        <w:t>hen information is not available on Table 1</w:t>
      </w:r>
      <w:r>
        <w:t xml:space="preserve">, 2 or 3 </w:t>
      </w:r>
      <w:r w:rsidR="00874082">
        <w:t xml:space="preserve">indicators, the lack of information itself is a relevant fact for reporting users and the FMP. </w:t>
      </w:r>
    </w:p>
    <w:p w:rsidRPr="00B735AE" w:rsidR="00874082" w:rsidP="009C41BB" w:rsidRDefault="00950129" w14:paraId="0D778AE7" w14:textId="7471065F">
      <w:pPr>
        <w:rPr>
          <w:b/>
          <w:bCs/>
        </w:rPr>
      </w:pPr>
      <w:r>
        <w:t xml:space="preserve">Providing the above elements, </w:t>
      </w:r>
      <w:r w:rsidRPr="00B735AE">
        <w:rPr>
          <w:b/>
          <w:bCs/>
        </w:rPr>
        <w:t>w</w:t>
      </w:r>
      <w:r w:rsidRPr="00B735AE" w:rsidR="00874082">
        <w:rPr>
          <w:b/>
          <w:bCs/>
        </w:rPr>
        <w:t>e suggest that:</w:t>
      </w:r>
    </w:p>
    <w:p w:rsidR="00874082" w:rsidP="00874082" w:rsidRDefault="00874082" w14:paraId="09AB4B9E" w14:textId="28C7091F">
      <w:pPr>
        <w:pStyle w:val="Paragraphedeliste"/>
        <w:numPr>
          <w:ilvl w:val="0"/>
          <w:numId w:val="43"/>
        </w:numPr>
      </w:pPr>
      <w:r w:rsidRPr="00950129">
        <w:rPr>
          <w:b/>
          <w:bCs/>
        </w:rPr>
        <w:t xml:space="preserve">The FMP always reports on Table 1 indicators including </w:t>
      </w:r>
      <w:r w:rsidRPr="00950129" w:rsidR="00950129">
        <w:rPr>
          <w:b/>
          <w:bCs/>
        </w:rPr>
        <w:t>entities</w:t>
      </w:r>
      <w:r w:rsidRPr="00950129">
        <w:rPr>
          <w:b/>
          <w:bCs/>
        </w:rPr>
        <w:t xml:space="preserve"> where information is lacking by using estimates based on sectoral or activity information. These estimates should not rely on averages, but rather on high values in the sector/activity</w:t>
      </w:r>
      <w:r w:rsidR="008336A3">
        <w:rPr>
          <w:b/>
          <w:bCs/>
        </w:rPr>
        <w:t xml:space="preserve"> (</w:t>
      </w:r>
      <w:r w:rsidR="008336A3">
        <w:rPr>
          <w:rStyle w:val="normaltextrun"/>
          <w:rFonts w:ascii="Calibri" w:hAnsi="Calibri" w:cs="Calibri"/>
          <w:color w:val="000000"/>
          <w:shd w:val="clear" w:color="auto" w:fill="FFFFFF"/>
          <w:lang w:val="en-IE"/>
        </w:rPr>
        <w:t xml:space="preserve">On this topic, for GHG reporting, see: </w:t>
      </w:r>
      <w:hyperlink w:tgtFrame="_blank" w:history="1" r:id="rId19">
        <w:r w:rsidR="008336A3">
          <w:rPr>
            <w:rStyle w:val="normaltextrun"/>
            <w:rFonts w:ascii="Calibri" w:hAnsi="Calibri" w:cs="Calibri"/>
            <w:color w:val="0000FF"/>
            <w:u w:val="single"/>
            <w:shd w:val="clear" w:color="auto" w:fill="FFFFFF"/>
            <w:lang w:val="en-IE"/>
          </w:rPr>
          <w:t xml:space="preserve">“Corporate Carbon Disclosure: A critical review”, </w:t>
        </w:r>
        <w:r w:rsidR="008336A3">
          <w:rPr>
            <w:rStyle w:val="normaltextrun"/>
            <w:rFonts w:ascii="Calibri" w:hAnsi="Calibri" w:cs="Calibri"/>
            <w:i/>
            <w:iCs/>
            <w:color w:val="0000FF"/>
            <w:u w:val="single"/>
            <w:shd w:val="clear" w:color="auto" w:fill="FFFFFF"/>
            <w:lang w:val="en-IE"/>
          </w:rPr>
          <w:t>SSRN</w:t>
        </w:r>
        <w:r w:rsidR="008336A3">
          <w:rPr>
            <w:rStyle w:val="normaltextrun"/>
            <w:rFonts w:ascii="Calibri" w:hAnsi="Calibri" w:cs="Calibri"/>
            <w:color w:val="0000FF"/>
            <w:u w:val="single"/>
            <w:shd w:val="clear" w:color="auto" w:fill="FFFFFF"/>
            <w:lang w:val="en-IE"/>
          </w:rPr>
          <w:t>, Brander and al, 2023</w:t>
        </w:r>
      </w:hyperlink>
      <w:r w:rsidR="008336A3">
        <w:rPr>
          <w:rStyle w:val="eop"/>
          <w:rFonts w:ascii="Calibri" w:hAnsi="Calibri" w:cs="Calibri"/>
          <w:color w:val="000000"/>
          <w:shd w:val="clear" w:color="auto" w:fill="FFFFFF"/>
        </w:rPr>
        <w:t> )</w:t>
      </w:r>
      <w:r>
        <w:t xml:space="preserve">. Such high estimates will ensure that entities with lacking reporting </w:t>
      </w:r>
      <w:r w:rsidR="00950129">
        <w:t>do not benefit from a “</w:t>
      </w:r>
      <w:proofErr w:type="gramStart"/>
      <w:r w:rsidR="00950129">
        <w:t>free-rider</w:t>
      </w:r>
      <w:proofErr w:type="gramEnd"/>
      <w:r w:rsidR="00950129">
        <w:t>” effect and that FMPs are incentivized to push them to report more accurately.</w:t>
      </w:r>
    </w:p>
    <w:p w:rsidR="009C41BB" w:rsidP="009C41BB" w:rsidRDefault="00950129" w14:paraId="07B8A78C" w14:textId="7A337360">
      <w:pPr>
        <w:pStyle w:val="Paragraphedeliste"/>
        <w:numPr>
          <w:ilvl w:val="0"/>
          <w:numId w:val="43"/>
        </w:numPr>
        <w:rPr>
          <w:b/>
          <w:bCs/>
        </w:rPr>
      </w:pPr>
      <w:r w:rsidRPr="00950129">
        <w:rPr>
          <w:b/>
          <w:bCs/>
        </w:rPr>
        <w:t>The FMP provides for each indicator in Table 1 and for any indicator reported in Table</w:t>
      </w:r>
      <w:r>
        <w:rPr>
          <w:b/>
          <w:bCs/>
        </w:rPr>
        <w:t>s</w:t>
      </w:r>
      <w:r w:rsidRPr="00950129">
        <w:rPr>
          <w:b/>
          <w:bCs/>
        </w:rPr>
        <w:t xml:space="preserve"> 2 and 3 the share of its assets/entities that do not provide sufficient information.</w:t>
      </w:r>
    </w:p>
    <w:p w:rsidRPr="001F3F44" w:rsidR="001F3F44" w:rsidP="001F3F44" w:rsidRDefault="001F3F44" w14:paraId="550540AB" w14:textId="224A1B67">
      <w:r>
        <w:t>Beyond the scope of this consultation, Reclaim Finance underlines that the materiality assessment added by the European Commission in the last draft ESRS risks significantly lowering the quality and comparability of reporting.</w:t>
      </w:r>
    </w:p>
    <w:permEnd w:id="1426525783"/>
    <w:p w:rsidR="009C41BB" w:rsidP="009C41BB" w:rsidRDefault="009C41BB" w14:paraId="52004960" w14:textId="77777777">
      <w:r>
        <w:t>&lt;ESMA_QUESTION_SFDR_13&gt;</w:t>
      </w:r>
    </w:p>
    <w:p w:rsidR="009C41BB" w:rsidP="009C41BB" w:rsidRDefault="009C41BB" w14:paraId="700BC575" w14:textId="77777777"/>
    <w:p w:rsidR="009C41BB" w:rsidP="009C41BB" w:rsidRDefault="009C41BB" w14:paraId="0EA314B0" w14:textId="77777777">
      <w:pPr>
        <w:pStyle w:val="Questionstyle"/>
        <w:numPr>
          <w:ilvl w:val="0"/>
          <w:numId w:val="42"/>
        </w:numPr>
      </w:pPr>
      <w:r>
        <w:t xml:space="preserve">: Do you agree with the proposed treatment of derivatives in the PAI </w:t>
      </w:r>
      <w:proofErr w:type="gramStart"/>
      <w:r>
        <w:t>indicators</w:t>
      </w:r>
      <w:proofErr w:type="gramEnd"/>
      <w:r>
        <w:t xml:space="preserve"> or would you suggest any other method?</w:t>
      </w:r>
    </w:p>
    <w:p w:rsidR="009C41BB" w:rsidP="009C41BB" w:rsidRDefault="009C41BB" w14:paraId="215D6F18" w14:textId="77777777">
      <w:r>
        <w:t>&lt;ESMA_QUESTION_SFDR_14&gt;</w:t>
      </w:r>
    </w:p>
    <w:p w:rsidR="009C41BB" w:rsidP="009C41BB" w:rsidRDefault="00D5110C" w14:paraId="187BA651" w14:textId="4BCAA3F3">
      <w:permStart w:edGrp="everyone" w:id="1609050593"/>
      <w:r>
        <w:lastRenderedPageBreak/>
        <w:t>We agree with the treatment of derivatives laid out in the consultation document. We especially note that ESAs rightfully point out that failure to include derivatives in PAIs could result in greenwashing.</w:t>
      </w:r>
    </w:p>
    <w:permEnd w:id="1609050593"/>
    <w:p w:rsidR="009C41BB" w:rsidP="009C41BB" w:rsidRDefault="009C41BB" w14:paraId="5AA8268C" w14:textId="77777777">
      <w:r>
        <w:t>&lt;ESMA_QUESTION_SFDR_14&gt;</w:t>
      </w:r>
    </w:p>
    <w:p w:rsidR="009C41BB" w:rsidP="009C41BB" w:rsidRDefault="009C41BB" w14:paraId="7FDBC0BE" w14:textId="77777777"/>
    <w:p w:rsidR="009C41BB" w:rsidP="009C41BB" w:rsidRDefault="009C41BB" w14:paraId="2C7E2AD7" w14:textId="77777777">
      <w:pPr>
        <w:pStyle w:val="Questionstyle"/>
        <w:numPr>
          <w:ilvl w:val="0"/>
          <w:numId w:val="42"/>
        </w:numPr>
      </w:pPr>
      <w:r>
        <w:t xml:space="preserve">: What are your views </w:t>
      </w:r>
      <w:proofErr w:type="gramStart"/>
      <w:r>
        <w:t>with regard to</w:t>
      </w:r>
      <w:proofErr w:type="gramEnd"/>
      <w:r>
        <w:t xml:space="preserve"> the treatment of derivatives in general (Taxonomy-alignment, share of sustainable investments and PAI calculations)? Should the netting provision of Article 17(1)(g) be applied to sustainable investment calculations? </w:t>
      </w:r>
    </w:p>
    <w:p w:rsidR="009C41BB" w:rsidP="009C41BB" w:rsidRDefault="009C41BB" w14:paraId="7F3E50A5" w14:textId="77777777">
      <w:r>
        <w:t>&lt;ESMA_QUESTION_SFDR_15&gt;</w:t>
      </w:r>
    </w:p>
    <w:p w:rsidR="009C41BB" w:rsidP="009C41BB" w:rsidRDefault="009C41BB" w14:paraId="14A8C247" w14:textId="77777777">
      <w:permStart w:edGrp="everyone" w:id="8979202"/>
      <w:r>
        <w:t>TYPE YOUR TEXT HERE</w:t>
      </w:r>
    </w:p>
    <w:permEnd w:id="8979202"/>
    <w:p w:rsidR="009C41BB" w:rsidP="009C41BB" w:rsidRDefault="009C41BB" w14:paraId="2931ECD8" w14:textId="77777777">
      <w:r>
        <w:t>&lt;ESMA_QUESTION_SFDR_15&gt;</w:t>
      </w:r>
    </w:p>
    <w:p w:rsidR="009C41BB" w:rsidP="009C41BB" w:rsidRDefault="009C41BB" w14:paraId="7B57E625" w14:textId="77777777"/>
    <w:p w:rsidR="009C41BB" w:rsidP="009C41BB" w:rsidRDefault="009C41BB" w14:paraId="762504D0" w14:textId="77777777">
      <w:pPr>
        <w:pStyle w:val="Questionstyle"/>
        <w:numPr>
          <w:ilvl w:val="0"/>
          <w:numId w:val="42"/>
        </w:numPr>
        <w:rPr>
          <w:rFonts w:cstheme="minorHAnsi"/>
          <w:color w:val="000000"/>
        </w:rPr>
      </w:pPr>
      <w:r>
        <w:t>: Do you see the need to extend the scope of the provisions of point g of paragraph 1 of Article 17 of the SFDR Delegated Regulation to asset classes other than equity and sovereign exposures?</w:t>
      </w:r>
    </w:p>
    <w:p w:rsidR="009C41BB" w:rsidP="009C41BB" w:rsidRDefault="009C41BB" w14:paraId="053684A5" w14:textId="77777777">
      <w:r>
        <w:t>&lt;ESMA_QUESTION_SFDR_16&gt;</w:t>
      </w:r>
    </w:p>
    <w:p w:rsidR="009C41BB" w:rsidP="009C41BB" w:rsidRDefault="009C41BB" w14:paraId="178B62C5" w14:textId="77777777">
      <w:permStart w:edGrp="everyone" w:id="1228814638"/>
      <w:r>
        <w:t>TYPE YOUR TEXT HERE</w:t>
      </w:r>
    </w:p>
    <w:permEnd w:id="1228814638"/>
    <w:p w:rsidR="009C41BB" w:rsidP="009C41BB" w:rsidRDefault="009C41BB" w14:paraId="5958D537" w14:textId="77777777">
      <w:r>
        <w:t>&lt;ESMA_QUESTION_SFDR_16&gt;</w:t>
      </w:r>
    </w:p>
    <w:p w:rsidR="009C41BB" w:rsidP="009C41BB" w:rsidRDefault="009C41BB" w14:paraId="3FF87AEB" w14:textId="77777777"/>
    <w:p w:rsidR="009C41BB" w:rsidP="009C41BB" w:rsidRDefault="009C41BB" w14:paraId="3A905E57" w14:textId="77777777">
      <w:pPr>
        <w:pStyle w:val="Questionstyle"/>
        <w:numPr>
          <w:ilvl w:val="0"/>
          <w:numId w:val="42"/>
        </w:numPr>
      </w:pPr>
      <w:r>
        <w:t>: Do you agree with the ESAs’ assessment of the DNSH framework under SFDR?</w:t>
      </w:r>
    </w:p>
    <w:p w:rsidR="009C41BB" w:rsidP="009C41BB" w:rsidRDefault="009C41BB" w14:paraId="4F8008B2" w14:textId="77777777">
      <w:r>
        <w:t>&lt;ESMA_QUESTION_SFDR_17&gt;</w:t>
      </w:r>
    </w:p>
    <w:p w:rsidR="00FB0724" w:rsidP="009C41BB" w:rsidRDefault="00FB0724" w14:paraId="7E8A3E23" w14:textId="7BF956EC">
      <w:permStart w:edGrp="everyone" w:id="791154279"/>
      <w:r>
        <w:t xml:space="preserve">Reclaim Finance strongly agrees with the points made in 43 to 46 by the ESAs. Based this shared assessment, we note that </w:t>
      </w:r>
      <w:r w:rsidRPr="00FB0724">
        <w:rPr>
          <w:b/>
          <w:bCs/>
        </w:rPr>
        <w:t>requiring more specific disclosures is necessary to ensure a proper implementation of SFDR DNSH</w:t>
      </w:r>
      <w:r>
        <w:t>.</w:t>
      </w:r>
    </w:p>
    <w:p w:rsidR="00FB0724" w:rsidP="009C41BB" w:rsidRDefault="00266BE9" w14:paraId="3CFBAD25" w14:textId="3EF3AEF0">
      <w:r>
        <w:t>While we note that greater convergence between Taxonomy DNSH and SFDR DNSH could be pursued, we also want to highlight that Taxonomy DNSH will not be sufficient to cover SFDR DNSH:</w:t>
      </w:r>
    </w:p>
    <w:p w:rsidR="00266BE9" w:rsidP="00266BE9" w:rsidRDefault="00266BE9" w14:paraId="5E7A4D2A" w14:textId="7830FEEA">
      <w:pPr>
        <w:pStyle w:val="Paragraphedeliste"/>
        <w:numPr>
          <w:ilvl w:val="0"/>
          <w:numId w:val="44"/>
        </w:numPr>
      </w:pPr>
      <w:r>
        <w:t xml:space="preserve">The Technical Screening Criteria of the taxonomy are applied at the level of an activity, while PAIs are reported at FMP level. This raises some concerns regarding how an alignment with the taxonomy could be pursued, notably how would a company that develops some TSC </w:t>
      </w:r>
      <w:r>
        <w:lastRenderedPageBreak/>
        <w:t>aligned activities but also some non-aligned and potentially harmful ones would be considered and would influence aggregated PAI reporting.</w:t>
      </w:r>
    </w:p>
    <w:p w:rsidR="00266BE9" w:rsidP="00266BE9" w:rsidRDefault="00266BE9" w14:paraId="49E4A202" w14:textId="42BFFDEF">
      <w:pPr>
        <w:pStyle w:val="Paragraphedeliste"/>
        <w:numPr>
          <w:ilvl w:val="0"/>
          <w:numId w:val="44"/>
        </w:numPr>
      </w:pPr>
      <w:r>
        <w:t>The Taxonomy DNSH is only available for activities that are considered potentially sustainable under the taxonomy, thus leaving many activities “harmful” activities out of its scope.</w:t>
      </w:r>
    </w:p>
    <w:p w:rsidR="00266BE9" w:rsidP="00266BE9" w:rsidRDefault="00266BE9" w14:paraId="278AA156" w14:textId="280A73A8">
      <w:r>
        <w:rPr>
          <w:b/>
          <w:bCs/>
        </w:rPr>
        <w:t>M</w:t>
      </w:r>
      <w:r w:rsidRPr="00266BE9">
        <w:rPr>
          <w:b/>
          <w:bCs/>
        </w:rPr>
        <w:t>aking the disclosure of quantitative thresholds used by the FMP to assess DNSH mandatory seems like an obvious first step to tackle the above-mentioned issue</w:t>
      </w:r>
      <w:r>
        <w:rPr>
          <w:b/>
          <w:bCs/>
        </w:rPr>
        <w:t xml:space="preserve"> but</w:t>
      </w:r>
      <w:r w:rsidRPr="00266BE9">
        <w:rPr>
          <w:b/>
          <w:bCs/>
        </w:rPr>
        <w:t xml:space="preserve"> will clearly not be sufficient to do so</w:t>
      </w:r>
      <w:r>
        <w:t xml:space="preserve">. The quantitative threshold will </w:t>
      </w:r>
      <w:r w:rsidR="00763C80">
        <w:t xml:space="preserve">notably </w:t>
      </w:r>
      <w:r>
        <w:t xml:space="preserve">hide the fact that the FMP supports entities and assets that are “always harmful”, such as for example new fossil fuel production projects or coal power plants. </w:t>
      </w:r>
      <w:r w:rsidR="00763C80">
        <w:t>Furthermore, the ESAs’ proposal does not clarify what should be the benchmark for this threshold, failing to link environmental DNSH to clear goals featured in the ESRS such as limiting global warming to 1.5°C.</w:t>
      </w:r>
    </w:p>
    <w:p w:rsidR="00763C80" w:rsidP="00266BE9" w:rsidRDefault="00763C80" w14:paraId="11FA5656" w14:textId="77777777">
      <w:pPr>
        <w:rPr>
          <w:b/>
          <w:bCs/>
        </w:rPr>
      </w:pPr>
      <w:r>
        <w:t xml:space="preserve">Therefore, </w:t>
      </w:r>
      <w:r w:rsidRPr="00763C80">
        <w:rPr>
          <w:b/>
          <w:bCs/>
        </w:rPr>
        <w:t>we urge the ESAs to</w:t>
      </w:r>
      <w:r>
        <w:rPr>
          <w:b/>
          <w:bCs/>
        </w:rPr>
        <w:t>:</w:t>
      </w:r>
    </w:p>
    <w:p w:rsidR="00763C80" w:rsidP="00763C80" w:rsidRDefault="00763C80" w14:paraId="55375CC1" w14:textId="7EC72D6B">
      <w:pPr>
        <w:pStyle w:val="Paragraphedeliste"/>
        <w:numPr>
          <w:ilvl w:val="0"/>
          <w:numId w:val="46"/>
        </w:numPr>
      </w:pPr>
      <w:r>
        <w:rPr>
          <w:b/>
          <w:bCs/>
        </w:rPr>
        <w:t>P</w:t>
      </w:r>
      <w:r w:rsidRPr="00763C80">
        <w:rPr>
          <w:b/>
          <w:bCs/>
        </w:rPr>
        <w:t>ut forward a list of “always harmful” activities that must be directly addressed under the SFDR DNSH</w:t>
      </w:r>
      <w:r>
        <w:t xml:space="preserve"> (</w:t>
      </w:r>
      <w:r w:rsidR="008336A3">
        <w:t xml:space="preserve">See: </w:t>
      </w:r>
      <w:r w:rsidR="008336A3">
        <w:rPr>
          <w:rFonts w:ascii="Arial" w:hAnsi="Arial" w:cs="Arial"/>
          <w:color w:val="000000"/>
          <w:sz w:val="20"/>
          <w:szCs w:val="20"/>
        </w:rPr>
        <w:t xml:space="preserve">WWF, </w:t>
      </w:r>
      <w:hyperlink w:history="1" r:id="rId20">
        <w:r w:rsidR="008336A3">
          <w:rPr>
            <w:rStyle w:val="Lienhypertexte"/>
            <w:rFonts w:ascii="Arial" w:hAnsi="Arial" w:cs="Arial"/>
            <w:i/>
            <w:iCs/>
            <w:color w:val="1155CC"/>
            <w:sz w:val="20"/>
            <w:szCs w:val="20"/>
          </w:rPr>
          <w:t>Central Banking and Financial Supervision: Transitioning to a Net Zero and Nature Positive economy</w:t>
        </w:r>
      </w:hyperlink>
      <w:r w:rsidR="008336A3">
        <w:rPr>
          <w:rFonts w:ascii="Arial" w:hAnsi="Arial" w:cs="Arial"/>
          <w:color w:val="000000"/>
          <w:sz w:val="20"/>
          <w:szCs w:val="20"/>
        </w:rPr>
        <w:t>, 2022</w:t>
      </w:r>
      <w:r>
        <w:t>);</w:t>
      </w:r>
    </w:p>
    <w:p w:rsidR="00D5110C" w:rsidP="009C41BB" w:rsidRDefault="00763C80" w14:paraId="28EB5E9F" w14:textId="0C32D1D6">
      <w:pPr>
        <w:pStyle w:val="Paragraphedeliste"/>
        <w:numPr>
          <w:ilvl w:val="0"/>
          <w:numId w:val="46"/>
        </w:numPr>
      </w:pPr>
      <w:r>
        <w:rPr>
          <w:b/>
          <w:bCs/>
        </w:rPr>
        <w:t>Link environmental DNSH to reaching key climate and environmental EU goals in line with the ESRS, notably the goal of limiting global warming to 1.5°C.</w:t>
      </w:r>
    </w:p>
    <w:permEnd w:id="791154279"/>
    <w:p w:rsidR="009C41BB" w:rsidP="009C41BB" w:rsidRDefault="009C41BB" w14:paraId="3FA2FE7A" w14:textId="77777777">
      <w:r>
        <w:t>&lt;ESMA_QUESTION_SFDR_17&gt;</w:t>
      </w:r>
    </w:p>
    <w:p w:rsidR="009C41BB" w:rsidP="009C41BB" w:rsidRDefault="009C41BB" w14:paraId="6B0958DF" w14:textId="77777777"/>
    <w:p w:rsidR="009C41BB" w:rsidP="009C41BB" w:rsidRDefault="009C41BB" w14:paraId="60A358F2" w14:textId="77777777">
      <w:pPr>
        <w:pStyle w:val="Questionstyle"/>
        <w:numPr>
          <w:ilvl w:val="0"/>
          <w:numId w:val="42"/>
        </w:numPr>
      </w:pPr>
      <w:r>
        <w:t xml:space="preserve">: </w:t>
      </w:r>
      <w:proofErr w:type="gramStart"/>
      <w:r>
        <w:t>With regard to</w:t>
      </w:r>
      <w:proofErr w:type="gramEnd"/>
      <w:r>
        <w:t xml:space="preserve"> the DNSH disclosures in the SFDR Delegated Regulation, do you consider it relevant to make disclosures about the quantitative thresholds FMPs use to take into account the PAI indicators for DNSH purposes mandatory? Please explain your reasoning.</w:t>
      </w:r>
    </w:p>
    <w:p w:rsidRPr="00204255" w:rsidR="009C41BB" w:rsidP="009C41BB" w:rsidRDefault="009C41BB" w14:paraId="75983884" w14:textId="77777777">
      <w:pPr>
        <w:rPr>
          <w:lang w:val="fr-FR"/>
        </w:rPr>
      </w:pPr>
      <w:r w:rsidRPr="00204255">
        <w:rPr>
          <w:lang w:val="fr-FR"/>
        </w:rPr>
        <w:t>&lt;ESMA_QUESTION_SFDR_18&gt;</w:t>
      </w:r>
    </w:p>
    <w:p w:rsidR="009C41BB" w:rsidP="009C41BB" w:rsidRDefault="00204255" w14:paraId="6BBD22C7" w14:textId="2444B7A2">
      <w:pPr>
        <w:rPr>
          <w:lang w:val="en-US"/>
        </w:rPr>
      </w:pPr>
      <w:permStart w:edGrp="everyone" w:id="984368250"/>
      <w:r w:rsidRPr="00204255">
        <w:rPr>
          <w:b/>
          <w:bCs/>
          <w:lang w:val="en-US"/>
        </w:rPr>
        <w:t>Reclaim Finance considers the disclosure of quantitative thresholds relevant</w:t>
      </w:r>
      <w:r>
        <w:rPr>
          <w:lang w:val="en-US"/>
        </w:rPr>
        <w:t xml:space="preserve"> and highlights that without such disclosure it appears to even begin to understand what PAI indicators relate to for the FMP.</w:t>
      </w:r>
    </w:p>
    <w:p w:rsidR="00204255" w:rsidP="009C41BB" w:rsidRDefault="00204255" w14:paraId="2AC40703" w14:textId="5236E590">
      <w:pPr>
        <w:rPr>
          <w:lang w:val="en-US"/>
        </w:rPr>
      </w:pPr>
      <w:r>
        <w:rPr>
          <w:lang w:val="en-US"/>
        </w:rPr>
        <w:t xml:space="preserve">However, as explained in our response to Q17, </w:t>
      </w:r>
      <w:r w:rsidRPr="00204255">
        <w:rPr>
          <w:b/>
          <w:bCs/>
          <w:lang w:val="en-US"/>
        </w:rPr>
        <w:t>we also want to underline that such quantitative threshold will be largely insufficient to remedy the shortcomings of SFDR DNSH, and therefore to avoid greenwashing</w:t>
      </w:r>
      <w:r>
        <w:rPr>
          <w:lang w:val="en-US"/>
        </w:rPr>
        <w:t>:</w:t>
      </w:r>
    </w:p>
    <w:p w:rsidRPr="00204255" w:rsidR="00204255" w:rsidP="00204255" w:rsidRDefault="00204255" w14:paraId="5C3958B1" w14:textId="4BEBDB2C">
      <w:pPr>
        <w:pStyle w:val="Paragraphedeliste"/>
        <w:numPr>
          <w:ilvl w:val="0"/>
          <w:numId w:val="47"/>
        </w:numPr>
        <w:rPr>
          <w:lang w:val="en-US"/>
        </w:rPr>
      </w:pPr>
      <w:r>
        <w:t xml:space="preserve">The quantitative threshold does not provide information on the FMP’s support to entities and assets that are “always harmful”, such as for example new fossil fuel production projects or coal power plants. Such activities – and most notably their development – is fully incompatible with EU climate and environmental objectives and cannot be deemed to meet the SFDR DNSH principle. </w:t>
      </w:r>
      <w:r w:rsidRPr="00204255">
        <w:rPr>
          <w:b/>
          <w:bCs/>
        </w:rPr>
        <w:t>The ESAs should provide a list of “always harmful” activities for FMP to implement the DNSH principle</w:t>
      </w:r>
      <w:r>
        <w:t xml:space="preserve">. </w:t>
      </w:r>
    </w:p>
    <w:p w:rsidRPr="00204255" w:rsidR="00204255" w:rsidP="00204255" w:rsidRDefault="00204255" w14:paraId="24E2922C" w14:textId="4C83F913">
      <w:pPr>
        <w:pStyle w:val="Paragraphedeliste"/>
        <w:numPr>
          <w:ilvl w:val="0"/>
          <w:numId w:val="47"/>
        </w:numPr>
        <w:rPr>
          <w:lang w:val="en-US"/>
        </w:rPr>
      </w:pPr>
      <w:r>
        <w:lastRenderedPageBreak/>
        <w:t xml:space="preserve">The ESAs’ proposal on introducing quantitative thresholds does not clarify what should be the benchmark for this threshold to be built. </w:t>
      </w:r>
      <w:r w:rsidRPr="00204255">
        <w:rPr>
          <w:b/>
          <w:bCs/>
        </w:rPr>
        <w:t>Environmental DNSH threshold should be directly linked to environmental and climate goals featured in the ESRS such as limiting global warming to 1.5°C.</w:t>
      </w:r>
    </w:p>
    <w:permEnd w:id="984368250"/>
    <w:p w:rsidRPr="00204255" w:rsidR="009C41BB" w:rsidP="009C41BB" w:rsidRDefault="009C41BB" w14:paraId="51EC0BD3" w14:textId="77777777">
      <w:pPr>
        <w:rPr>
          <w:lang w:val="en-US"/>
        </w:rPr>
      </w:pPr>
      <w:r w:rsidRPr="00204255">
        <w:rPr>
          <w:lang w:val="en-US"/>
        </w:rPr>
        <w:t>&lt;ESMA_QUESTION_SFDR_18&gt;</w:t>
      </w:r>
    </w:p>
    <w:p w:rsidRPr="00204255" w:rsidR="009C41BB" w:rsidP="009C41BB" w:rsidRDefault="009C41BB" w14:paraId="678E8E44" w14:textId="77777777">
      <w:pPr>
        <w:rPr>
          <w:lang w:val="en-US"/>
        </w:rPr>
      </w:pPr>
    </w:p>
    <w:p w:rsidR="009C41BB" w:rsidP="009C41BB" w:rsidRDefault="009C41BB" w14:paraId="62F4C721" w14:textId="77777777">
      <w:pPr>
        <w:pStyle w:val="Questionstyle"/>
        <w:numPr>
          <w:ilvl w:val="0"/>
          <w:numId w:val="42"/>
        </w:numPr>
      </w:pPr>
      <w:r>
        <w:t xml:space="preserve">: Do you support the introduction of an optional “safe </w:t>
      </w:r>
      <w:proofErr w:type="spellStart"/>
      <w:r>
        <w:t>harbour</w:t>
      </w:r>
      <w:proofErr w:type="spellEnd"/>
      <w:r>
        <w:t>” for environmental DNSH for taxonomy-aligned activities? Please explain your reasoning.</w:t>
      </w:r>
    </w:p>
    <w:p w:rsidR="009C41BB" w:rsidP="009C41BB" w:rsidRDefault="009C41BB" w14:paraId="63882390" w14:textId="77777777">
      <w:r>
        <w:t>&lt;ESMA_QUESTION_SFDR_19&gt;</w:t>
      </w:r>
    </w:p>
    <w:p w:rsidR="009C41BB" w:rsidP="009C41BB" w:rsidRDefault="009C41BB" w14:paraId="78C93EB3" w14:textId="77777777">
      <w:permStart w:edGrp="everyone" w:id="403253184"/>
      <w:r>
        <w:t>TYPE YOUR TEXT HERE</w:t>
      </w:r>
    </w:p>
    <w:permEnd w:id="403253184"/>
    <w:p w:rsidR="009C41BB" w:rsidP="009C41BB" w:rsidRDefault="009C41BB" w14:paraId="5B774EBD" w14:textId="77777777">
      <w:r>
        <w:t>&lt;ESMA_QUESTION_SFDR_19&gt;</w:t>
      </w:r>
    </w:p>
    <w:p w:rsidR="009C41BB" w:rsidP="009C41BB" w:rsidRDefault="009C41BB" w14:paraId="0B14904A" w14:textId="77777777"/>
    <w:p w:rsidR="009C41BB" w:rsidP="009C41BB" w:rsidRDefault="009C41BB" w14:paraId="2EF02261" w14:textId="77777777">
      <w:pPr>
        <w:pStyle w:val="Questionstyle"/>
        <w:numPr>
          <w:ilvl w:val="0"/>
          <w:numId w:val="42"/>
        </w:numPr>
      </w:pPr>
      <w:r>
        <w:t xml:space="preserve">: Do you agree with the </w:t>
      </w:r>
      <w:proofErr w:type="gramStart"/>
      <w:r>
        <w:t>longer term</w:t>
      </w:r>
      <w:proofErr w:type="gramEnd"/>
      <w:r>
        <w:t xml:space="preserve"> view of the ESAs that if two parallel concepts of sustainability are retained that the Taxonomy TSCs should form the basis of DNSH assessments? Please explain your reasoning.</w:t>
      </w:r>
    </w:p>
    <w:p w:rsidR="009C41BB" w:rsidP="009C41BB" w:rsidRDefault="009C41BB" w14:paraId="4D639F41" w14:textId="77777777">
      <w:r>
        <w:t>&lt;ESMA_QUESTION_SFDR_20&gt;</w:t>
      </w:r>
    </w:p>
    <w:p w:rsidR="00D61149" w:rsidP="00D61149" w:rsidRDefault="00D61149" w14:paraId="17863689" w14:textId="77777777">
      <w:permStart w:edGrp="everyone" w:id="10765956"/>
      <w:r>
        <w:t>While we note that greater convergence between Taxonomy DNSH and SFDR DNSH could be pursued, we also want to highlight that Taxonomy DNSH will not be sufficient to cover SFDR DNSH:</w:t>
      </w:r>
    </w:p>
    <w:p w:rsidR="00D61149" w:rsidP="00D61149" w:rsidRDefault="00D61149" w14:paraId="12E6D8A6" w14:textId="77777777">
      <w:pPr>
        <w:pStyle w:val="Paragraphedeliste"/>
        <w:numPr>
          <w:ilvl w:val="0"/>
          <w:numId w:val="44"/>
        </w:numPr>
      </w:pPr>
      <w:r>
        <w:t>The Technical Screening Criteria of the taxonomy are applied at the level of an activity, while PAIs are reported at FMP level. This raises some concerns regarding how an alignment with the taxonomy could be pursued, notably how would a company that develops some TSC aligned activities but also some non-aligned and potentially harmful ones would be considered and would influence aggregated PAI reporting.</w:t>
      </w:r>
    </w:p>
    <w:p w:rsidR="00D61149" w:rsidP="00D61149" w:rsidRDefault="00D61149" w14:paraId="3D121898" w14:textId="77777777">
      <w:pPr>
        <w:pStyle w:val="Paragraphedeliste"/>
        <w:numPr>
          <w:ilvl w:val="0"/>
          <w:numId w:val="44"/>
        </w:numPr>
      </w:pPr>
      <w:r>
        <w:t>The Taxonomy DNSH is only available for activities that are considered potentially sustainable under the taxonomy, thus leaving many activities “harmful” activities out of its scope.</w:t>
      </w:r>
    </w:p>
    <w:p w:rsidR="00D61149" w:rsidP="00D61149" w:rsidRDefault="00D61149" w14:paraId="76F33035" w14:textId="77777777">
      <w:pPr>
        <w:rPr>
          <w:b/>
          <w:bCs/>
        </w:rPr>
      </w:pPr>
      <w:r>
        <w:t xml:space="preserve">Therefore, </w:t>
      </w:r>
      <w:r w:rsidRPr="00763C80">
        <w:rPr>
          <w:b/>
          <w:bCs/>
        </w:rPr>
        <w:t>we urge the ESAs to</w:t>
      </w:r>
      <w:r>
        <w:rPr>
          <w:b/>
          <w:bCs/>
        </w:rPr>
        <w:t>:</w:t>
      </w:r>
    </w:p>
    <w:p w:rsidR="00D61149" w:rsidP="00010152" w:rsidRDefault="00D61149" w14:paraId="6A8D492D" w14:textId="74FF709C">
      <w:pPr>
        <w:pStyle w:val="Paragraphedeliste"/>
        <w:numPr>
          <w:ilvl w:val="0"/>
          <w:numId w:val="48"/>
        </w:numPr>
      </w:pPr>
      <w:r w:rsidRPr="00010152">
        <w:rPr>
          <w:b/>
          <w:bCs/>
        </w:rPr>
        <w:t>Put forward a list of “always harmful” activities that must be directly addressed under the SFDR DNSH</w:t>
      </w:r>
      <w:r>
        <w:t xml:space="preserve"> (</w:t>
      </w:r>
      <w:r w:rsidR="008336A3">
        <w:t xml:space="preserve">See: </w:t>
      </w:r>
      <w:r w:rsidR="008336A3">
        <w:rPr>
          <w:rFonts w:ascii="Arial" w:hAnsi="Arial" w:cs="Arial"/>
          <w:color w:val="000000"/>
          <w:sz w:val="20"/>
          <w:szCs w:val="20"/>
        </w:rPr>
        <w:t xml:space="preserve">WWF, </w:t>
      </w:r>
      <w:hyperlink w:history="1" r:id="rId21">
        <w:r w:rsidR="008336A3">
          <w:rPr>
            <w:rStyle w:val="Lienhypertexte"/>
            <w:rFonts w:ascii="Arial" w:hAnsi="Arial" w:cs="Arial"/>
            <w:i/>
            <w:iCs/>
            <w:color w:val="1155CC"/>
            <w:sz w:val="20"/>
            <w:szCs w:val="20"/>
          </w:rPr>
          <w:t>Central Banking and Financial Supervision: Transitioning to a Net Zero and Nature Positive economy</w:t>
        </w:r>
      </w:hyperlink>
      <w:r w:rsidR="008336A3">
        <w:rPr>
          <w:rFonts w:ascii="Arial" w:hAnsi="Arial" w:cs="Arial"/>
          <w:color w:val="000000"/>
          <w:sz w:val="20"/>
          <w:szCs w:val="20"/>
        </w:rPr>
        <w:t>, 2022</w:t>
      </w:r>
      <w:r>
        <w:t>);</w:t>
      </w:r>
    </w:p>
    <w:p w:rsidR="009C41BB" w:rsidP="00010152" w:rsidRDefault="00D61149" w14:paraId="01E16D6A" w14:textId="14662575">
      <w:pPr>
        <w:pStyle w:val="Paragraphedeliste"/>
        <w:numPr>
          <w:ilvl w:val="0"/>
          <w:numId w:val="48"/>
        </w:numPr>
      </w:pPr>
      <w:r>
        <w:rPr>
          <w:b/>
          <w:bCs/>
        </w:rPr>
        <w:t>Link environmental DNSH to reaching key climate and environmental EU goals in line with the ESRS, notably the goal of limiting global warming to 1.5°C.</w:t>
      </w:r>
    </w:p>
    <w:permEnd w:id="10765956"/>
    <w:p w:rsidR="009C41BB" w:rsidP="009C41BB" w:rsidRDefault="009C41BB" w14:paraId="402F2518" w14:textId="77777777">
      <w:r>
        <w:t>&lt;ESMA_QUESTION_SFDR_20&gt;</w:t>
      </w:r>
    </w:p>
    <w:p w:rsidR="009C41BB" w:rsidP="009C41BB" w:rsidRDefault="009C41BB" w14:paraId="6BAEDC4A" w14:textId="77777777"/>
    <w:p w:rsidR="009C41BB" w:rsidP="009C41BB" w:rsidRDefault="009C41BB" w14:paraId="2E45FA2C" w14:textId="77777777">
      <w:pPr>
        <w:pStyle w:val="Questionstyle"/>
        <w:numPr>
          <w:ilvl w:val="0"/>
          <w:numId w:val="42"/>
        </w:numPr>
      </w:pPr>
      <w:r>
        <w:t>: Are there other options for the SFDR Delegated Regulation DNSH disclosures to reduce the risk of greenwashing and increase comparability?</w:t>
      </w:r>
    </w:p>
    <w:p w:rsidR="009C41BB" w:rsidP="009C41BB" w:rsidRDefault="009C41BB" w14:paraId="4D9B240E" w14:textId="77777777">
      <w:r>
        <w:t>&lt;ESMA_QUESTION_SFDR_21&gt;</w:t>
      </w:r>
    </w:p>
    <w:p w:rsidR="009C41BB" w:rsidP="009C41BB" w:rsidRDefault="00010152" w14:paraId="53C2FE28" w14:textId="42E9D5E8">
      <w:permStart w:edGrp="everyone" w:id="1098926409"/>
      <w:r>
        <w:t xml:space="preserve">As mentioned in our responses to Q17/18 and 20, </w:t>
      </w:r>
      <w:r w:rsidRPr="00010152">
        <w:rPr>
          <w:b/>
          <w:bCs/>
        </w:rPr>
        <w:t>other options must be pursued to reduce the risk of greenwashing and increase comparability</w:t>
      </w:r>
      <w:r>
        <w:t xml:space="preserve">. </w:t>
      </w:r>
    </w:p>
    <w:p w:rsidR="00010152" w:rsidP="009C41BB" w:rsidRDefault="00010152" w14:paraId="019ABA57" w14:textId="3BFC3C81">
      <w:r w:rsidRPr="00010152">
        <w:rPr>
          <w:b/>
          <w:bCs/>
        </w:rPr>
        <w:t>It is essential that the ESAs define a list of “always harmful” activities that could serve as a basis for FMPs to conduct their own assessments</w:t>
      </w:r>
      <w:r>
        <w:t>. Such a list could be relatively narrow (</w:t>
      </w:r>
      <w:r w:rsidR="008336A3">
        <w:t xml:space="preserve">See: </w:t>
      </w:r>
      <w:r w:rsidR="008336A3">
        <w:rPr>
          <w:rFonts w:ascii="Arial" w:hAnsi="Arial" w:cs="Arial"/>
          <w:color w:val="000000"/>
          <w:sz w:val="20"/>
          <w:szCs w:val="20"/>
        </w:rPr>
        <w:t xml:space="preserve">WWF, </w:t>
      </w:r>
      <w:hyperlink w:history="1" r:id="rId22">
        <w:r w:rsidR="008336A3">
          <w:rPr>
            <w:rStyle w:val="Lienhypertexte"/>
            <w:rFonts w:ascii="Arial" w:hAnsi="Arial" w:cs="Arial"/>
            <w:i/>
            <w:iCs/>
            <w:color w:val="1155CC"/>
            <w:sz w:val="20"/>
            <w:szCs w:val="20"/>
          </w:rPr>
          <w:t>Central Banking and Financial Supervision: Transitioning to a Net Zero and Nature Positive economy</w:t>
        </w:r>
      </w:hyperlink>
      <w:r w:rsidR="008336A3">
        <w:rPr>
          <w:rFonts w:ascii="Arial" w:hAnsi="Arial" w:cs="Arial"/>
          <w:color w:val="000000"/>
          <w:sz w:val="20"/>
          <w:szCs w:val="20"/>
        </w:rPr>
        <w:t>, 2022</w:t>
      </w:r>
      <w:r>
        <w:t>) and would not be sufficient to cover the full spectrum of SFDR DNSH but would significantly contribute to lower the risk of greenwashing and provide a joint baseline for FMPs to build their SFDR reporting. The list could be improved and extended overtime, depending on changes in EU regulation and other environmental and climate standards.</w:t>
      </w:r>
    </w:p>
    <w:p w:rsidR="00010152" w:rsidP="009C41BB" w:rsidRDefault="00010152" w14:paraId="54D67734" w14:textId="3B943049">
      <w:r w:rsidR="55850B72">
        <w:rPr/>
        <w:t>Additionally</w:t>
      </w:r>
      <w:r w:rsidR="361F9A59">
        <w:rPr/>
        <w:t xml:space="preserve">, </w:t>
      </w:r>
      <w:r w:rsidRPr="0F4EAF91" w:rsidR="361F9A59">
        <w:rPr>
          <w:b w:val="1"/>
          <w:bCs w:val="1"/>
        </w:rPr>
        <w:t>the ESAs should clarify that the assessment of SFDR DNSH should closely be based on EU climate and environmental targets</w:t>
      </w:r>
      <w:r w:rsidR="361F9A59">
        <w:rPr/>
        <w:t xml:space="preserve">. Indeed, the large freedom left </w:t>
      </w:r>
      <w:r w:rsidR="361F9A59">
        <w:rPr/>
        <w:t>to</w:t>
      </w:r>
      <w:r w:rsidR="361F9A59">
        <w:rPr/>
        <w:t xml:space="preserve"> FMPs in conducting their analysis should not ban users of the reporting to be able to assess whether the information they </w:t>
      </w:r>
      <w:r w:rsidR="361F9A59">
        <w:rPr/>
        <w:t>provide</w:t>
      </w:r>
      <w:r w:rsidR="361F9A59">
        <w:rPr/>
        <w:t xml:space="preserve"> are contributing or hindering these </w:t>
      </w:r>
      <w:r w:rsidR="361F9A59">
        <w:rPr/>
        <w:t>objectives</w:t>
      </w:r>
      <w:r w:rsidR="361F9A59">
        <w:rPr/>
        <w:t>.</w:t>
      </w:r>
    </w:p>
    <w:permEnd w:id="1098926409"/>
    <w:p w:rsidR="009C41BB" w:rsidP="009C41BB" w:rsidRDefault="009C41BB" w14:paraId="7A9D32E6" w14:textId="77777777">
      <w:r>
        <w:t>&lt;ESMA_QUESTION_SFDR_21&gt;</w:t>
      </w:r>
    </w:p>
    <w:p w:rsidR="009C41BB" w:rsidP="009C41BB" w:rsidRDefault="009C41BB" w14:paraId="7BB690BF" w14:textId="77777777"/>
    <w:p w:rsidR="009C41BB" w:rsidP="009C41BB" w:rsidRDefault="009C41BB" w14:paraId="25DBDE82" w14:textId="77777777">
      <w:pPr>
        <w:pStyle w:val="Questionstyle"/>
        <w:numPr>
          <w:ilvl w:val="0"/>
          <w:numId w:val="42"/>
        </w:numPr>
      </w:pPr>
      <w:r>
        <w:t>: Do you agree that the proposed disclosures strike the right balance between the need for clear, reliable, decision-useful information for investors and the need to keep requirements feasible and proportional for FMPs? Please explain your answers.</w:t>
      </w:r>
    </w:p>
    <w:p w:rsidR="009C41BB" w:rsidP="009C41BB" w:rsidRDefault="009C41BB" w14:paraId="7EF3E316" w14:textId="77777777">
      <w:r>
        <w:t>&lt;ESMA_QUESTION_SFDR_22&gt;</w:t>
      </w:r>
    </w:p>
    <w:p w:rsidR="005C7822" w:rsidP="009C41BB" w:rsidRDefault="002571C1" w14:paraId="75EC4378" w14:textId="01DABA1E">
      <w:permStart w:edGrp="everyone" w:id="2084635173"/>
      <w:r>
        <w:t>Reclaim Finance notes that the proposed disclosures would not be sufficiently d</w:t>
      </w:r>
      <w:r w:rsidR="005C7822">
        <w:t xml:space="preserve">ecision useful for investors, and notably </w:t>
      </w:r>
      <w:r>
        <w:t xml:space="preserve">for </w:t>
      </w:r>
      <w:r w:rsidR="005C7822">
        <w:t>retail investors</w:t>
      </w:r>
      <w:r>
        <w:t>.</w:t>
      </w:r>
    </w:p>
    <w:p w:rsidR="005C7822" w:rsidP="009C41BB" w:rsidRDefault="002571C1" w14:paraId="7EFD68BD" w14:textId="28C5D74A">
      <w:r>
        <w:t>We agree with the proposal for m</w:t>
      </w:r>
      <w:r w:rsidR="005C7822">
        <w:t>ore standardiz</w:t>
      </w:r>
      <w:r>
        <w:t>ed GHG emission calculations, as well as specific GHG reduction targets for article 9(3). However, we note that:</w:t>
      </w:r>
    </w:p>
    <w:p w:rsidR="002571C1" w:rsidP="002571C1" w:rsidRDefault="002571C1" w14:paraId="78445B26" w14:textId="724968B4">
      <w:pPr>
        <w:pStyle w:val="Paragraphedeliste"/>
        <w:numPr>
          <w:ilvl w:val="0"/>
          <w:numId w:val="49"/>
        </w:numPr>
        <w:rPr/>
      </w:pPr>
      <w:r w:rsidR="0FDFA4F6">
        <w:rPr/>
        <w:t xml:space="preserve">Investors, even more so retail investors, are often focusing on a handful of basic criteria to </w:t>
      </w:r>
      <w:r w:rsidR="0FDFA4F6">
        <w:rPr/>
        <w:t>determine</w:t>
      </w:r>
      <w:r w:rsidR="0FDFA4F6">
        <w:rPr/>
        <w:t xml:space="preserve"> </w:t>
      </w:r>
      <w:r w:rsidR="2A003128">
        <w:rPr/>
        <w:t>whether</w:t>
      </w:r>
      <w:r w:rsidR="0FDFA4F6">
        <w:rPr/>
        <w:t xml:space="preserve"> a fund meet their non-financial preferences. For example, many EU citizens do not want to invest in funds that contribute to financing things like fossil fuels, </w:t>
      </w:r>
      <w:r w:rsidR="0FDFA4F6">
        <w:rPr/>
        <w:t>tobacco</w:t>
      </w:r>
      <w:r w:rsidR="0FDFA4F6">
        <w:rPr/>
        <w:t xml:space="preserve"> or activities responsible for deforestation. </w:t>
      </w:r>
      <w:r w:rsidRPr="0F4EAF91" w:rsidR="0FDFA4F6">
        <w:rPr>
          <w:b w:val="1"/>
          <w:bCs w:val="1"/>
        </w:rPr>
        <w:t xml:space="preserve">Under SFDR, </w:t>
      </w:r>
      <w:r w:rsidRPr="0F4EAF91" w:rsidR="46941449">
        <w:rPr>
          <w:b w:val="1"/>
          <w:bCs w:val="1"/>
        </w:rPr>
        <w:t xml:space="preserve">all </w:t>
      </w:r>
      <w:r w:rsidRPr="0F4EAF91" w:rsidR="0FDFA4F6">
        <w:rPr>
          <w:b w:val="1"/>
          <w:bCs w:val="1"/>
        </w:rPr>
        <w:t xml:space="preserve">funds should be </w:t>
      </w:r>
      <w:r w:rsidRPr="0F4EAF91" w:rsidR="0FDFA4F6">
        <w:rPr>
          <w:b w:val="1"/>
          <w:bCs w:val="1"/>
        </w:rPr>
        <w:t>required</w:t>
      </w:r>
      <w:r w:rsidRPr="0F4EAF91" w:rsidR="0FDFA4F6">
        <w:rPr>
          <w:b w:val="1"/>
          <w:bCs w:val="1"/>
        </w:rPr>
        <w:t xml:space="preserve"> to provide – in a simplified format and on top of </w:t>
      </w:r>
      <w:r w:rsidRPr="0F4EAF91" w:rsidR="0FDFA4F6">
        <w:rPr>
          <w:b w:val="1"/>
          <w:bCs w:val="1"/>
        </w:rPr>
        <w:t>additional</w:t>
      </w:r>
      <w:r w:rsidRPr="0F4EAF91" w:rsidR="0FDFA4F6">
        <w:rPr>
          <w:b w:val="1"/>
          <w:bCs w:val="1"/>
        </w:rPr>
        <w:t xml:space="preserve"> disclosures – information on whether they </w:t>
      </w:r>
      <w:r w:rsidRPr="0F4EAF91" w:rsidR="0FDFA4F6">
        <w:rPr>
          <w:b w:val="1"/>
          <w:bCs w:val="1"/>
        </w:rPr>
        <w:t>contain</w:t>
      </w:r>
      <w:r w:rsidRPr="0F4EAF91" w:rsidR="0FDFA4F6">
        <w:rPr>
          <w:b w:val="1"/>
          <w:bCs w:val="1"/>
        </w:rPr>
        <w:t xml:space="preserve"> assets from companies in such controversial sectors. A specific indicator should notably exist to make clear which funds </w:t>
      </w:r>
      <w:r w:rsidRPr="0F4EAF91" w:rsidR="0FDFA4F6">
        <w:rPr>
          <w:b w:val="1"/>
          <w:bCs w:val="1"/>
        </w:rPr>
        <w:t>contain</w:t>
      </w:r>
      <w:r w:rsidRPr="0F4EAF91" w:rsidR="0FDFA4F6">
        <w:rPr>
          <w:b w:val="1"/>
          <w:bCs w:val="1"/>
        </w:rPr>
        <w:t xml:space="preserve"> companies that are developing new fossil fuel projects</w:t>
      </w:r>
      <w:r w:rsidR="0FDFA4F6">
        <w:rPr/>
        <w:t xml:space="preserve"> at odds with EU climate and sustainability goals. </w:t>
      </w:r>
    </w:p>
    <w:p w:rsidR="002571C1" w:rsidP="002571C1" w:rsidRDefault="002571C1" w14:paraId="706C94AA" w14:textId="110BA887">
      <w:pPr>
        <w:pStyle w:val="Paragraphedeliste"/>
        <w:numPr>
          <w:ilvl w:val="0"/>
          <w:numId w:val="49"/>
        </w:numPr>
      </w:pPr>
      <w:r>
        <w:lastRenderedPageBreak/>
        <w:t xml:space="preserve">GHG reductions targets are some of the most basic element users can look for when trying to assess whether a fund aligns with their climate preferences and EU climate goals. </w:t>
      </w:r>
      <w:r w:rsidRPr="00AE1279" w:rsidR="00AE1279">
        <w:rPr>
          <w:b/>
          <w:bCs/>
        </w:rPr>
        <w:t xml:space="preserve">GHG reduction targets </w:t>
      </w:r>
      <w:r w:rsidRPr="00AE1279">
        <w:rPr>
          <w:b/>
          <w:bCs/>
        </w:rPr>
        <w:t xml:space="preserve">should </w:t>
      </w:r>
      <w:r w:rsidRPr="00AE1279" w:rsidR="00AE1279">
        <w:rPr>
          <w:b/>
          <w:bCs/>
        </w:rPr>
        <w:t xml:space="preserve">therefore </w:t>
      </w:r>
      <w:r w:rsidRPr="00AE1279">
        <w:rPr>
          <w:b/>
          <w:bCs/>
        </w:rPr>
        <w:t>be made mandatory for article 9 and 8 funds</w:t>
      </w:r>
      <w:r>
        <w:t xml:space="preserve"> (beyond article 9(3)).</w:t>
      </w:r>
    </w:p>
    <w:p w:rsidR="009C41BB" w:rsidP="009C41BB" w:rsidRDefault="00AE1279" w14:paraId="6D5BB63B" w14:textId="192EE29D">
      <w:pPr>
        <w:pStyle w:val="Paragraphedeliste"/>
        <w:numPr>
          <w:ilvl w:val="0"/>
          <w:numId w:val="49"/>
        </w:numPr>
        <w:rPr/>
      </w:pPr>
      <w:r w:rsidR="46941449">
        <w:rPr/>
        <w:t xml:space="preserve">Overall, GHG indicators </w:t>
      </w:r>
      <w:r w:rsidR="46941449">
        <w:rPr/>
        <w:t>remain</w:t>
      </w:r>
      <w:r w:rsidR="46941449">
        <w:rPr/>
        <w:t xml:space="preserve"> difficult to </w:t>
      </w:r>
      <w:r w:rsidR="46941449">
        <w:rPr/>
        <w:t>interpret</w:t>
      </w:r>
      <w:r w:rsidR="46941449">
        <w:rPr/>
        <w:t xml:space="preserve"> for stakeholders. </w:t>
      </w:r>
      <w:r w:rsidRPr="0F4EAF91" w:rsidR="46941449">
        <w:rPr>
          <w:b w:val="1"/>
          <w:bCs w:val="1"/>
        </w:rPr>
        <w:t xml:space="preserve">Further indicators could be introduced to </w:t>
      </w:r>
      <w:r w:rsidRPr="0F4EAF91" w:rsidR="46941449">
        <w:rPr>
          <w:b w:val="1"/>
          <w:bCs w:val="1"/>
        </w:rPr>
        <w:t>provide</w:t>
      </w:r>
      <w:r w:rsidRPr="0F4EAF91" w:rsidR="46941449">
        <w:rPr>
          <w:b w:val="1"/>
          <w:bCs w:val="1"/>
        </w:rPr>
        <w:t xml:space="preserve"> a simplified vision of the alignment of article 9 and 8 products</w:t>
      </w:r>
      <w:r w:rsidR="46941449">
        <w:rPr/>
        <w:t xml:space="preserve">. Such an indicator could be based on methodologies to </w:t>
      </w:r>
      <w:r w:rsidR="46941449">
        <w:rPr/>
        <w:t>provide</w:t>
      </w:r>
      <w:r w:rsidR="46941449">
        <w:rPr/>
        <w:t xml:space="preserve"> a single alignment score at product level and to ensure companies in the portfolio have adopted proper transition plans to reduce their emissions and phase-out harmful activities (see our response to Q25).</w:t>
      </w:r>
    </w:p>
    <w:permEnd w:id="2084635173"/>
    <w:p w:rsidR="009C41BB" w:rsidP="009C41BB" w:rsidRDefault="009C41BB" w14:paraId="726ADD5B" w14:textId="77777777">
      <w:r>
        <w:t>&lt;ESMA_QUESTION_SFDR_22&gt;</w:t>
      </w:r>
    </w:p>
    <w:p w:rsidR="009C41BB" w:rsidP="009C41BB" w:rsidRDefault="009C41BB" w14:paraId="08BAE9DE" w14:textId="77777777"/>
    <w:p w:rsidR="009C41BB" w:rsidP="009C41BB" w:rsidRDefault="009C41BB" w14:paraId="05AA9C3B" w14:textId="77777777">
      <w:pPr>
        <w:pStyle w:val="Questionstyle"/>
        <w:numPr>
          <w:ilvl w:val="0"/>
          <w:numId w:val="42"/>
        </w:numPr>
      </w:pPr>
      <w:r>
        <w:t xml:space="preserve">: Do you agree with the proposed approach of providing a hyperlink to the benchmark disclosures for products having GHG emissions reduction as 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rsidRPr="005C7822" w:rsidR="009C41BB" w:rsidP="009C41BB" w:rsidRDefault="009C41BB" w14:paraId="7D3827D8" w14:textId="77777777">
      <w:pPr>
        <w:rPr>
          <w:lang w:val="fr-FR"/>
        </w:rPr>
      </w:pPr>
      <w:r w:rsidRPr="005C7822">
        <w:rPr>
          <w:lang w:val="fr-FR"/>
        </w:rPr>
        <w:t>&lt;ESMA_QUESTION_SFDR_23&gt;</w:t>
      </w:r>
    </w:p>
    <w:p w:rsidRPr="005C7822" w:rsidR="009C41BB" w:rsidP="009C41BB" w:rsidRDefault="005C7822" w14:paraId="6E5D944F" w14:textId="0D3DE2A9">
      <w:pPr>
        <w:rPr>
          <w:lang w:val="en-US"/>
        </w:rPr>
      </w:pPr>
      <w:permStart w:edGrp="everyone" w:id="762907966"/>
      <w:r w:rsidRPr="005C7822">
        <w:rPr>
          <w:lang w:val="en-US"/>
        </w:rPr>
        <w:t>We d</w:t>
      </w:r>
      <w:r>
        <w:rPr>
          <w:lang w:val="en-US"/>
        </w:rPr>
        <w:t xml:space="preserve">o not believe GHG reduction targets would lead to confusion between article 9(3) and other article 8/9 funds. </w:t>
      </w:r>
      <w:r w:rsidR="00AE1279">
        <w:rPr>
          <w:lang w:val="en-US"/>
        </w:rPr>
        <w:t>We further stress that GHG reductions targets should be required for all article 9 and 8 funds (as mentioned in our response to Q22).</w:t>
      </w:r>
    </w:p>
    <w:permEnd w:id="762907966"/>
    <w:p w:rsidRPr="005C7822" w:rsidR="009C41BB" w:rsidP="009C41BB" w:rsidRDefault="009C41BB" w14:paraId="170F8ADF" w14:textId="77777777">
      <w:pPr>
        <w:rPr>
          <w:lang w:val="en-US"/>
        </w:rPr>
      </w:pPr>
      <w:r w:rsidRPr="005C7822">
        <w:rPr>
          <w:lang w:val="en-US"/>
        </w:rPr>
        <w:t>&lt;ESMA_QUESTION_SFDR_23&gt;</w:t>
      </w:r>
    </w:p>
    <w:p w:rsidRPr="005C7822" w:rsidR="009C41BB" w:rsidP="009C41BB" w:rsidRDefault="009C41BB" w14:paraId="4A4F3D57" w14:textId="77777777">
      <w:pPr>
        <w:rPr>
          <w:lang w:val="en-US"/>
        </w:rPr>
      </w:pPr>
    </w:p>
    <w:p w:rsidR="009C41BB" w:rsidP="009C41BB" w:rsidRDefault="009C41BB" w14:paraId="5CF11283" w14:textId="77777777">
      <w:pPr>
        <w:pStyle w:val="Questionstyle"/>
        <w:numPr>
          <w:ilvl w:val="0"/>
          <w:numId w:val="42"/>
        </w:numPr>
      </w:pPr>
      <w:r>
        <w:t>: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w:t>
      </w:r>
    </w:p>
    <w:p w:rsidRPr="005C7822" w:rsidR="009C41BB" w:rsidP="009C41BB" w:rsidRDefault="009C41BB" w14:paraId="2760189D" w14:textId="77777777">
      <w:pPr>
        <w:rPr>
          <w:lang w:val="fr-FR"/>
        </w:rPr>
      </w:pPr>
      <w:r w:rsidRPr="005C7822">
        <w:rPr>
          <w:lang w:val="fr-FR"/>
        </w:rPr>
        <w:t>&lt;ESMA_QUESTION_SFDR_24&gt;</w:t>
      </w:r>
    </w:p>
    <w:p w:rsidR="00AE1279" w:rsidP="009C41BB" w:rsidRDefault="00AE1279" w14:paraId="2D085E50" w14:textId="049E28B7">
      <w:pPr>
        <w:rPr>
          <w:lang w:val="en-US"/>
        </w:rPr>
      </w:pPr>
      <w:permStart w:edGrp="everyone" w:id="1536640680"/>
      <w:r w:rsidR="46941449">
        <w:rPr>
          <w:lang w:val="en-US"/>
        </w:rPr>
        <w:t xml:space="preserve">Reclaim Finance underlines this distinction could be problematic because it opposes two approaches that are regularly combined. Indeed, paragraph 66 </w:t>
      </w:r>
      <w:r w:rsidR="46941449">
        <w:rPr>
          <w:lang w:val="en-US"/>
        </w:rPr>
        <w:t xml:space="preserve">seems to oppose</w:t>
      </w:r>
      <w:r w:rsidR="46941449">
        <w:rPr>
          <w:lang w:val="en-US"/>
        </w:rPr>
        <w:t xml:space="preserve"> a “divestment” approach to a “engagement” approach. However, these approaches are </w:t>
      </w:r>
      <w:r w:rsidR="46941449">
        <w:rPr>
          <w:lang w:val="en-US"/>
        </w:rPr>
        <w:t xml:space="preserve">largely complementary</w:t>
      </w:r>
      <w:r w:rsidR="46941449">
        <w:rPr>
          <w:lang w:val="en-US"/>
        </w:rPr>
        <w:t xml:space="preserve">. </w:t>
      </w:r>
      <w:r w:rsidR="2C46E646">
        <w:rPr>
          <w:lang w:val="en-US"/>
        </w:rPr>
        <w:t>Reallocation</w:t>
      </w:r>
      <w:r w:rsidR="46941449">
        <w:rPr>
          <w:lang w:val="en-US"/>
        </w:rPr>
        <w:t xml:space="preserve"> of the portfolio away from certain entity/assets is necessary when GHG reductions are not </w:t>
      </w:r>
      <w:r w:rsidR="27D9DB47">
        <w:rPr>
          <w:lang w:val="en-US"/>
        </w:rPr>
        <w:t xml:space="preserve">met</w:t>
      </w:r>
      <w:r w:rsidR="46941449">
        <w:rPr>
          <w:lang w:val="en-US"/>
        </w:rPr>
        <w:t xml:space="preserve"> and/or when the activities being developed are incompatible with the climate and environmental goals.</w:t>
      </w:r>
    </w:p>
    <w:p w:rsidRPr="005C7822" w:rsidR="009C41BB" w:rsidP="009C41BB" w:rsidRDefault="00AE1279" w14:paraId="2C9CFD87" w14:textId="218E3AE0">
      <w:pPr>
        <w:rPr>
          <w:lang w:val="en-US"/>
        </w:rPr>
      </w:pPr>
      <w:r w:rsidRPr="00AE1279">
        <w:rPr>
          <w:b/>
          <w:bCs/>
          <w:lang w:val="en-US"/>
        </w:rPr>
        <w:lastRenderedPageBreak/>
        <w:t>We call on the ESAs to avoid opposing the two perspectives in its disclosure requirement</w:t>
      </w:r>
      <w:r>
        <w:rPr>
          <w:lang w:val="en-US"/>
        </w:rPr>
        <w:t xml:space="preserve">s. </w:t>
      </w:r>
    </w:p>
    <w:permEnd w:id="1536640680"/>
    <w:p w:rsidRPr="005C7822" w:rsidR="009C41BB" w:rsidP="009C41BB" w:rsidRDefault="009C41BB" w14:paraId="1DB6EA41" w14:textId="77777777">
      <w:pPr>
        <w:rPr>
          <w:lang w:val="en-US"/>
        </w:rPr>
      </w:pPr>
      <w:r w:rsidRPr="005C7822">
        <w:rPr>
          <w:lang w:val="en-US"/>
        </w:rPr>
        <w:t>&lt;ESMA_QUESTION_SFDR_24&gt;</w:t>
      </w:r>
    </w:p>
    <w:p w:rsidRPr="005C7822" w:rsidR="009C41BB" w:rsidP="009C41BB" w:rsidRDefault="009C41BB" w14:paraId="0D457AA9" w14:textId="77777777">
      <w:pPr>
        <w:rPr>
          <w:lang w:val="en-US"/>
        </w:rPr>
      </w:pPr>
    </w:p>
    <w:p w:rsidR="009C41BB" w:rsidP="009C41BB" w:rsidRDefault="009C41BB" w14:paraId="3D7F5DF7" w14:textId="77777777">
      <w:pPr>
        <w:pStyle w:val="Questionstyle"/>
        <w:numPr>
          <w:ilvl w:val="0"/>
          <w:numId w:val="42"/>
        </w:numPr>
      </w:pPr>
      <w:r>
        <w:t xml:space="preserve">: Do you find it useful to have a disclosure on the degree of Paris-Alignment of the Article 9 product’s target(s)? Do you think that existing methodologies can provide sufficiently robust assessments of that aspect? If yes, please specify which methodology (or methodologies) would be relevant for that purpose and what are their most critical features? Please explain your answer. </w:t>
      </w:r>
    </w:p>
    <w:p w:rsidRPr="005C7822" w:rsidR="009C41BB" w:rsidP="009C41BB" w:rsidRDefault="009C41BB" w14:paraId="5A44ABE3" w14:textId="77777777">
      <w:pPr>
        <w:rPr>
          <w:lang w:val="fr-FR"/>
        </w:rPr>
      </w:pPr>
      <w:r w:rsidRPr="005C7822">
        <w:rPr>
          <w:lang w:val="fr-FR"/>
        </w:rPr>
        <w:t>&lt;ESMA_QUESTION_SFDR_25&gt;</w:t>
      </w:r>
    </w:p>
    <w:p w:rsidR="004973BF" w:rsidP="009C41BB" w:rsidRDefault="00AE1279" w14:paraId="21327193" w14:textId="77777777">
      <w:pPr>
        <w:rPr>
          <w:lang w:val="en-US"/>
        </w:rPr>
      </w:pPr>
      <w:permStart w:edGrp="everyone" w:id="1824523423"/>
      <w:r w:rsidRPr="004973BF">
        <w:rPr>
          <w:b/>
          <w:bCs/>
          <w:lang w:val="en-US"/>
        </w:rPr>
        <w:t>Having a disclosure on the level of alignment of a fund with the Paris Agreement would be very useful. However, this also raises some major methodological concerns. Inadequate disclosure on the issue could lead to significant greenwashing</w:t>
      </w:r>
      <w:r w:rsidR="004973BF">
        <w:rPr>
          <w:lang w:val="en-US"/>
        </w:rPr>
        <w:t>.</w:t>
      </w:r>
    </w:p>
    <w:p w:rsidR="004973BF" w:rsidP="009C41BB" w:rsidRDefault="004973BF" w14:paraId="39132A48" w14:textId="1E9EF40B">
      <w:pPr>
        <w:rPr>
          <w:lang w:val="en-US"/>
        </w:rPr>
      </w:pPr>
      <w:r w:rsidRPr="0F4EAF91" w:rsidR="1E993896">
        <w:rPr>
          <w:lang w:val="en-US"/>
        </w:rPr>
        <w:t>To</w:t>
      </w:r>
      <w:r w:rsidRPr="0F4EAF91" w:rsidR="41F62B4D">
        <w:rPr>
          <w:lang w:val="en-US"/>
        </w:rPr>
        <w:t xml:space="preserve"> avoid such a negative outcome, </w:t>
      </w:r>
      <w:r w:rsidRPr="0F4EAF91" w:rsidR="41F62B4D">
        <w:rPr>
          <w:b w:val="1"/>
          <w:bCs w:val="1"/>
          <w:lang w:val="en-US"/>
        </w:rPr>
        <w:t>we suggest any Paris Alignment indicator would consider</w:t>
      </w:r>
      <w:r w:rsidRPr="0F4EAF91" w:rsidR="41F62B4D">
        <w:rPr>
          <w:lang w:val="en-US"/>
        </w:rPr>
        <w:t>:</w:t>
      </w:r>
    </w:p>
    <w:p w:rsidR="004973BF" w:rsidP="004973BF" w:rsidRDefault="004973BF" w14:paraId="682F11F1" w14:textId="2F6C6480">
      <w:pPr>
        <w:pStyle w:val="Paragraphedeliste"/>
        <w:numPr>
          <w:ilvl w:val="0"/>
          <w:numId w:val="50"/>
        </w:numPr>
        <w:rPr>
          <w:lang w:val="en-US"/>
        </w:rPr>
      </w:pPr>
      <w:r w:rsidRPr="004973BF">
        <w:rPr>
          <w:b/>
          <w:bCs/>
          <w:lang w:val="en-US"/>
        </w:rPr>
        <w:t>An assessment of whether the fund supports the development of fossil fuel production</w:t>
      </w:r>
      <w:r>
        <w:rPr>
          <w:lang w:val="en-US"/>
        </w:rPr>
        <w:t xml:space="preserve"> (through project or company level investments).</w:t>
      </w:r>
    </w:p>
    <w:p w:rsidR="004973BF" w:rsidP="004973BF" w:rsidRDefault="004973BF" w14:paraId="18B9FCD8" w14:textId="4B2C3BD5">
      <w:pPr>
        <w:pStyle w:val="Paragraphedeliste"/>
        <w:numPr>
          <w:ilvl w:val="0"/>
          <w:numId w:val="50"/>
        </w:numPr>
        <w:rPr>
          <w:lang w:val="en-US"/>
        </w:rPr>
      </w:pPr>
      <w:r w:rsidRPr="0F4EAF91" w:rsidR="41F62B4D">
        <w:rPr>
          <w:b w:val="1"/>
          <w:bCs w:val="1"/>
          <w:lang w:val="en-US"/>
        </w:rPr>
        <w:t xml:space="preserve">Best-available </w:t>
      </w:r>
      <w:r w:rsidRPr="0F4EAF91" w:rsidR="41F62B4D">
        <w:rPr>
          <w:b w:val="1"/>
          <w:bCs w:val="1"/>
          <w:lang w:val="en-US"/>
        </w:rPr>
        <w:t>methodology</w:t>
      </w:r>
      <w:r w:rsidRPr="0F4EAF91" w:rsidR="41F62B4D">
        <w:rPr>
          <w:b w:val="1"/>
          <w:bCs w:val="1"/>
          <w:lang w:val="en-US"/>
        </w:rPr>
        <w:t xml:space="preserve"> to aggregate the fund assets’ contribution and its evolution and compare it to a trajectory aligned with a 1.5°C scenario</w:t>
      </w:r>
      <w:r w:rsidRPr="0F4EAF91" w:rsidR="41F62B4D">
        <w:rPr>
          <w:lang w:val="en-US"/>
        </w:rPr>
        <w:t xml:space="preserve">. While no full-proof </w:t>
      </w:r>
      <w:r w:rsidRPr="0F4EAF91" w:rsidR="41F62B4D">
        <w:rPr>
          <w:lang w:val="en-US"/>
        </w:rPr>
        <w:t>methodology</w:t>
      </w:r>
      <w:r w:rsidRPr="0F4EAF91" w:rsidR="41F62B4D">
        <w:rPr>
          <w:lang w:val="en-US"/>
        </w:rPr>
        <w:t xml:space="preserve"> is available to do this today, the </w:t>
      </w:r>
      <w:hyperlink r:id="Rccfd1c61aa264e68">
        <w:r w:rsidRPr="0F4EAF91" w:rsidR="41F62B4D">
          <w:rPr>
            <w:rStyle w:val="Lienhypertexte"/>
            <w:lang w:val="en-US"/>
          </w:rPr>
          <w:t>MyFairMoney</w:t>
        </w:r>
        <w:r w:rsidRPr="0F4EAF91" w:rsidR="41F62B4D">
          <w:rPr>
            <w:rStyle w:val="Lienhypertexte"/>
            <w:lang w:val="en-US"/>
          </w:rPr>
          <w:t xml:space="preserve"> project</w:t>
        </w:r>
      </w:hyperlink>
      <w:r w:rsidRPr="0F4EAF91" w:rsidR="41F62B4D">
        <w:rPr>
          <w:lang w:val="en-US"/>
        </w:rPr>
        <w:t xml:space="preserve"> </w:t>
      </w:r>
      <w:r w:rsidRPr="0F4EAF91" w:rsidR="41F62B4D">
        <w:rPr>
          <w:lang w:val="en-US"/>
        </w:rPr>
        <w:t>provides</w:t>
      </w:r>
      <w:r w:rsidRPr="0F4EAF91" w:rsidR="41F62B4D">
        <w:rPr>
          <w:lang w:val="en-US"/>
        </w:rPr>
        <w:t xml:space="preserve"> an </w:t>
      </w:r>
      <w:r w:rsidRPr="0F4EAF91" w:rsidR="33DC9BE3">
        <w:rPr>
          <w:lang w:val="en-US"/>
        </w:rPr>
        <w:t>example</w:t>
      </w:r>
      <w:r w:rsidRPr="0F4EAF91" w:rsidR="41F62B4D">
        <w:rPr>
          <w:lang w:val="en-US"/>
        </w:rPr>
        <w:t xml:space="preserve"> of an application of the PACTA </w:t>
      </w:r>
      <w:r w:rsidRPr="0F4EAF91" w:rsidR="41F62B4D">
        <w:rPr>
          <w:lang w:val="en-US"/>
        </w:rPr>
        <w:t>methodology</w:t>
      </w:r>
      <w:r w:rsidRPr="0F4EAF91" w:rsidR="41F62B4D">
        <w:rPr>
          <w:lang w:val="en-US"/>
        </w:rPr>
        <w:t xml:space="preserve"> to </w:t>
      </w:r>
      <w:r w:rsidRPr="0F4EAF91" w:rsidR="41F62B4D">
        <w:rPr>
          <w:lang w:val="en-US"/>
        </w:rPr>
        <w:t>provide</w:t>
      </w:r>
      <w:r w:rsidRPr="0F4EAF91" w:rsidR="41F62B4D">
        <w:rPr>
          <w:lang w:val="en-US"/>
        </w:rPr>
        <w:t xml:space="preserve"> a Paris-</w:t>
      </w:r>
      <w:r w:rsidRPr="0F4EAF91" w:rsidR="7B91D205">
        <w:rPr>
          <w:lang w:val="en-US"/>
        </w:rPr>
        <w:t>alignment</w:t>
      </w:r>
      <w:r w:rsidRPr="0F4EAF91" w:rsidR="41F62B4D">
        <w:rPr>
          <w:lang w:val="en-US"/>
        </w:rPr>
        <w:t xml:space="preserve"> score. It should be noted however that the underlying scenarios are not 1.5°C no/low overshot with negative emissions, meaning that the grade given based on this </w:t>
      </w:r>
      <w:r w:rsidRPr="0F4EAF91" w:rsidR="41F62B4D">
        <w:rPr>
          <w:lang w:val="en-US"/>
        </w:rPr>
        <w:t>methodology</w:t>
      </w:r>
      <w:r w:rsidRPr="0F4EAF91" w:rsidR="41F62B4D">
        <w:rPr>
          <w:lang w:val="en-US"/>
        </w:rPr>
        <w:t xml:space="preserve"> could be above a fully “science-based” evaluation.</w:t>
      </w:r>
    </w:p>
    <w:p w:rsidRPr="004973BF" w:rsidR="009C41BB" w:rsidP="009C41BB" w:rsidRDefault="004973BF" w14:paraId="17831788" w14:textId="64EA8227">
      <w:pPr>
        <w:pStyle w:val="Paragraphedeliste"/>
        <w:numPr>
          <w:ilvl w:val="0"/>
          <w:numId w:val="50"/>
        </w:numPr>
        <w:rPr>
          <w:lang w:val="en-US"/>
        </w:rPr>
      </w:pPr>
      <w:r w:rsidRPr="004973BF">
        <w:rPr>
          <w:b/>
          <w:bCs/>
          <w:lang w:val="en-US"/>
        </w:rPr>
        <w:t xml:space="preserve">An assessment of the adoption of 1.5°C transition plans by entities in the fund, with these plans meeting the criteria of the </w:t>
      </w:r>
      <w:hyperlink w:history="1" r:id="rId24">
        <w:r w:rsidRPr="004973BF">
          <w:rPr>
            <w:rStyle w:val="Lienhypertexte"/>
            <w:b/>
            <w:bCs/>
            <w:lang w:val="en-US"/>
          </w:rPr>
          <w:t>UN HLEG Net-Zero report</w:t>
        </w:r>
      </w:hyperlink>
      <w:r w:rsidRPr="004973BF">
        <w:rPr>
          <w:b/>
          <w:bCs/>
          <w:lang w:val="en-US"/>
        </w:rPr>
        <w:t xml:space="preserve"> </w:t>
      </w:r>
      <w:r>
        <w:rPr>
          <w:lang w:val="en-US"/>
        </w:rPr>
        <w:t>and reporting requirements of the ESRS. The content of these plans should be further analyzed and standardized at EU level, coherently with their inclusion in the ESRS.</w:t>
      </w:r>
    </w:p>
    <w:permEnd w:id="1824523423"/>
    <w:p w:rsidR="009C41BB" w:rsidP="009C41BB" w:rsidRDefault="009C41BB" w14:paraId="1B2A7DBF" w14:textId="77777777">
      <w:r>
        <w:t>&lt;ESMA_QUESTION_SFDR_25&gt;</w:t>
      </w:r>
    </w:p>
    <w:p w:rsidR="009C41BB" w:rsidP="009C41BB" w:rsidRDefault="009C41BB" w14:paraId="4826CAD9" w14:textId="77777777"/>
    <w:p w:rsidR="009C41BB" w:rsidP="009C41BB" w:rsidRDefault="009C41BB" w14:paraId="1340C518" w14:textId="77777777">
      <w:pPr>
        <w:pStyle w:val="Questionstyle"/>
        <w:numPr>
          <w:ilvl w:val="0"/>
          <w:numId w:val="42"/>
        </w:numPr>
      </w:pPr>
      <w:r>
        <w:t>: Do you agree with the proposed approach to require that the target is calculated for all investments of the financial product? Please explain your answer.</w:t>
      </w:r>
    </w:p>
    <w:p w:rsidR="009C41BB" w:rsidP="009C41BB" w:rsidRDefault="009C41BB" w14:paraId="36D5F087" w14:textId="77777777">
      <w:r>
        <w:t>&lt;ESMA_QUESTION_SFDR_26&gt;</w:t>
      </w:r>
    </w:p>
    <w:p w:rsidR="009C41BB" w:rsidP="009C41BB" w:rsidRDefault="002571C1" w14:paraId="48793778" w14:textId="1E0E110C">
      <w:permStart w:edGrp="everyone" w:id="1572164812"/>
      <w:r>
        <w:t>We agree with this approach.</w:t>
      </w:r>
    </w:p>
    <w:permEnd w:id="1572164812"/>
    <w:p w:rsidR="009C41BB" w:rsidP="009C41BB" w:rsidRDefault="009C41BB" w14:paraId="6D51DAEC" w14:textId="77777777">
      <w:r>
        <w:lastRenderedPageBreak/>
        <w:t>&lt;ESMA_QUESTION_SFDR_26&gt;</w:t>
      </w:r>
    </w:p>
    <w:p w:rsidR="009C41BB" w:rsidP="009C41BB" w:rsidRDefault="009C41BB" w14:paraId="784871E3" w14:textId="77777777"/>
    <w:p w:rsidR="009C41BB" w:rsidP="009C41BB" w:rsidRDefault="009C41BB" w14:paraId="0E460FDF" w14:textId="77777777">
      <w:pPr>
        <w:pStyle w:val="Questionstyle"/>
        <w:numPr>
          <w:ilvl w:val="0"/>
          <w:numId w:val="42"/>
        </w:numPr>
      </w:pPr>
      <w:r>
        <w:t xml:space="preserve">: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be considered? Please justify your answer and provide the name of alternative standards you would suggest, if any. </w:t>
      </w:r>
    </w:p>
    <w:p w:rsidR="009C41BB" w:rsidP="009C41BB" w:rsidRDefault="009C41BB" w14:paraId="30DBA1F9" w14:textId="77777777">
      <w:r>
        <w:t>&lt;ESMA_QUESTION_SFDR_27&gt;</w:t>
      </w:r>
    </w:p>
    <w:p w:rsidR="002571C1" w:rsidP="009C41BB" w:rsidRDefault="00605559" w14:paraId="6A739756" w14:textId="29064585">
      <w:permStart w:edGrp="everyone" w:id="324808106"/>
      <w:r>
        <w:t xml:space="preserve">We broadly agree with the proposed approach that provides more consistency to GHG emission </w:t>
      </w:r>
      <w:proofErr w:type="spellStart"/>
      <w:r>
        <w:t>reportings</w:t>
      </w:r>
      <w:proofErr w:type="spellEnd"/>
      <w:r>
        <w:t xml:space="preserve">. </w:t>
      </w:r>
    </w:p>
    <w:p w:rsidR="009C41BB" w:rsidP="009C41BB" w:rsidRDefault="00605559" w14:paraId="74E19DA1" w14:textId="086AB7E8">
      <w:r>
        <w:t>Nonetheless, we note that the ESAs should explicitly clarify that they will follow any development in GHG accounting methodology to update the requirements if any new methodology that provides a more accurate picture of emissions is developed.</w:t>
      </w:r>
    </w:p>
    <w:permEnd w:id="324808106"/>
    <w:p w:rsidR="009C41BB" w:rsidP="009C41BB" w:rsidRDefault="009C41BB" w14:paraId="0E6910F8" w14:textId="77777777">
      <w:r>
        <w:t>&lt;ESMA_QUESTION_SFDR_27&gt;</w:t>
      </w:r>
    </w:p>
    <w:p w:rsidR="009C41BB" w:rsidP="009C41BB" w:rsidRDefault="009C41BB" w14:paraId="6FBCA7B9" w14:textId="77777777"/>
    <w:p w:rsidR="009C41BB" w:rsidP="009C41BB" w:rsidRDefault="009C41BB" w14:paraId="337B55CD" w14:textId="77777777">
      <w:pPr>
        <w:pStyle w:val="Questionstyle"/>
        <w:numPr>
          <w:ilvl w:val="0"/>
          <w:numId w:val="42"/>
        </w:numPr>
      </w:pPr>
      <w:r>
        <w:t>: Do you agree with the approach taken to removals and the use of carbon credits and the alignment the ESAs have sought to achieve with the EFRAG Draft ESRS E1? Please explain your answer.</w:t>
      </w:r>
    </w:p>
    <w:p w:rsidRPr="00AF6197" w:rsidR="009C41BB" w:rsidP="009C41BB" w:rsidRDefault="009C41BB" w14:paraId="1D975B0A" w14:textId="77777777">
      <w:pPr>
        <w:rPr>
          <w:lang w:val="fr-FR"/>
        </w:rPr>
      </w:pPr>
      <w:r w:rsidRPr="00AF6197">
        <w:rPr>
          <w:lang w:val="fr-FR"/>
        </w:rPr>
        <w:t>&lt;ESMA_QUESTION_SFDR_28&gt;</w:t>
      </w:r>
    </w:p>
    <w:p w:rsidRPr="00AF6197" w:rsidR="009C41BB" w:rsidP="009C41BB" w:rsidRDefault="00AF6197" w14:paraId="528C3FA3" w14:textId="24BEB75E">
      <w:pPr>
        <w:rPr>
          <w:lang w:val="en-US"/>
        </w:rPr>
      </w:pPr>
      <w:permStart w:edGrp="everyone" w:id="1690654287"/>
      <w:r w:rsidRPr="00AF6197">
        <w:rPr>
          <w:b/>
          <w:bCs/>
          <w:lang w:val="en-US"/>
        </w:rPr>
        <w:t>Reclaim Finance agrees with this approach</w:t>
      </w:r>
      <w:r>
        <w:rPr>
          <w:lang w:val="en-US"/>
        </w:rPr>
        <w:t xml:space="preserve"> that mitigates the potential adverse effect of reliance on carbon credits and removals and helps avoid greenwashing.</w:t>
      </w:r>
    </w:p>
    <w:permEnd w:id="1690654287"/>
    <w:p w:rsidRPr="00AF6197" w:rsidR="009C41BB" w:rsidP="009C41BB" w:rsidRDefault="009C41BB" w14:paraId="6972221C" w14:textId="77777777">
      <w:pPr>
        <w:rPr>
          <w:lang w:val="en-US"/>
        </w:rPr>
      </w:pPr>
      <w:r w:rsidRPr="00AF6197">
        <w:rPr>
          <w:lang w:val="en-US"/>
        </w:rPr>
        <w:t>&lt;ESMA_QUESTION_SFDR_28&gt;</w:t>
      </w:r>
    </w:p>
    <w:p w:rsidRPr="00AF6197" w:rsidR="009C41BB" w:rsidP="009C41BB" w:rsidRDefault="009C41BB" w14:paraId="5A937A77" w14:textId="77777777">
      <w:pPr>
        <w:rPr>
          <w:lang w:val="en-US"/>
        </w:rPr>
      </w:pPr>
    </w:p>
    <w:p w:rsidR="009C41BB" w:rsidP="009C41BB" w:rsidRDefault="009C41BB" w14:paraId="66CE0F74" w14:textId="77777777">
      <w:pPr>
        <w:pStyle w:val="Questionstyle"/>
        <w:numPr>
          <w:ilvl w:val="0"/>
          <w:numId w:val="42"/>
        </w:numPr>
      </w:pPr>
      <w:r>
        <w:t>: Do you find it useful to ask for disclosures regarding the consistency between the product targets and the financial market participants entity-level targets and transition plan for climate change mitigation? What could be the benefits of and challenges to making such disclosures available? Please explain you answer.</w:t>
      </w:r>
    </w:p>
    <w:p w:rsidRPr="00E54E17" w:rsidR="009C41BB" w:rsidP="009C41BB" w:rsidRDefault="009C41BB" w14:paraId="0A33C862" w14:textId="77777777">
      <w:pPr>
        <w:rPr>
          <w:lang w:val="fr-FR"/>
        </w:rPr>
      </w:pPr>
      <w:r w:rsidRPr="00E54E17">
        <w:rPr>
          <w:lang w:val="fr-FR"/>
        </w:rPr>
        <w:t>&lt;ESMA_QUESTION_SFDR_29&gt;</w:t>
      </w:r>
    </w:p>
    <w:p w:rsidR="009C41BB" w:rsidP="009C41BB" w:rsidRDefault="00E54E17" w14:paraId="7F9B1903" w14:textId="4EB999BC">
      <w:pPr>
        <w:rPr>
          <w:lang w:val="en-US"/>
        </w:rPr>
      </w:pPr>
      <w:permStart w:edGrp="everyone" w:id="811147857"/>
      <w:r w:rsidRPr="00E54E17" w:rsidR="18E907E7">
        <w:rPr>
          <w:lang w:val="en-US"/>
        </w:rPr>
        <w:t>Reclaim F</w:t>
      </w:r>
      <w:r w:rsidR="18E907E7">
        <w:rPr>
          <w:lang w:val="en-US"/>
        </w:rPr>
        <w:t>inance strongly agre</w:t>
      </w:r>
      <w:r w:rsidR="2F766391">
        <w:rPr>
          <w:lang w:val="en-US"/>
        </w:rPr>
        <w:t>e</w:t>
      </w:r>
      <w:r w:rsidR="18E907E7">
        <w:rPr>
          <w:lang w:val="en-US"/>
        </w:rPr>
        <w:t xml:space="preserve">s that disclosures </w:t>
      </w:r>
      <w:r w:rsidR="18E907E7">
        <w:rPr>
          <w:lang w:val="en-US"/>
        </w:rPr>
        <w:t xml:space="preserve">regarding</w:t>
      </w:r>
      <w:r w:rsidR="18E907E7">
        <w:rPr>
          <w:lang w:val="en-US"/>
        </w:rPr>
        <w:t xml:space="preserve"> the consistency </w:t>
      </w:r>
      <w:r w:rsidR="071221CB">
        <w:rPr>
          <w:lang w:val="en-US"/>
        </w:rPr>
        <w:t xml:space="preserve">between the product targets and the financial market </w:t>
      </w:r>
      <w:r w:rsidR="084142AB">
        <w:rPr>
          <w:lang w:val="en-US"/>
        </w:rPr>
        <w:t>participants'</w:t>
      </w:r>
      <w:r w:rsidR="071221CB">
        <w:rPr>
          <w:lang w:val="en-US"/>
        </w:rPr>
        <w:t xml:space="preserve"> entity-level targets and transition plan would be useful.</w:t>
      </w:r>
    </w:p>
    <w:p w:rsidR="00EF03E5" w:rsidP="009C41BB" w:rsidRDefault="00EF03E5" w14:paraId="36BB5293" w14:textId="4ECDCB9B">
      <w:pPr>
        <w:rPr>
          <w:lang w:val="en-US"/>
        </w:rPr>
      </w:pPr>
      <w:r>
        <w:rPr>
          <w:lang w:val="en-US"/>
        </w:rPr>
        <w:lastRenderedPageBreak/>
        <w:t xml:space="preserve">It is essential to link the potential environmental and climate impact of a </w:t>
      </w:r>
      <w:r w:rsidR="005F0062">
        <w:rPr>
          <w:lang w:val="en-US"/>
        </w:rPr>
        <w:t xml:space="preserve">product to the practices of the FMP that manages it. Indeed, the climate transition requires shifting all financial services from highly emitting to sustainable activities and companies. Such a shift cannot be operated with sustainability criteria established solely at product level. In most cases, FMPs that manage </w:t>
      </w:r>
      <w:proofErr w:type="spellStart"/>
      <w:r w:rsidR="005F0062">
        <w:rPr>
          <w:lang w:val="en-US"/>
        </w:rPr>
        <w:t>funsd</w:t>
      </w:r>
      <w:proofErr w:type="spellEnd"/>
      <w:r w:rsidR="005F0062">
        <w:rPr>
          <w:lang w:val="en-US"/>
        </w:rPr>
        <w:t xml:space="preserve"> with sustainability criteria also provide significant support to harmful companies via other products and services. Only providing information at the fund level can be misleading for retail investors that want to invest sustainably.</w:t>
      </w:r>
    </w:p>
    <w:p w:rsidR="005F0062" w:rsidP="009C41BB" w:rsidRDefault="005F0062" w14:paraId="3B5E9DCF" w14:textId="0F665B34">
      <w:pPr>
        <w:rPr>
          <w:lang w:val="en-US"/>
        </w:rPr>
      </w:pPr>
      <w:r w:rsidRPr="0F4EAF91" w:rsidR="2F766391">
        <w:rPr>
          <w:lang w:val="en-US"/>
        </w:rPr>
        <w:t xml:space="preserve">In this context, </w:t>
      </w:r>
      <w:r w:rsidRPr="0F4EAF91" w:rsidR="2F766391">
        <w:rPr>
          <w:b w:val="1"/>
          <w:bCs w:val="1"/>
          <w:lang w:val="en-US"/>
        </w:rPr>
        <w:t xml:space="preserve">disclosures that </w:t>
      </w:r>
      <w:r w:rsidRPr="0F4EAF91" w:rsidR="735E4E67">
        <w:rPr>
          <w:b w:val="1"/>
          <w:bCs w:val="1"/>
          <w:lang w:val="en-US"/>
        </w:rPr>
        <w:t>link</w:t>
      </w:r>
      <w:r w:rsidRPr="0F4EAF91" w:rsidR="2F766391">
        <w:rPr>
          <w:b w:val="1"/>
          <w:bCs w:val="1"/>
          <w:lang w:val="en-US"/>
        </w:rPr>
        <w:t xml:space="preserve"> product targets to FMP targets and plans could help ensure the consistency of the FMP approach and investors to </w:t>
      </w:r>
      <w:r w:rsidRPr="0F4EAF91" w:rsidR="2F766391">
        <w:rPr>
          <w:b w:val="1"/>
          <w:bCs w:val="1"/>
          <w:lang w:val="en-US"/>
        </w:rPr>
        <w:t>identify</w:t>
      </w:r>
      <w:r w:rsidRPr="0F4EAF91" w:rsidR="2F766391">
        <w:rPr>
          <w:b w:val="1"/>
          <w:bCs w:val="1"/>
          <w:lang w:val="en-US"/>
        </w:rPr>
        <w:t xml:space="preserve"> more complete sustainability approaches. Such disclosures should notably include whether</w:t>
      </w:r>
      <w:r w:rsidRPr="0F4EAF91" w:rsidR="2F766391">
        <w:rPr>
          <w:lang w:val="en-US"/>
        </w:rPr>
        <w:t>:</w:t>
      </w:r>
    </w:p>
    <w:p w:rsidR="005F0062" w:rsidP="005F0062" w:rsidRDefault="005F0062" w14:paraId="13EFBD9F" w14:textId="74B08B1B">
      <w:pPr>
        <w:pStyle w:val="Paragraphedeliste"/>
        <w:numPr>
          <w:ilvl w:val="0"/>
          <w:numId w:val="52"/>
        </w:numPr>
        <w:rPr>
          <w:lang w:val="en-US"/>
        </w:rPr>
      </w:pPr>
      <w:r w:rsidRPr="00945124">
        <w:rPr>
          <w:b/>
          <w:bCs/>
          <w:lang w:val="en-US"/>
        </w:rPr>
        <w:t>The FMP is supporting activities at odds with the transition through other financial services, and notably fossil fuel development</w:t>
      </w:r>
      <w:r w:rsidR="00CC5C43">
        <w:rPr>
          <w:lang w:val="en-US"/>
        </w:rPr>
        <w:t xml:space="preserve"> (information on companies developing fossil fuels are available in the Global Oil and Gas and Global Coal Exit List from NGO </w:t>
      </w:r>
      <w:proofErr w:type="spellStart"/>
      <w:r w:rsidR="00CC5C43">
        <w:rPr>
          <w:lang w:val="en-US"/>
        </w:rPr>
        <w:t>Urgewald</w:t>
      </w:r>
      <w:proofErr w:type="spellEnd"/>
      <w:proofErr w:type="gramStart"/>
      <w:r w:rsidR="00CC5C43">
        <w:rPr>
          <w:lang w:val="en-US"/>
        </w:rPr>
        <w:t>)</w:t>
      </w:r>
      <w:r>
        <w:rPr>
          <w:lang w:val="en-US"/>
        </w:rPr>
        <w:t>;</w:t>
      </w:r>
      <w:proofErr w:type="gramEnd"/>
    </w:p>
    <w:p w:rsidR="005F0062" w:rsidP="005F0062" w:rsidRDefault="005F0062" w14:paraId="7C416D7A" w14:textId="48BD0F88">
      <w:pPr>
        <w:pStyle w:val="Paragraphedeliste"/>
        <w:numPr>
          <w:ilvl w:val="0"/>
          <w:numId w:val="52"/>
        </w:numPr>
        <w:rPr>
          <w:lang w:val="en-US"/>
        </w:rPr>
      </w:pPr>
      <w:r w:rsidRPr="00945124">
        <w:rPr>
          <w:b/>
          <w:bCs/>
          <w:lang w:val="en-US"/>
        </w:rPr>
        <w:t xml:space="preserve">The FMP has adopted a transition plan that aligns with the requirements and ambition of the ESRS and with the </w:t>
      </w:r>
      <w:hyperlink w:history="1" r:id="rId25">
        <w:r w:rsidRPr="00945124">
          <w:rPr>
            <w:rStyle w:val="Lienhypertexte"/>
            <w:b/>
            <w:bCs/>
            <w:lang w:val="en-US"/>
          </w:rPr>
          <w:t>recommendations of the UN HLEG</w:t>
        </w:r>
      </w:hyperlink>
      <w:r>
        <w:rPr>
          <w:lang w:val="en-US"/>
        </w:rPr>
        <w:t>;</w:t>
      </w:r>
    </w:p>
    <w:p w:rsidRPr="005F0062" w:rsidR="005F0062" w:rsidP="005F0062" w:rsidRDefault="005F0062" w14:paraId="54DB4BB4" w14:textId="75A94D83">
      <w:pPr>
        <w:pStyle w:val="Paragraphedeliste"/>
        <w:numPr>
          <w:ilvl w:val="0"/>
          <w:numId w:val="52"/>
        </w:numPr>
        <w:rPr>
          <w:lang w:val="en-US"/>
        </w:rPr>
      </w:pPr>
      <w:r>
        <w:rPr>
          <w:lang w:val="en-US"/>
        </w:rPr>
        <w:t xml:space="preserve">The FMP is reducing its financed emissions at a pace compatible with the transition and what are its expectations for companies to transition. </w:t>
      </w:r>
    </w:p>
    <w:permEnd w:id="811147857"/>
    <w:p w:rsidRPr="00E54E17" w:rsidR="009C41BB" w:rsidP="009C41BB" w:rsidRDefault="009C41BB" w14:paraId="7C1B77E1" w14:textId="77777777">
      <w:pPr>
        <w:rPr>
          <w:lang w:val="en-US"/>
        </w:rPr>
      </w:pPr>
      <w:r w:rsidRPr="00E54E17">
        <w:rPr>
          <w:lang w:val="en-US"/>
        </w:rPr>
        <w:t>&lt;ESMA_QUESTION_SFDR_29&gt;</w:t>
      </w:r>
    </w:p>
    <w:p w:rsidRPr="00E54E17" w:rsidR="009C41BB" w:rsidP="009C41BB" w:rsidRDefault="009C41BB" w14:paraId="44D2F33E" w14:textId="77777777">
      <w:pPr>
        <w:rPr>
          <w:lang w:val="en-US"/>
        </w:rPr>
      </w:pPr>
    </w:p>
    <w:p w:rsidR="009C41BB" w:rsidP="009C41BB" w:rsidRDefault="009C41BB" w14:paraId="6BCA58C7" w14:textId="77777777">
      <w:pPr>
        <w:pStyle w:val="Questionstyle"/>
        <w:numPr>
          <w:ilvl w:val="0"/>
          <w:numId w:val="42"/>
        </w:numPr>
      </w:pPr>
      <w:r>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rsidR="009C41BB" w:rsidP="009C41BB" w:rsidRDefault="009C41BB" w14:paraId="4CBCC088" w14:textId="77777777">
      <w:r>
        <w:t>&lt;ESMA_QUESTION_SFDR_30&gt;</w:t>
      </w:r>
    </w:p>
    <w:p w:rsidR="009C41BB" w:rsidP="009C41BB" w:rsidRDefault="00F44866" w14:paraId="0032ED2A" w14:textId="4DED5D2A">
      <w:permStart w:edGrp="everyone" w:id="1542225393"/>
      <w:r>
        <w:t xml:space="preserve">A dashboard could help consumers understand some basic information about the fund. </w:t>
      </w:r>
      <w:proofErr w:type="gramStart"/>
      <w:r>
        <w:t>But,</w:t>
      </w:r>
      <w:proofErr w:type="gramEnd"/>
      <w:r>
        <w:t xml:space="preserve"> its relevance largely depends on its content.</w:t>
      </w:r>
    </w:p>
    <w:permEnd w:id="1542225393"/>
    <w:p w:rsidR="009C41BB" w:rsidP="009C41BB" w:rsidRDefault="009C41BB" w14:paraId="3CC109DF" w14:textId="77777777">
      <w:r>
        <w:t>&lt;ESMA_QUESTION_SFDR_30&gt;</w:t>
      </w:r>
    </w:p>
    <w:p w:rsidR="009C41BB" w:rsidP="009C41BB" w:rsidRDefault="009C41BB" w14:paraId="54A490E5" w14:textId="77777777"/>
    <w:p w:rsidR="009C41BB" w:rsidP="009C41BB" w:rsidRDefault="009C41BB" w14:paraId="48578419" w14:textId="77777777">
      <w:pPr>
        <w:pStyle w:val="Questionstyle"/>
        <w:numPr>
          <w:ilvl w:val="0"/>
          <w:numId w:val="42"/>
        </w:numPr>
      </w:pPr>
      <w:r>
        <w:t>: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rsidR="009C41BB" w:rsidP="009C41BB" w:rsidRDefault="009C41BB" w14:paraId="607383EE" w14:textId="77777777">
      <w:r>
        <w:t>&lt;ESMA_QUESTION_SFDR_31&gt;</w:t>
      </w:r>
    </w:p>
    <w:p w:rsidR="009C41BB" w:rsidP="009C41BB" w:rsidRDefault="00F44866" w14:paraId="4A991AED" w14:textId="15387DD0">
      <w:permStart w:edGrp="everyone" w:id="782583199"/>
      <w:r w:rsidR="08ED34B7">
        <w:rPr/>
        <w:lastRenderedPageBreak/>
        <w:t xml:space="preserve">The current version of the template </w:t>
      </w:r>
      <w:r w:rsidR="3FEE9E84">
        <w:rPr/>
        <w:t>captures</w:t>
      </w:r>
      <w:r w:rsidR="08ED34B7">
        <w:rPr/>
        <w:t xml:space="preserve"> some relevant information for retail investors, including GHG reductions. </w:t>
      </w:r>
      <w:r w:rsidR="63E7ECA6">
        <w:rPr/>
        <w:t xml:space="preserve">But, beyond the proposed information, </w:t>
      </w:r>
      <w:r w:rsidRPr="00945124" w:rsidR="63E7ECA6">
        <w:rPr>
          <w:b w:val="1"/>
          <w:bCs w:val="1"/>
        </w:rPr>
        <w:t xml:space="preserve">the dashboard should at least </w:t>
      </w:r>
      <w:r w:rsidRPr="00945124" w:rsidR="63E7ECA6">
        <w:rPr>
          <w:b w:val="1"/>
          <w:bCs w:val="1"/>
        </w:rPr>
        <w:t xml:space="preserve">contain</w:t>
      </w:r>
      <w:r w:rsidRPr="00945124" w:rsidR="63E7ECA6">
        <w:rPr>
          <w:b w:val="1"/>
          <w:bCs w:val="1"/>
        </w:rPr>
        <w:t xml:space="preserve"> disclosures on the exposure to coal and fossil fuels </w:t>
      </w:r>
      <w:r w:rsidR="63E7ECA6">
        <w:rPr/>
        <w:t>(as laid out in Table 1).</w:t>
      </w:r>
    </w:p>
    <w:permEnd w:id="782583199"/>
    <w:p w:rsidR="009C41BB" w:rsidP="009C41BB" w:rsidRDefault="009C41BB" w14:paraId="6EAACB4A" w14:textId="77777777">
      <w:r>
        <w:t>&lt;ESMA_QUESTION_SFDR_31&gt;</w:t>
      </w:r>
    </w:p>
    <w:p w:rsidR="009C41BB" w:rsidP="009C41BB" w:rsidRDefault="009C41BB" w14:paraId="2945C3E1" w14:textId="77777777"/>
    <w:p w:rsidR="009C41BB" w:rsidP="009C41BB" w:rsidRDefault="009C41BB" w14:paraId="74785B16" w14:textId="77777777">
      <w:pPr>
        <w:pStyle w:val="Questionstyle"/>
        <w:numPr>
          <w:ilvl w:val="0"/>
          <w:numId w:val="42"/>
        </w:numPr>
      </w:pPr>
      <w:r>
        <w:t>: Do you have any suggestion on how to further simplify or enhance the legibility of the current templates?</w:t>
      </w:r>
    </w:p>
    <w:p w:rsidR="009C41BB" w:rsidP="009C41BB" w:rsidRDefault="009C41BB" w14:paraId="484B5EB7" w14:textId="77777777">
      <w:r>
        <w:t>&lt;ESMA_QUESTION_SFDR_32&gt;</w:t>
      </w:r>
    </w:p>
    <w:p w:rsidR="00945124" w:rsidP="00945124" w:rsidRDefault="00945124" w14:paraId="0407FCE2" w14:textId="6F475FAD">
      <w:permStart w:edGrp="everyone" w:id="1403335001"/>
      <w:r w:rsidR="63E7ECA6">
        <w:rPr/>
        <w:t xml:space="preserve">Investors, even more so retail investors, are often focusing on a handful of basic criteria to </w:t>
      </w:r>
      <w:r w:rsidR="63E7ECA6">
        <w:rPr/>
        <w:t xml:space="preserve">determine</w:t>
      </w:r>
      <w:r w:rsidR="63E7ECA6">
        <w:rPr/>
        <w:t xml:space="preserve"> </w:t>
      </w:r>
      <w:r w:rsidR="08597847">
        <w:rPr/>
        <w:t>whether</w:t>
      </w:r>
      <w:r w:rsidR="63E7ECA6">
        <w:rPr/>
        <w:t xml:space="preserve"> a fund meet their non-financial preferences. For example, many EU citizens do not want to invest in funds that contribute to financing things like fossil fuels, </w:t>
      </w:r>
      <w:r w:rsidR="63E7ECA6">
        <w:rPr/>
        <w:t>tobacco</w:t>
      </w:r>
      <w:r w:rsidR="63E7ECA6">
        <w:rPr/>
        <w:t xml:space="preserve"> or activities responsible for deforestation. </w:t>
      </w:r>
    </w:p>
    <w:p w:rsidR="00945124" w:rsidP="00945124" w:rsidRDefault="00945124" w14:paraId="7928E585" w14:textId="42A30BC9">
      <w:r w:rsidRPr="00945124">
        <w:rPr>
          <w:b/>
          <w:bCs/>
        </w:rPr>
        <w:t>Under SFDR, all funds should be required to provide – in a simplified format and on top of additional disclosures – information on whether they contain assets from companies in such controversial sectors. A specific indicator should notably exist to make clear which funds contain companies that are developing new fossil fuel projects</w:t>
      </w:r>
      <w:r>
        <w:t xml:space="preserve"> at odds with EU climate and sustainability goals. </w:t>
      </w:r>
    </w:p>
    <w:p w:rsidR="009C41BB" w:rsidP="009C41BB" w:rsidRDefault="00945124" w14:paraId="0E7D78E9" w14:textId="7E290772">
      <w:r w:rsidR="63E7ECA6">
        <w:rPr/>
        <w:t xml:space="preserve">Having such indicators featured in the proposed dashboard would </w:t>
      </w:r>
      <w:r w:rsidR="63E7ECA6">
        <w:rPr/>
        <w:t>considerably simplify</w:t>
      </w:r>
      <w:r w:rsidR="63E7ECA6">
        <w:rPr/>
        <w:t xml:space="preserve"> the decision of </w:t>
      </w:r>
      <w:r w:rsidR="63E7ECA6">
        <w:rPr/>
        <w:t>re</w:t>
      </w:r>
      <w:r w:rsidR="195D307A">
        <w:rPr/>
        <w:t>tail</w:t>
      </w:r>
      <w:r w:rsidR="63E7ECA6">
        <w:rPr/>
        <w:t xml:space="preserve"> investors. Furthermore, the activities and sectors </w:t>
      </w:r>
      <w:r w:rsidR="63E7ECA6">
        <w:rPr/>
        <w:t>identified</w:t>
      </w:r>
      <w:r w:rsidR="63E7ECA6">
        <w:rPr/>
        <w:t xml:space="preserve"> could also serve as basis for a list of “always significantly harmful” activities that would facilitate SFDR DNSH assessment as proposed in our response to Q17/18/20/21.</w:t>
      </w:r>
    </w:p>
    <w:permEnd w:id="1403335001"/>
    <w:p w:rsidR="009C41BB" w:rsidP="009C41BB" w:rsidRDefault="009C41BB" w14:paraId="7E9441BB" w14:textId="77777777">
      <w:r>
        <w:t>&lt;ESMA_QUESTION_SFDR_32&gt;</w:t>
      </w:r>
    </w:p>
    <w:p w:rsidR="009C41BB" w:rsidP="009C41BB" w:rsidRDefault="009C41BB" w14:paraId="18AAA0E4" w14:textId="77777777"/>
    <w:p w:rsidR="009C41BB" w:rsidP="009C41BB" w:rsidRDefault="009C41BB" w14:paraId="64EB0B57" w14:textId="77777777">
      <w:pPr>
        <w:pStyle w:val="Questionstyle"/>
        <w:numPr>
          <w:ilvl w:val="0"/>
          <w:numId w:val="42"/>
        </w:numPr>
      </w:pPr>
      <w:r>
        <w:t>: Is the investment tree in the asset allocation section necessary if the dashboard shows the proportion of sustainable and taxonomy-aligned investments?</w:t>
      </w:r>
    </w:p>
    <w:p w:rsidR="009C41BB" w:rsidP="009C41BB" w:rsidRDefault="009C41BB" w14:paraId="281EF182" w14:textId="77777777">
      <w:r>
        <w:t>&lt;ESMA_QUESTION_SFDR_33&gt;</w:t>
      </w:r>
    </w:p>
    <w:p w:rsidR="009C41BB" w:rsidP="009C41BB" w:rsidRDefault="009C41BB" w14:paraId="4623C717" w14:textId="77777777">
      <w:permStart w:edGrp="everyone" w:id="1422073065"/>
      <w:r>
        <w:t>TYPE YOUR TEXT HERE</w:t>
      </w:r>
    </w:p>
    <w:permEnd w:id="1422073065"/>
    <w:p w:rsidR="009C41BB" w:rsidP="009C41BB" w:rsidRDefault="009C41BB" w14:paraId="6599A667" w14:textId="77777777">
      <w:r>
        <w:t>&lt;ESMA_QUESTION_SFDR_33&gt;</w:t>
      </w:r>
    </w:p>
    <w:p w:rsidR="009C41BB" w:rsidP="009C41BB" w:rsidRDefault="009C41BB" w14:paraId="5291B095" w14:textId="77777777"/>
    <w:p w:rsidR="009C41BB" w:rsidP="009C41BB" w:rsidRDefault="009C41BB" w14:paraId="3A3024F0" w14:textId="77777777">
      <w:pPr>
        <w:pStyle w:val="Questionstyle"/>
        <w:numPr>
          <w:ilvl w:val="0"/>
          <w:numId w:val="42"/>
        </w:numPr>
      </w:pPr>
      <w:r>
        <w:t xml:space="preserve">: Do you agree with this approach of ensuring consistency in the use of </w:t>
      </w:r>
      <w:proofErr w:type="spellStart"/>
      <w:r>
        <w:t>colours</w:t>
      </w:r>
      <w:proofErr w:type="spellEnd"/>
      <w:r>
        <w:t xml:space="preserve"> in Annex II to V in the templates?</w:t>
      </w:r>
    </w:p>
    <w:p w:rsidR="009C41BB" w:rsidP="009C41BB" w:rsidRDefault="009C41BB" w14:paraId="6405D8BD" w14:textId="77777777">
      <w:r>
        <w:t>&lt;ESMA_QUESTION_SFDR_34&gt;</w:t>
      </w:r>
    </w:p>
    <w:p w:rsidR="009C41BB" w:rsidP="009C41BB" w:rsidRDefault="009C41BB" w14:paraId="4F58A46C" w14:textId="77777777">
      <w:permStart w:edGrp="everyone" w:id="335090742"/>
      <w:r>
        <w:lastRenderedPageBreak/>
        <w:t>TYPE YOUR TEXT HERE</w:t>
      </w:r>
    </w:p>
    <w:permEnd w:id="335090742"/>
    <w:p w:rsidR="009C41BB" w:rsidP="009C41BB" w:rsidRDefault="009C41BB" w14:paraId="16A8B44E" w14:textId="77777777">
      <w:r>
        <w:t>&lt;ESMA_QUESTION_SFDR_34&gt;</w:t>
      </w:r>
    </w:p>
    <w:p w:rsidR="009C41BB" w:rsidP="009C41BB" w:rsidRDefault="009C41BB" w14:paraId="6119CB7B" w14:textId="77777777"/>
    <w:p w:rsidR="009C41BB" w:rsidP="009C41BB" w:rsidRDefault="009C41BB" w14:paraId="35A021E6" w14:textId="77777777">
      <w:pPr>
        <w:pStyle w:val="Questionstyle"/>
        <w:numPr>
          <w:ilvl w:val="0"/>
          <w:numId w:val="42"/>
        </w:numPr>
      </w:pPr>
      <w:r>
        <w:t>: Do you agree with the approach to allow to display the pre-contractual and periodic disclosures in an extendable manner electronically?</w:t>
      </w:r>
    </w:p>
    <w:p w:rsidR="009C41BB" w:rsidP="009C41BB" w:rsidRDefault="009C41BB" w14:paraId="5B4143D4" w14:textId="77777777">
      <w:r>
        <w:t>&lt;ESMA_QUESTION_SFDR_35&gt;</w:t>
      </w:r>
    </w:p>
    <w:p w:rsidR="009C41BB" w:rsidP="009C41BB" w:rsidRDefault="009C41BB" w14:paraId="71D3FC98" w14:textId="77777777">
      <w:permStart w:edGrp="everyone" w:id="1624927821"/>
      <w:r>
        <w:t>TYPE YOUR TEXT HERE</w:t>
      </w:r>
    </w:p>
    <w:permEnd w:id="1624927821"/>
    <w:p w:rsidR="009C41BB" w:rsidP="009C41BB" w:rsidRDefault="009C41BB" w14:paraId="6C8E5897" w14:textId="77777777">
      <w:r>
        <w:t>&lt;ESMA_QUESTION_SFDR_35&gt;</w:t>
      </w:r>
    </w:p>
    <w:p w:rsidR="009C41BB" w:rsidP="009C41BB" w:rsidRDefault="009C41BB" w14:paraId="2BE97EFC" w14:textId="77777777"/>
    <w:p w:rsidR="009C41BB" w:rsidP="009C41BB" w:rsidRDefault="009C41BB" w14:paraId="37B95334" w14:textId="77777777">
      <w:pPr>
        <w:pStyle w:val="Questionstyle"/>
        <w:numPr>
          <w:ilvl w:val="0"/>
          <w:numId w:val="42"/>
        </w:numPr>
      </w:pPr>
      <w:r>
        <w:t xml:space="preserve">: Do you have any feedback </w:t>
      </w:r>
      <w:proofErr w:type="gramStart"/>
      <w:r>
        <w:t>with regard to</w:t>
      </w:r>
      <w:proofErr w:type="gramEnd"/>
      <w:r>
        <w:t xml:space="preserve"> the potential criteria for estimates?</w:t>
      </w:r>
    </w:p>
    <w:p w:rsidR="009C41BB" w:rsidP="009C41BB" w:rsidRDefault="009C41BB" w14:paraId="5BB9BA92" w14:textId="77777777">
      <w:r>
        <w:t>&lt;ESMA_QUESTION_SFDR_36&gt;</w:t>
      </w:r>
    </w:p>
    <w:p w:rsidR="009C41BB" w:rsidP="009C41BB" w:rsidRDefault="009C41BB" w14:paraId="7F375438" w14:textId="77777777">
      <w:permStart w:edGrp="everyone" w:id="1338527016"/>
      <w:r>
        <w:t>TYPE YOUR TEXT HERE</w:t>
      </w:r>
    </w:p>
    <w:permEnd w:id="1338527016"/>
    <w:p w:rsidR="009C41BB" w:rsidP="009C41BB" w:rsidRDefault="009C41BB" w14:paraId="08A6D8BD" w14:textId="77777777">
      <w:r>
        <w:t>&lt;ESMA_QUESTION_SFDR_36&gt;</w:t>
      </w:r>
    </w:p>
    <w:p w:rsidR="009C41BB" w:rsidP="009C41BB" w:rsidRDefault="009C41BB" w14:paraId="03D58FD3" w14:textId="77777777"/>
    <w:p w:rsidR="009C41BB" w:rsidP="009C41BB" w:rsidRDefault="009C41BB" w14:paraId="32FB37DE" w14:textId="77777777">
      <w:pPr>
        <w:pStyle w:val="Questionstyle"/>
        <w:numPr>
          <w:ilvl w:val="0"/>
          <w:numId w:val="42"/>
        </w:numPr>
      </w:pPr>
      <w:r>
        <w:t>: Do you perceive the need for a more specific definition of the concept of “key environmental metrics” to prevent greenwashing? If so, how could those metrics be defined?</w:t>
      </w:r>
    </w:p>
    <w:p w:rsidRPr="001E59AE" w:rsidR="009C41BB" w:rsidP="009C41BB" w:rsidRDefault="009C41BB" w14:paraId="6A9B0B8C" w14:textId="77777777">
      <w:pPr>
        <w:rPr>
          <w:lang w:val="fr-FR"/>
        </w:rPr>
      </w:pPr>
      <w:r w:rsidRPr="001E59AE">
        <w:rPr>
          <w:lang w:val="fr-FR"/>
        </w:rPr>
        <w:t>&lt;ESMA_QUESTION_SFDR_37&gt;</w:t>
      </w:r>
    </w:p>
    <w:p w:rsidRPr="001E59AE" w:rsidR="009C41BB" w:rsidP="009C41BB" w:rsidRDefault="001E59AE" w14:paraId="5916FA23" w14:textId="41F5CC77">
      <w:pPr>
        <w:rPr>
          <w:lang w:val="en-US"/>
        </w:rPr>
      </w:pPr>
      <w:permStart w:edGrp="everyone" w:id="1477927507"/>
      <w:r w:rsidRPr="001E59AE" w:rsidR="3BADEDAD">
        <w:rPr>
          <w:lang w:val="en-US"/>
        </w:rPr>
        <w:t>« Key environmental metrics » could b</w:t>
      </w:r>
      <w:r w:rsidR="3BADEDAD">
        <w:rPr>
          <w:lang w:val="en-US"/>
        </w:rPr>
        <w:t xml:space="preserve">e better defined by referencing the climate and sustainability </w:t>
      </w:r>
      <w:r w:rsidR="088752FE">
        <w:rPr>
          <w:lang w:val="en-US"/>
        </w:rPr>
        <w:t>objectives</w:t>
      </w:r>
      <w:r w:rsidR="3BADEDAD">
        <w:rPr>
          <w:lang w:val="en-US"/>
        </w:rPr>
        <w:t xml:space="preserve"> of the EU Taxonomy as well as EU climate targets. </w:t>
      </w:r>
      <w:r w:rsidR="20388030">
        <w:rPr>
          <w:lang w:val="en-US"/>
        </w:rPr>
        <w:t xml:space="preserve">They are all metrics that could have a negative or positive impact on these </w:t>
      </w:r>
      <w:r w:rsidR="20388030">
        <w:rPr>
          <w:lang w:val="en-US"/>
        </w:rPr>
        <w:t>objectives</w:t>
      </w:r>
      <w:r w:rsidR="20388030">
        <w:rPr>
          <w:lang w:val="en-US"/>
        </w:rPr>
        <w:t>.</w:t>
      </w:r>
    </w:p>
    <w:permEnd w:id="1477927507"/>
    <w:p w:rsidRPr="001E59AE" w:rsidR="009C41BB" w:rsidP="009C41BB" w:rsidRDefault="009C41BB" w14:paraId="6186E95A" w14:textId="77777777">
      <w:pPr>
        <w:rPr>
          <w:lang w:val="fr-FR"/>
        </w:rPr>
      </w:pPr>
      <w:r w:rsidRPr="001E59AE">
        <w:rPr>
          <w:lang w:val="fr-FR"/>
        </w:rPr>
        <w:t>&lt;ESMA_QUESTION_SFDR_37&gt;</w:t>
      </w:r>
    </w:p>
    <w:p w:rsidRPr="001E59AE" w:rsidR="009C41BB" w:rsidP="009C41BB" w:rsidRDefault="009C41BB" w14:paraId="0FB31D55" w14:textId="77777777">
      <w:pPr>
        <w:rPr>
          <w:lang w:val="fr-FR"/>
        </w:rPr>
      </w:pPr>
    </w:p>
    <w:p w:rsidR="009C41BB" w:rsidP="009C41BB" w:rsidRDefault="009C41BB" w14:paraId="6578EE1D" w14:textId="77777777">
      <w:pPr>
        <w:pStyle w:val="Questionstyle"/>
        <w:numPr>
          <w:ilvl w:val="0"/>
          <w:numId w:val="42"/>
        </w:numPr>
      </w:pPr>
      <w:r>
        <w:t>: Do you see the need to set out specific rules on the calculation of the proportion of sustainable investments of financial products? Please elaborate.</w:t>
      </w:r>
    </w:p>
    <w:p w:rsidR="009C41BB" w:rsidP="009C41BB" w:rsidRDefault="009C41BB" w14:paraId="6B53BD21" w14:textId="77777777">
      <w:r>
        <w:t>&lt;ESMA_QUESTION_SFDR_38&gt;</w:t>
      </w:r>
    </w:p>
    <w:p w:rsidR="009C41BB" w:rsidP="009C41BB" w:rsidRDefault="009C41BB" w14:paraId="068B78BA" w14:textId="77777777">
      <w:permStart w:edGrp="everyone" w:id="1880105875"/>
      <w:r>
        <w:t>TYPE YOUR TEXT HERE</w:t>
      </w:r>
    </w:p>
    <w:permEnd w:id="1880105875"/>
    <w:p w:rsidR="009C41BB" w:rsidP="009C41BB" w:rsidRDefault="009C41BB" w14:paraId="2FA3340A" w14:textId="77777777">
      <w:r>
        <w:t>&lt;ESMA_QUESTION_SFDR_38&gt;</w:t>
      </w:r>
    </w:p>
    <w:p w:rsidR="009C41BB" w:rsidP="009C41BB" w:rsidRDefault="009C41BB" w14:paraId="23102D84" w14:textId="77777777"/>
    <w:p w:rsidR="009C41BB" w:rsidP="009C41BB" w:rsidRDefault="009C41BB" w14:paraId="3EAED82D" w14:textId="77777777">
      <w:pPr>
        <w:pStyle w:val="Questionstyle"/>
        <w:numPr>
          <w:ilvl w:val="0"/>
          <w:numId w:val="42"/>
        </w:numPr>
      </w:pPr>
      <w:r>
        <w:t>: Do you agree that cross-referencing in periodic disclosures of financial products with investment options would be beneficial to address information overload?</w:t>
      </w:r>
    </w:p>
    <w:p w:rsidR="009C41BB" w:rsidP="009C41BB" w:rsidRDefault="009C41BB" w14:paraId="54A80B2A" w14:textId="77777777">
      <w:r>
        <w:t>&lt;ESMA_QUESTION_SFDR_39&gt;</w:t>
      </w:r>
    </w:p>
    <w:p w:rsidR="009C41BB" w:rsidP="009C41BB" w:rsidRDefault="009C41BB" w14:paraId="4DC13BC6" w14:textId="77777777">
      <w:permStart w:edGrp="everyone" w:id="2135520093"/>
      <w:r>
        <w:t>TYPE YOUR TEXT HERE</w:t>
      </w:r>
    </w:p>
    <w:permEnd w:id="2135520093"/>
    <w:p w:rsidR="009C41BB" w:rsidP="009C41BB" w:rsidRDefault="009C41BB" w14:paraId="091EFBE4" w14:textId="77777777">
      <w:r>
        <w:t>&lt;ESMA_QUESTION_SFDR_39&gt;</w:t>
      </w:r>
    </w:p>
    <w:p w:rsidR="009C41BB" w:rsidP="009C41BB" w:rsidRDefault="009C41BB" w14:paraId="04B20EF5" w14:textId="77777777"/>
    <w:p w:rsidR="009C41BB" w:rsidP="009C41BB" w:rsidRDefault="009C41BB" w14:paraId="3DF4782A" w14:textId="77777777">
      <w:pPr>
        <w:pStyle w:val="Questionstyle"/>
        <w:numPr>
          <w:ilvl w:val="0"/>
          <w:numId w:val="42"/>
        </w:numPr>
      </w:pPr>
      <w:r>
        <w:t>: Do you agree with the proposed website disclosures for financial products with investment options?</w:t>
      </w:r>
    </w:p>
    <w:p w:rsidR="009C41BB" w:rsidP="009C41BB" w:rsidRDefault="009C41BB" w14:paraId="66B2AEB5" w14:textId="77777777">
      <w:r>
        <w:t>&lt;ESMA_QUESTION_SFDR_40&gt;</w:t>
      </w:r>
    </w:p>
    <w:p w:rsidR="009C41BB" w:rsidP="009C41BB" w:rsidRDefault="009C41BB" w14:paraId="6FE55295" w14:textId="77777777">
      <w:permStart w:edGrp="everyone" w:id="388397641"/>
      <w:r>
        <w:t>TYPE YOUR TEXT HERE</w:t>
      </w:r>
    </w:p>
    <w:permEnd w:id="388397641"/>
    <w:p w:rsidR="009C41BB" w:rsidP="009C41BB" w:rsidRDefault="009C41BB" w14:paraId="4B9E0F7F" w14:textId="77777777">
      <w:r>
        <w:t>&lt;ESMA_QUESTION_SFDR_40&gt;</w:t>
      </w:r>
    </w:p>
    <w:p w:rsidR="009C41BB" w:rsidP="009C41BB" w:rsidRDefault="009C41BB" w14:paraId="09C54E3C" w14:textId="77777777"/>
    <w:p w:rsidR="009C41BB" w:rsidP="009C41BB" w:rsidRDefault="009C41BB" w14:paraId="71571821" w14:textId="77777777">
      <w:pPr>
        <w:pStyle w:val="Questionstyle"/>
        <w:numPr>
          <w:ilvl w:val="0"/>
          <w:numId w:val="42"/>
        </w:numPr>
      </w:pPr>
      <w:r>
        <w:t>: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investment undertakings? Should those investment options be covered in some other way?</w:t>
      </w:r>
    </w:p>
    <w:p w:rsidR="009C41BB" w:rsidP="009C41BB" w:rsidRDefault="009C41BB" w14:paraId="35459D01" w14:textId="77777777">
      <w:r>
        <w:t>&lt;ESMA_QUESTION_SFDR_41&gt;</w:t>
      </w:r>
    </w:p>
    <w:p w:rsidR="009C41BB" w:rsidP="009C41BB" w:rsidRDefault="009C41BB" w14:paraId="4AA5024F" w14:textId="77777777">
      <w:permStart w:edGrp="everyone" w:id="1516521151"/>
      <w:r>
        <w:t>TYPE YOUR TEXT HERE</w:t>
      </w:r>
    </w:p>
    <w:permEnd w:id="1516521151"/>
    <w:p w:rsidR="009C41BB" w:rsidP="009C41BB" w:rsidRDefault="009C41BB" w14:paraId="37566D76" w14:textId="77777777">
      <w:r>
        <w:t>&lt;ESMA_QUESTION_SFDR_41&gt;</w:t>
      </w:r>
    </w:p>
    <w:p w:rsidR="009C41BB" w:rsidP="009C41BB" w:rsidRDefault="009C41BB" w14:paraId="09B21CC4" w14:textId="77777777"/>
    <w:p w:rsidR="009C41BB" w:rsidP="009C41BB" w:rsidRDefault="009C41BB" w14:paraId="110636F7" w14:textId="77777777">
      <w:pPr>
        <w:pStyle w:val="Questionstyle"/>
        <w:numPr>
          <w:ilvl w:val="0"/>
          <w:numId w:val="42"/>
        </w:numPr>
      </w:pPr>
      <w:r>
        <w:t>: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w:t>
      </w:r>
    </w:p>
    <w:p w:rsidR="009C41BB" w:rsidP="009C41BB" w:rsidRDefault="009C41BB" w14:paraId="36775834" w14:textId="77777777">
      <w:r>
        <w:t>&lt;ESMA_QUESTION_SFDR_42&gt;</w:t>
      </w:r>
    </w:p>
    <w:p w:rsidR="009C41BB" w:rsidP="009C41BB" w:rsidRDefault="009C41BB" w14:paraId="1B7F9EC1" w14:textId="77777777">
      <w:permStart w:edGrp="everyone" w:id="2063756698"/>
      <w:r>
        <w:lastRenderedPageBreak/>
        <w:t>TYPE YOUR TEXT HERE</w:t>
      </w:r>
    </w:p>
    <w:permEnd w:id="2063756698"/>
    <w:p w:rsidR="009C41BB" w:rsidP="009C41BB" w:rsidRDefault="009C41BB" w14:paraId="09FA201E" w14:textId="77777777">
      <w:r>
        <w:t>&lt;ESMA_QUESTION_SFDR_42&gt;</w:t>
      </w:r>
    </w:p>
    <w:p w:rsidR="009C41BB" w:rsidP="009C41BB" w:rsidRDefault="009C41BB" w14:paraId="5BAED5BF" w14:textId="77777777"/>
    <w:p w:rsidR="009C41BB" w:rsidP="009C41BB" w:rsidRDefault="009C41BB" w14:paraId="5D4AD8BA" w14:textId="77777777">
      <w:pPr>
        <w:pStyle w:val="Questionstyle"/>
        <w:numPr>
          <w:ilvl w:val="0"/>
          <w:numId w:val="42"/>
        </w:numPr>
      </w:pPr>
      <w:r>
        <w:t>: Do you have any views on the preliminary impact assessments? Can you provide estimates of costs associated with each of the policy options?</w:t>
      </w:r>
    </w:p>
    <w:p w:rsidR="009C41BB" w:rsidP="009C41BB" w:rsidRDefault="009C41BB" w14:paraId="1B693755" w14:textId="77777777">
      <w:r>
        <w:t>&lt;ESMA_QUESTION_SFDR_43&gt;</w:t>
      </w:r>
    </w:p>
    <w:p w:rsidR="009C41BB" w:rsidP="009C41BB" w:rsidRDefault="009C41BB" w14:paraId="2E7C709A" w14:textId="77777777">
      <w:permStart w:edGrp="everyone" w:id="1679513234"/>
      <w:r>
        <w:t>TYPE YOUR TEXT HERE</w:t>
      </w:r>
    </w:p>
    <w:permEnd w:id="1679513234"/>
    <w:p w:rsidR="009C41BB" w:rsidP="009C41BB" w:rsidRDefault="009C41BB" w14:paraId="76F88AAD" w14:textId="77777777">
      <w:r>
        <w:t>&lt;ESMA_QUESTION_SFDR_43&gt;</w:t>
      </w:r>
    </w:p>
    <w:p w:rsidR="009C41BB" w:rsidP="009C41BB" w:rsidRDefault="009C41BB" w14:paraId="37ECFAAC" w14:textId="77777777"/>
    <w:p w:rsidR="009C41BB" w:rsidP="009C41BB" w:rsidRDefault="009C41BB" w14:paraId="19595AA6" w14:textId="77777777"/>
    <w:p w:rsidRPr="005418F4" w:rsidR="00171F53" w:rsidP="005418F4" w:rsidRDefault="00171F53" w14:paraId="6FB57019" w14:textId="77777777">
      <w:pPr>
        <w:ind w:left="567" w:hanging="567"/>
        <w:jc w:val="both"/>
        <w:rPr>
          <w:rFonts w:ascii="Arial" w:hAnsi="Arial" w:cs="Arial"/>
          <w:b/>
          <w:bCs/>
          <w:sz w:val="28"/>
          <w:szCs w:val="28"/>
          <w:lang w:val="en-US"/>
        </w:rPr>
      </w:pPr>
    </w:p>
    <w:sectPr w:rsidRPr="005418F4" w:rsidR="00171F53" w:rsidSect="00F2442C">
      <w:headerReference w:type="even" r:id="rId26"/>
      <w:headerReference w:type="default" r:id="rId27"/>
      <w:footerReference w:type="even" r:id="rId28"/>
      <w:footerReference w:type="default" r:id="rId29"/>
      <w:headerReference w:type="first" r:id="rId30"/>
      <w:footerReference w:type="first" r:id="rId31"/>
      <w:pgSz w:w="11906" w:h="16838" w:orient="portrait"/>
      <w:pgMar w:top="1956" w:right="1440" w:bottom="1440" w:left="1440"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4644" w:rsidP="00707738" w:rsidRDefault="006A4644" w14:paraId="6E2A5756" w14:textId="77777777">
      <w:pPr>
        <w:spacing w:after="0" w:line="240" w:lineRule="auto"/>
      </w:pPr>
      <w:r>
        <w:separator/>
      </w:r>
    </w:p>
  </w:endnote>
  <w:endnote w:type="continuationSeparator" w:id="0">
    <w:p w:rsidR="006A4644" w:rsidP="00707738" w:rsidRDefault="006A4644" w14:paraId="71669E9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51D6" w:rsidRDefault="00FC51D6" w14:paraId="3394E5D2"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670219"/>
      <w:docPartObj>
        <w:docPartGallery w:val="Page Numbers (Bottom of Page)"/>
        <w:docPartUnique/>
      </w:docPartObj>
    </w:sdtPr>
    <w:sdtEndPr>
      <w:rPr>
        <w:noProof/>
      </w:rPr>
    </w:sdtEndPr>
    <w:sdtContent>
      <w:p w:rsidR="00142894" w:rsidRDefault="00142894" w14:paraId="57337071" w14:textId="77777777">
        <w:pPr>
          <w:pStyle w:val="Pieddepage"/>
          <w:jc w:val="right"/>
        </w:pPr>
        <w:r>
          <w:fldChar w:fldCharType="begin"/>
        </w:r>
        <w:r>
          <w:instrText xml:space="preserve"> PAGE   \* MERGEFORMAT </w:instrText>
        </w:r>
        <w:r>
          <w:fldChar w:fldCharType="separate"/>
        </w:r>
        <w:r w:rsidR="00E827EB">
          <w:rPr>
            <w:noProof/>
          </w:rPr>
          <w:t>3</w:t>
        </w:r>
        <w:r>
          <w:rPr>
            <w:noProof/>
          </w:rPr>
          <w:fldChar w:fldCharType="end"/>
        </w:r>
      </w:p>
    </w:sdtContent>
  </w:sdt>
  <w:p w:rsidR="008A6C4F" w:rsidRDefault="008A6C4F" w14:paraId="6B6D8C38" w14:textId="777777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51D6" w:rsidRDefault="00FC51D6" w14:paraId="7CF0CA09"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4644" w:rsidP="00707738" w:rsidRDefault="006A4644" w14:paraId="5DBBC4A6" w14:textId="77777777">
      <w:pPr>
        <w:spacing w:after="0" w:line="240" w:lineRule="auto"/>
      </w:pPr>
      <w:r>
        <w:separator/>
      </w:r>
    </w:p>
  </w:footnote>
  <w:footnote w:type="continuationSeparator" w:id="0">
    <w:p w:rsidR="006A4644" w:rsidP="00707738" w:rsidRDefault="006A4644" w14:paraId="0801F668" w14:textId="77777777">
      <w:pPr>
        <w:spacing w:after="0" w:line="240" w:lineRule="auto"/>
      </w:pPr>
      <w:r>
        <w:continuationSeparator/>
      </w:r>
    </w:p>
  </w:footnote>
  <w:footnote w:id="1">
    <w:p w:rsidR="009C41BB" w:rsidP="009C41BB" w:rsidRDefault="009C41BB" w14:paraId="5BF82E71" w14:textId="77777777">
      <w:pPr>
        <w:pStyle w:val="Notedebasdepage"/>
      </w:pPr>
      <w:r>
        <w:rPr>
          <w:rStyle w:val="Appelnotedebasdep"/>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51D6" w:rsidRDefault="00FC51D6" w14:paraId="6A2250E9"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61F7C" w:rsidRDefault="00276971" w14:paraId="70527F85" w14:textId="1A763933">
    <w:pPr>
      <w:pStyle w:val="En-tte"/>
    </w:pPr>
    <w:r>
      <w:rPr>
        <w:noProof/>
      </w:rPr>
      <mc:AlternateContent>
        <mc:Choice Requires="wpg">
          <w:drawing>
            <wp:anchor distT="0" distB="0" distL="114300" distR="114300" simplePos="0" relativeHeight="251659264" behindDoc="0" locked="0" layoutInCell="1" allowOverlap="1" wp14:anchorId="447D0A3B" wp14:editId="068AAD97">
              <wp:simplePos x="0" y="0"/>
              <wp:positionH relativeFrom="margin">
                <wp:align>center</wp:align>
              </wp:positionH>
              <wp:positionV relativeFrom="paragraph">
                <wp:posOffset>-635</wp:posOffset>
              </wp:positionV>
              <wp:extent cx="5395546" cy="657225"/>
              <wp:effectExtent l="0" t="0" r="0" b="9525"/>
              <wp:wrapNone/>
              <wp:docPr id="2" name="Group 2"/>
              <wp:cNvGraphicFramePr/>
              <a:graphic xmlns:a="http://schemas.openxmlformats.org/drawingml/2006/main">
                <a:graphicData uri="http://schemas.microsoft.com/office/word/2010/wordprocessingGroup">
                  <wpg:wgp>
                    <wpg:cNvGrpSpPr/>
                    <wpg:grpSpPr>
                      <a:xfrm>
                        <a:off x="0" y="0"/>
                        <a:ext cx="5395546" cy="657225"/>
                        <a:chOff x="0" y="0"/>
                        <a:chExt cx="5395546" cy="657225"/>
                      </a:xfrm>
                    </wpg:grpSpPr>
                    <pic:pic xmlns:pic="http://schemas.openxmlformats.org/drawingml/2006/picture">
                      <pic:nvPicPr>
                        <pic:cNvPr id="11" name="Picture 11"/>
                        <pic:cNvPicPr>
                          <a:picLocks noChangeAspect="1"/>
                        </pic:cNvPicPr>
                      </pic:nvPicPr>
                      <pic:blipFill rotWithShape="1">
                        <a:blip r:embed="rId1" cstate="print">
                          <a:extLst>
                            <a:ext uri="{28A0092B-C50C-407E-A947-70E740481C1C}">
                              <a14:useLocalDpi xmlns:a14="http://schemas.microsoft.com/office/drawing/2010/main" val="0"/>
                            </a:ext>
                          </a:extLst>
                        </a:blip>
                        <a:srcRect l="74340"/>
                        <a:stretch/>
                      </pic:blipFill>
                      <pic:spPr bwMode="auto">
                        <a:xfrm>
                          <a:off x="4107766" y="21101"/>
                          <a:ext cx="1287780" cy="5511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Graphic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29050" cy="657225"/>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w:pict w14:anchorId="379BD00B">
            <v:group id="Group 2" style="position:absolute;margin-left:0;margin-top:-.05pt;width:424.85pt;height:51.75pt;z-index:251659264;mso-position-horizontal:center;mso-position-horizontal-relative:margin" coordsize="53955,6572" o:spid="_x0000_s1026" w14:anchorId="161CCC8A"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 style="position:absolute;left:41077;top:211;width:12878;height:551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">
                <v:imagedata cropleft="48719f" o:title="" r:id="rId3"/>
              </v:shape>
              <v:shape id="Graphic 1" style="position:absolute;width:38290;height:657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">
                <v:imagedata o:title="" r:id="rId4"/>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51D6" w:rsidRDefault="00FC51D6" w14:paraId="4A1B83AE" w14:textId="7777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EFE"/>
    <w:multiLevelType w:val="hybridMultilevel"/>
    <w:tmpl w:val="B6E01CC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31DCF"/>
    <w:multiLevelType w:val="hybridMultilevel"/>
    <w:tmpl w:val="6E007C04"/>
    <w:lvl w:ilvl="0" w:tplc="0CF802C8">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22E3CA5"/>
    <w:multiLevelType w:val="hybridMultilevel"/>
    <w:tmpl w:val="53D8E2A0"/>
    <w:lvl w:ilvl="0" w:tplc="5E9AC078">
      <w:numFmt w:val="bullet"/>
      <w:lvlText w:val="-"/>
      <w:lvlJc w:val="left"/>
      <w:pPr>
        <w:ind w:left="360" w:hanging="360"/>
      </w:pPr>
      <w:rPr>
        <w:rFonts w:hint="default" w:ascii="Calibri" w:hAnsi="Calibri" w:eastAsia="Calibri" w:cs="Calibri"/>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 w15:restartNumberingAfterBreak="0">
    <w:nsid w:val="02AF283C"/>
    <w:multiLevelType w:val="hybridMultilevel"/>
    <w:tmpl w:val="39C24B90"/>
    <w:lvl w:ilvl="0" w:tplc="69DEDBD0">
      <w:start w:val="8"/>
      <w:numFmt w:val="bullet"/>
      <w:lvlText w:val=""/>
      <w:lvlJc w:val="left"/>
      <w:pPr>
        <w:ind w:left="1080" w:hanging="360"/>
      </w:pPr>
      <w:rPr>
        <w:rFonts w:hint="default" w:ascii="Symbol" w:hAnsi="Symbol" w:eastAsia="MS PGothic"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05315241"/>
    <w:multiLevelType w:val="hybridMultilevel"/>
    <w:tmpl w:val="B66AA5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6CF5E37"/>
    <w:multiLevelType w:val="hybridMultilevel"/>
    <w:tmpl w:val="525ADE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6F80C1D"/>
    <w:multiLevelType w:val="hybridMultilevel"/>
    <w:tmpl w:val="C47EA1CA"/>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D93474"/>
    <w:multiLevelType w:val="hybridMultilevel"/>
    <w:tmpl w:val="156064BC"/>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 w15:restartNumberingAfterBreak="0">
    <w:nsid w:val="09291500"/>
    <w:multiLevelType w:val="hybridMultilevel"/>
    <w:tmpl w:val="CAA0FE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0A6913D0"/>
    <w:multiLevelType w:val="hybridMultilevel"/>
    <w:tmpl w:val="8E4ED5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0E42377B"/>
    <w:multiLevelType w:val="hybridMultilevel"/>
    <w:tmpl w:val="4DDC60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0263CFF"/>
    <w:multiLevelType w:val="hybridMultilevel"/>
    <w:tmpl w:val="95D23FA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10E84723"/>
    <w:multiLevelType w:val="hybridMultilevel"/>
    <w:tmpl w:val="347CFE06"/>
    <w:lvl w:ilvl="0" w:tplc="0C0A1DD0">
      <w:start w:val="3"/>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12319B8"/>
    <w:multiLevelType w:val="hybridMultilevel"/>
    <w:tmpl w:val="BA0E3A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15F0E03"/>
    <w:multiLevelType w:val="hybridMultilevel"/>
    <w:tmpl w:val="7D6AE184"/>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8716285"/>
    <w:multiLevelType w:val="hybridMultilevel"/>
    <w:tmpl w:val="69BCAF1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191F0038"/>
    <w:multiLevelType w:val="hybridMultilevel"/>
    <w:tmpl w:val="0212EC0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7" w15:restartNumberingAfterBreak="0">
    <w:nsid w:val="1BDC0C95"/>
    <w:multiLevelType w:val="hybridMultilevel"/>
    <w:tmpl w:val="05307BC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1C8C4E59"/>
    <w:multiLevelType w:val="hybridMultilevel"/>
    <w:tmpl w:val="0E5ACF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1D5B74DE"/>
    <w:multiLevelType w:val="hybridMultilevel"/>
    <w:tmpl w:val="81449A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DFB507A"/>
    <w:multiLevelType w:val="hybridMultilevel"/>
    <w:tmpl w:val="26BC5E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5C70C54"/>
    <w:multiLevelType w:val="hybridMultilevel"/>
    <w:tmpl w:val="BDE0B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C20011E"/>
    <w:multiLevelType w:val="hybridMultilevel"/>
    <w:tmpl w:val="1B480B8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34833821"/>
    <w:multiLevelType w:val="hybridMultilevel"/>
    <w:tmpl w:val="0C06A872"/>
    <w:lvl w:ilvl="0" w:tplc="31088DBC">
      <w:start w:val="2"/>
      <w:numFmt w:val="bullet"/>
      <w:lvlText w:val="-"/>
      <w:lvlJc w:val="left"/>
      <w:pPr>
        <w:ind w:left="413" w:hanging="360"/>
      </w:pPr>
      <w:rPr>
        <w:rFonts w:hint="default" w:ascii="Calibri" w:hAnsi="Calibri" w:cs="Calibri" w:eastAsiaTheme="minorHAnsi"/>
      </w:rPr>
    </w:lvl>
    <w:lvl w:ilvl="1" w:tplc="08090003" w:tentative="1">
      <w:start w:val="1"/>
      <w:numFmt w:val="bullet"/>
      <w:lvlText w:val="o"/>
      <w:lvlJc w:val="left"/>
      <w:pPr>
        <w:ind w:left="1133" w:hanging="360"/>
      </w:pPr>
      <w:rPr>
        <w:rFonts w:hint="default" w:ascii="Courier New" w:hAnsi="Courier New" w:cs="Courier New"/>
      </w:rPr>
    </w:lvl>
    <w:lvl w:ilvl="2" w:tplc="08090005" w:tentative="1">
      <w:start w:val="1"/>
      <w:numFmt w:val="bullet"/>
      <w:lvlText w:val=""/>
      <w:lvlJc w:val="left"/>
      <w:pPr>
        <w:ind w:left="1853" w:hanging="360"/>
      </w:pPr>
      <w:rPr>
        <w:rFonts w:hint="default" w:ascii="Wingdings" w:hAnsi="Wingdings"/>
      </w:rPr>
    </w:lvl>
    <w:lvl w:ilvl="3" w:tplc="08090001" w:tentative="1">
      <w:start w:val="1"/>
      <w:numFmt w:val="bullet"/>
      <w:lvlText w:val=""/>
      <w:lvlJc w:val="left"/>
      <w:pPr>
        <w:ind w:left="2573" w:hanging="360"/>
      </w:pPr>
      <w:rPr>
        <w:rFonts w:hint="default" w:ascii="Symbol" w:hAnsi="Symbol"/>
      </w:rPr>
    </w:lvl>
    <w:lvl w:ilvl="4" w:tplc="08090003" w:tentative="1">
      <w:start w:val="1"/>
      <w:numFmt w:val="bullet"/>
      <w:lvlText w:val="o"/>
      <w:lvlJc w:val="left"/>
      <w:pPr>
        <w:ind w:left="3293" w:hanging="360"/>
      </w:pPr>
      <w:rPr>
        <w:rFonts w:hint="default" w:ascii="Courier New" w:hAnsi="Courier New" w:cs="Courier New"/>
      </w:rPr>
    </w:lvl>
    <w:lvl w:ilvl="5" w:tplc="08090005" w:tentative="1">
      <w:start w:val="1"/>
      <w:numFmt w:val="bullet"/>
      <w:lvlText w:val=""/>
      <w:lvlJc w:val="left"/>
      <w:pPr>
        <w:ind w:left="4013" w:hanging="360"/>
      </w:pPr>
      <w:rPr>
        <w:rFonts w:hint="default" w:ascii="Wingdings" w:hAnsi="Wingdings"/>
      </w:rPr>
    </w:lvl>
    <w:lvl w:ilvl="6" w:tplc="08090001" w:tentative="1">
      <w:start w:val="1"/>
      <w:numFmt w:val="bullet"/>
      <w:lvlText w:val=""/>
      <w:lvlJc w:val="left"/>
      <w:pPr>
        <w:ind w:left="4733" w:hanging="360"/>
      </w:pPr>
      <w:rPr>
        <w:rFonts w:hint="default" w:ascii="Symbol" w:hAnsi="Symbol"/>
      </w:rPr>
    </w:lvl>
    <w:lvl w:ilvl="7" w:tplc="08090003" w:tentative="1">
      <w:start w:val="1"/>
      <w:numFmt w:val="bullet"/>
      <w:lvlText w:val="o"/>
      <w:lvlJc w:val="left"/>
      <w:pPr>
        <w:ind w:left="5453" w:hanging="360"/>
      </w:pPr>
      <w:rPr>
        <w:rFonts w:hint="default" w:ascii="Courier New" w:hAnsi="Courier New" w:cs="Courier New"/>
      </w:rPr>
    </w:lvl>
    <w:lvl w:ilvl="8" w:tplc="08090005" w:tentative="1">
      <w:start w:val="1"/>
      <w:numFmt w:val="bullet"/>
      <w:lvlText w:val=""/>
      <w:lvlJc w:val="left"/>
      <w:pPr>
        <w:ind w:left="6173" w:hanging="360"/>
      </w:pPr>
      <w:rPr>
        <w:rFonts w:hint="default" w:ascii="Wingdings" w:hAnsi="Wingdings"/>
      </w:rPr>
    </w:lvl>
  </w:abstractNum>
  <w:abstractNum w:abstractNumId="24" w15:restartNumberingAfterBreak="0">
    <w:nsid w:val="35204839"/>
    <w:multiLevelType w:val="hybridMultilevel"/>
    <w:tmpl w:val="6EBEDC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82B0AAD"/>
    <w:multiLevelType w:val="hybridMultilevel"/>
    <w:tmpl w:val="11EA7B8A"/>
    <w:lvl w:ilvl="0" w:tplc="DE120124">
      <w:start w:val="3"/>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87E07B0"/>
    <w:multiLevelType w:val="hybridMultilevel"/>
    <w:tmpl w:val="C7D4A092"/>
    <w:lvl w:ilvl="0" w:tplc="2D00D72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1DE35C7"/>
    <w:multiLevelType w:val="hybridMultilevel"/>
    <w:tmpl w:val="078493DA"/>
    <w:lvl w:ilvl="0" w:tplc="79E82D44">
      <w:start w:val="8"/>
      <w:numFmt w:val="bullet"/>
      <w:lvlText w:val=""/>
      <w:lvlJc w:val="left"/>
      <w:pPr>
        <w:ind w:left="720" w:hanging="360"/>
      </w:pPr>
      <w:rPr>
        <w:rFonts w:hint="default" w:ascii="Symbol" w:hAnsi="Symbol" w:eastAsia="SimSun" w:cs="Calibr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9" w15:restartNumberingAfterBreak="0">
    <w:nsid w:val="436D7C54"/>
    <w:multiLevelType w:val="hybridMultilevel"/>
    <w:tmpl w:val="01184E7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0" w15:restartNumberingAfterBreak="0">
    <w:nsid w:val="440663CB"/>
    <w:multiLevelType w:val="hybridMultilevel"/>
    <w:tmpl w:val="B3F40CA6"/>
    <w:lvl w:ilvl="0" w:tplc="ACB06F0C">
      <w:start w:val="1"/>
      <w:numFmt w:val="bullet"/>
      <w:lvlText w:val=""/>
      <w:lvlJc w:val="left"/>
      <w:pPr>
        <w:ind w:left="360" w:hanging="360"/>
      </w:pPr>
      <w:rPr>
        <w:rFonts w:hint="default" w:ascii="Symbol" w:hAnsi="Symbol"/>
      </w:rPr>
    </w:lvl>
    <w:lvl w:ilvl="1" w:tplc="E7564B96">
      <w:start w:val="1"/>
      <w:numFmt w:val="bullet"/>
      <w:lvlText w:val="o"/>
      <w:lvlJc w:val="left"/>
      <w:pPr>
        <w:ind w:left="785" w:hanging="360"/>
      </w:pPr>
      <w:rPr>
        <w:rFonts w:hint="default" w:ascii="Courier New" w:hAnsi="Courier New" w:cs="Courier New"/>
      </w:rPr>
    </w:lvl>
    <w:lvl w:ilvl="2" w:tplc="08130005" w:tentative="1">
      <w:start w:val="1"/>
      <w:numFmt w:val="bullet"/>
      <w:lvlText w:val=""/>
      <w:lvlJc w:val="left"/>
      <w:pPr>
        <w:ind w:left="1800" w:hanging="360"/>
      </w:pPr>
      <w:rPr>
        <w:rFonts w:hint="default" w:ascii="Wingdings" w:hAnsi="Wingdings"/>
      </w:rPr>
    </w:lvl>
    <w:lvl w:ilvl="3" w:tplc="08130001" w:tentative="1">
      <w:start w:val="1"/>
      <w:numFmt w:val="bullet"/>
      <w:lvlText w:val=""/>
      <w:lvlJc w:val="left"/>
      <w:pPr>
        <w:ind w:left="2520" w:hanging="360"/>
      </w:pPr>
      <w:rPr>
        <w:rFonts w:hint="default" w:ascii="Symbol" w:hAnsi="Symbol"/>
      </w:rPr>
    </w:lvl>
    <w:lvl w:ilvl="4" w:tplc="08130003" w:tentative="1">
      <w:start w:val="1"/>
      <w:numFmt w:val="bullet"/>
      <w:lvlText w:val="o"/>
      <w:lvlJc w:val="left"/>
      <w:pPr>
        <w:ind w:left="3240" w:hanging="360"/>
      </w:pPr>
      <w:rPr>
        <w:rFonts w:hint="default" w:ascii="Courier New" w:hAnsi="Courier New" w:cs="Courier New"/>
      </w:rPr>
    </w:lvl>
    <w:lvl w:ilvl="5" w:tplc="08130005" w:tentative="1">
      <w:start w:val="1"/>
      <w:numFmt w:val="bullet"/>
      <w:lvlText w:val=""/>
      <w:lvlJc w:val="left"/>
      <w:pPr>
        <w:ind w:left="3960" w:hanging="360"/>
      </w:pPr>
      <w:rPr>
        <w:rFonts w:hint="default" w:ascii="Wingdings" w:hAnsi="Wingdings"/>
      </w:rPr>
    </w:lvl>
    <w:lvl w:ilvl="6" w:tplc="08130001" w:tentative="1">
      <w:start w:val="1"/>
      <w:numFmt w:val="bullet"/>
      <w:lvlText w:val=""/>
      <w:lvlJc w:val="left"/>
      <w:pPr>
        <w:ind w:left="4680" w:hanging="360"/>
      </w:pPr>
      <w:rPr>
        <w:rFonts w:hint="default" w:ascii="Symbol" w:hAnsi="Symbol"/>
      </w:rPr>
    </w:lvl>
    <w:lvl w:ilvl="7" w:tplc="08130003" w:tentative="1">
      <w:start w:val="1"/>
      <w:numFmt w:val="bullet"/>
      <w:lvlText w:val="o"/>
      <w:lvlJc w:val="left"/>
      <w:pPr>
        <w:ind w:left="5400" w:hanging="360"/>
      </w:pPr>
      <w:rPr>
        <w:rFonts w:hint="default" w:ascii="Courier New" w:hAnsi="Courier New" w:cs="Courier New"/>
      </w:rPr>
    </w:lvl>
    <w:lvl w:ilvl="8" w:tplc="08130005" w:tentative="1">
      <w:start w:val="1"/>
      <w:numFmt w:val="bullet"/>
      <w:lvlText w:val=""/>
      <w:lvlJc w:val="left"/>
      <w:pPr>
        <w:ind w:left="6120" w:hanging="360"/>
      </w:pPr>
      <w:rPr>
        <w:rFonts w:hint="default" w:ascii="Wingdings" w:hAnsi="Wingdings"/>
      </w:rPr>
    </w:lvl>
  </w:abstractNum>
  <w:abstractNum w:abstractNumId="31" w15:restartNumberingAfterBreak="0">
    <w:nsid w:val="4B2B73B5"/>
    <w:multiLevelType w:val="hybridMultilevel"/>
    <w:tmpl w:val="D32A7F5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4E5B46B3"/>
    <w:multiLevelType w:val="hybridMultilevel"/>
    <w:tmpl w:val="E9E0F04E"/>
    <w:lvl w:ilvl="0" w:tplc="EFE238A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6386450"/>
    <w:multiLevelType w:val="hybridMultilevel"/>
    <w:tmpl w:val="D24C2A5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57B74B40"/>
    <w:multiLevelType w:val="hybridMultilevel"/>
    <w:tmpl w:val="3FFC28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8D47567"/>
    <w:multiLevelType w:val="hybridMultilevel"/>
    <w:tmpl w:val="97E01496"/>
    <w:lvl w:ilvl="0" w:tplc="040C0001">
      <w:start w:val="1"/>
      <w:numFmt w:val="bullet"/>
      <w:lvlText w:val=""/>
      <w:lvlJc w:val="left"/>
      <w:pPr>
        <w:ind w:left="765" w:hanging="360"/>
      </w:pPr>
      <w:rPr>
        <w:rFonts w:hint="default" w:ascii="Symbol" w:hAnsi="Symbol"/>
      </w:rPr>
    </w:lvl>
    <w:lvl w:ilvl="1" w:tplc="040C0003" w:tentative="1">
      <w:start w:val="1"/>
      <w:numFmt w:val="bullet"/>
      <w:lvlText w:val="o"/>
      <w:lvlJc w:val="left"/>
      <w:pPr>
        <w:ind w:left="1485" w:hanging="360"/>
      </w:pPr>
      <w:rPr>
        <w:rFonts w:hint="default" w:ascii="Courier New" w:hAnsi="Courier New" w:cs="Courier New"/>
      </w:rPr>
    </w:lvl>
    <w:lvl w:ilvl="2" w:tplc="040C0005" w:tentative="1">
      <w:start w:val="1"/>
      <w:numFmt w:val="bullet"/>
      <w:lvlText w:val=""/>
      <w:lvlJc w:val="left"/>
      <w:pPr>
        <w:ind w:left="2205" w:hanging="360"/>
      </w:pPr>
      <w:rPr>
        <w:rFonts w:hint="default" w:ascii="Wingdings" w:hAnsi="Wingdings"/>
      </w:rPr>
    </w:lvl>
    <w:lvl w:ilvl="3" w:tplc="040C0001" w:tentative="1">
      <w:start w:val="1"/>
      <w:numFmt w:val="bullet"/>
      <w:lvlText w:val=""/>
      <w:lvlJc w:val="left"/>
      <w:pPr>
        <w:ind w:left="2925" w:hanging="360"/>
      </w:pPr>
      <w:rPr>
        <w:rFonts w:hint="default" w:ascii="Symbol" w:hAnsi="Symbol"/>
      </w:rPr>
    </w:lvl>
    <w:lvl w:ilvl="4" w:tplc="040C0003" w:tentative="1">
      <w:start w:val="1"/>
      <w:numFmt w:val="bullet"/>
      <w:lvlText w:val="o"/>
      <w:lvlJc w:val="left"/>
      <w:pPr>
        <w:ind w:left="3645" w:hanging="360"/>
      </w:pPr>
      <w:rPr>
        <w:rFonts w:hint="default" w:ascii="Courier New" w:hAnsi="Courier New" w:cs="Courier New"/>
      </w:rPr>
    </w:lvl>
    <w:lvl w:ilvl="5" w:tplc="040C0005" w:tentative="1">
      <w:start w:val="1"/>
      <w:numFmt w:val="bullet"/>
      <w:lvlText w:val=""/>
      <w:lvlJc w:val="left"/>
      <w:pPr>
        <w:ind w:left="4365" w:hanging="360"/>
      </w:pPr>
      <w:rPr>
        <w:rFonts w:hint="default" w:ascii="Wingdings" w:hAnsi="Wingdings"/>
      </w:rPr>
    </w:lvl>
    <w:lvl w:ilvl="6" w:tplc="040C0001" w:tentative="1">
      <w:start w:val="1"/>
      <w:numFmt w:val="bullet"/>
      <w:lvlText w:val=""/>
      <w:lvlJc w:val="left"/>
      <w:pPr>
        <w:ind w:left="5085" w:hanging="360"/>
      </w:pPr>
      <w:rPr>
        <w:rFonts w:hint="default" w:ascii="Symbol" w:hAnsi="Symbol"/>
      </w:rPr>
    </w:lvl>
    <w:lvl w:ilvl="7" w:tplc="040C0003" w:tentative="1">
      <w:start w:val="1"/>
      <w:numFmt w:val="bullet"/>
      <w:lvlText w:val="o"/>
      <w:lvlJc w:val="left"/>
      <w:pPr>
        <w:ind w:left="5805" w:hanging="360"/>
      </w:pPr>
      <w:rPr>
        <w:rFonts w:hint="default" w:ascii="Courier New" w:hAnsi="Courier New" w:cs="Courier New"/>
      </w:rPr>
    </w:lvl>
    <w:lvl w:ilvl="8" w:tplc="040C0005" w:tentative="1">
      <w:start w:val="1"/>
      <w:numFmt w:val="bullet"/>
      <w:lvlText w:val=""/>
      <w:lvlJc w:val="left"/>
      <w:pPr>
        <w:ind w:left="6525" w:hanging="360"/>
      </w:pPr>
      <w:rPr>
        <w:rFonts w:hint="default" w:ascii="Wingdings" w:hAnsi="Wingdings"/>
      </w:rPr>
    </w:lvl>
  </w:abstractNum>
  <w:abstractNum w:abstractNumId="36" w15:restartNumberingAfterBreak="0">
    <w:nsid w:val="58DD4FC7"/>
    <w:multiLevelType w:val="hybridMultilevel"/>
    <w:tmpl w:val="83F26BAC"/>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9E622A5"/>
    <w:multiLevelType w:val="hybridMultilevel"/>
    <w:tmpl w:val="3EAA49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5D4D1CE2"/>
    <w:multiLevelType w:val="hybridMultilevel"/>
    <w:tmpl w:val="9BD00628"/>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01">
      <w:start w:val="1"/>
      <w:numFmt w:val="bullet"/>
      <w:lvlText w:val=""/>
      <w:lvlJc w:val="left"/>
      <w:pPr>
        <w:ind w:left="2160" w:hanging="180"/>
      </w:pPr>
      <w:rPr>
        <w:rFonts w:hint="default" w:ascii="Symbol" w:hAnsi="Symbol"/>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F1275B1"/>
    <w:multiLevelType w:val="hybridMultilevel"/>
    <w:tmpl w:val="715C65A4"/>
    <w:lvl w:ilvl="0" w:tplc="AF562A92">
      <w:start w:val="8"/>
      <w:numFmt w:val="bullet"/>
      <w:lvlText w:val=""/>
      <w:lvlJc w:val="left"/>
      <w:pPr>
        <w:ind w:left="720" w:hanging="360"/>
      </w:pPr>
      <w:rPr>
        <w:rFonts w:hint="default" w:ascii="Symbol" w:hAnsi="Symbol" w:eastAsia="MS PGothic"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5F7E23D2"/>
    <w:multiLevelType w:val="hybridMultilevel"/>
    <w:tmpl w:val="C91261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0055972"/>
    <w:multiLevelType w:val="hybridMultilevel"/>
    <w:tmpl w:val="6ADC0F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62B03722"/>
    <w:multiLevelType w:val="hybridMultilevel"/>
    <w:tmpl w:val="7EC025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650D66C2"/>
    <w:multiLevelType w:val="hybridMultilevel"/>
    <w:tmpl w:val="7E6802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65CF730E"/>
    <w:multiLevelType w:val="hybridMultilevel"/>
    <w:tmpl w:val="2C8426A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E492C1F"/>
    <w:multiLevelType w:val="hybridMultilevel"/>
    <w:tmpl w:val="53568B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71AB74A9"/>
    <w:multiLevelType w:val="hybridMultilevel"/>
    <w:tmpl w:val="D1F059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6421051"/>
    <w:multiLevelType w:val="hybridMultilevel"/>
    <w:tmpl w:val="66D0969E"/>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8" w15:restartNumberingAfterBreak="0">
    <w:nsid w:val="774A1623"/>
    <w:multiLevelType w:val="hybridMultilevel"/>
    <w:tmpl w:val="ED2C37E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9" w15:restartNumberingAfterBreak="0">
    <w:nsid w:val="7B2221E5"/>
    <w:multiLevelType w:val="hybridMultilevel"/>
    <w:tmpl w:val="96BAF562"/>
    <w:lvl w:ilvl="0" w:tplc="0D7CA50E">
      <w:start w:val="4"/>
      <w:numFmt w:val="bullet"/>
      <w:lvlText w:val="-"/>
      <w:lvlJc w:val="left"/>
      <w:pPr>
        <w:ind w:left="360" w:hanging="360"/>
      </w:pPr>
      <w:rPr>
        <w:rFonts w:hint="default" w:ascii="Calibri" w:hAnsi="Calibri" w:cs="Calibri" w:eastAsiaTheme="minorHAns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0" w15:restartNumberingAfterBreak="0">
    <w:nsid w:val="7F8447FE"/>
    <w:multiLevelType w:val="hybridMultilevel"/>
    <w:tmpl w:val="B1D49A5A"/>
    <w:lvl w:ilvl="0" w:tplc="40BCDC22">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48522741">
    <w:abstractNumId w:val="24"/>
  </w:num>
  <w:num w:numId="2" w16cid:durableId="1173495345">
    <w:abstractNumId w:val="1"/>
  </w:num>
  <w:num w:numId="3" w16cid:durableId="166870467">
    <w:abstractNumId w:val="8"/>
  </w:num>
  <w:num w:numId="4" w16cid:durableId="1691951035">
    <w:abstractNumId w:val="25"/>
  </w:num>
  <w:num w:numId="5" w16cid:durableId="1011906559">
    <w:abstractNumId w:val="34"/>
  </w:num>
  <w:num w:numId="6" w16cid:durableId="1277104421">
    <w:abstractNumId w:val="37"/>
  </w:num>
  <w:num w:numId="7" w16cid:durableId="242104871">
    <w:abstractNumId w:val="22"/>
  </w:num>
  <w:num w:numId="8" w16cid:durableId="522284696">
    <w:abstractNumId w:val="13"/>
  </w:num>
  <w:num w:numId="9" w16cid:durableId="1250770362">
    <w:abstractNumId w:val="9"/>
  </w:num>
  <w:num w:numId="10" w16cid:durableId="1358701701">
    <w:abstractNumId w:val="41"/>
  </w:num>
  <w:num w:numId="11" w16cid:durableId="1625037795">
    <w:abstractNumId w:val="23"/>
  </w:num>
  <w:num w:numId="12" w16cid:durableId="61487579">
    <w:abstractNumId w:val="49"/>
  </w:num>
  <w:num w:numId="13" w16cid:durableId="856233915">
    <w:abstractNumId w:val="18"/>
  </w:num>
  <w:num w:numId="14" w16cid:durableId="1381858278">
    <w:abstractNumId w:val="39"/>
  </w:num>
  <w:num w:numId="15" w16cid:durableId="402408764">
    <w:abstractNumId w:val="3"/>
  </w:num>
  <w:num w:numId="16" w16cid:durableId="1085760005">
    <w:abstractNumId w:val="33"/>
  </w:num>
  <w:num w:numId="17" w16cid:durableId="633215943">
    <w:abstractNumId w:val="5"/>
  </w:num>
  <w:num w:numId="18" w16cid:durableId="2020691353">
    <w:abstractNumId w:val="28"/>
  </w:num>
  <w:num w:numId="19" w16cid:durableId="1500385072">
    <w:abstractNumId w:val="11"/>
  </w:num>
  <w:num w:numId="20" w16cid:durableId="1520046844">
    <w:abstractNumId w:val="44"/>
  </w:num>
  <w:num w:numId="21" w16cid:durableId="748115910">
    <w:abstractNumId w:val="4"/>
  </w:num>
  <w:num w:numId="22" w16cid:durableId="717703608">
    <w:abstractNumId w:val="40"/>
  </w:num>
  <w:num w:numId="23" w16cid:durableId="600113171">
    <w:abstractNumId w:val="15"/>
  </w:num>
  <w:num w:numId="24" w16cid:durableId="241523878">
    <w:abstractNumId w:val="42"/>
  </w:num>
  <w:num w:numId="25" w16cid:durableId="80297080">
    <w:abstractNumId w:val="10"/>
  </w:num>
  <w:num w:numId="26" w16cid:durableId="576936923">
    <w:abstractNumId w:val="43"/>
  </w:num>
  <w:num w:numId="27" w16cid:durableId="379136238">
    <w:abstractNumId w:val="21"/>
  </w:num>
  <w:num w:numId="28" w16cid:durableId="1234242114">
    <w:abstractNumId w:val="19"/>
  </w:num>
  <w:num w:numId="29" w16cid:durableId="6490979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2865041">
    <w:abstractNumId w:val="17"/>
  </w:num>
  <w:num w:numId="31" w16cid:durableId="2036344500">
    <w:abstractNumId w:val="20"/>
  </w:num>
  <w:num w:numId="32" w16cid:durableId="891308780">
    <w:abstractNumId w:val="31"/>
  </w:num>
  <w:num w:numId="33" w16cid:durableId="2059163146">
    <w:abstractNumId w:val="2"/>
  </w:num>
  <w:num w:numId="34" w16cid:durableId="767845549">
    <w:abstractNumId w:val="12"/>
  </w:num>
  <w:num w:numId="35" w16cid:durableId="1295915667">
    <w:abstractNumId w:val="0"/>
  </w:num>
  <w:num w:numId="36" w16cid:durableId="597906997">
    <w:abstractNumId w:val="38"/>
  </w:num>
  <w:num w:numId="37" w16cid:durableId="860432523">
    <w:abstractNumId w:val="30"/>
  </w:num>
  <w:num w:numId="38" w16cid:durableId="1880386777">
    <w:abstractNumId w:val="27"/>
  </w:num>
  <w:num w:numId="39" w16cid:durableId="140314737">
    <w:abstractNumId w:val="6"/>
  </w:num>
  <w:num w:numId="40" w16cid:durableId="399055937">
    <w:abstractNumId w:val="36"/>
  </w:num>
  <w:num w:numId="41" w16cid:durableId="713895999">
    <w:abstractNumId w:val="14"/>
  </w:num>
  <w:num w:numId="42" w16cid:durableId="1845654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60224870">
    <w:abstractNumId w:val="46"/>
  </w:num>
  <w:num w:numId="44" w16cid:durableId="315649011">
    <w:abstractNumId w:val="7"/>
  </w:num>
  <w:num w:numId="45" w16cid:durableId="1020660560">
    <w:abstractNumId w:val="50"/>
  </w:num>
  <w:num w:numId="46" w16cid:durableId="1846939171">
    <w:abstractNumId w:val="32"/>
  </w:num>
  <w:num w:numId="47" w16cid:durableId="151605112">
    <w:abstractNumId w:val="47"/>
  </w:num>
  <w:num w:numId="48" w16cid:durableId="320084880">
    <w:abstractNumId w:val="26"/>
  </w:num>
  <w:num w:numId="49" w16cid:durableId="843662630">
    <w:abstractNumId w:val="48"/>
  </w:num>
  <w:num w:numId="50" w16cid:durableId="1246962758">
    <w:abstractNumId w:val="29"/>
  </w:num>
  <w:num w:numId="51" w16cid:durableId="1470516599">
    <w:abstractNumId w:val="16"/>
  </w:num>
  <w:num w:numId="52" w16cid:durableId="1457025046">
    <w:abstractNumId w:val="3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lang="fr-FR" w:vendorID="64" w:dllVersion="0" w:nlCheck="1" w:checkStyle="0" w:appName="MSWord"/>
  <w:attachedTemplate r:id="rId1"/>
  <w:trackRevisions w:val="false"/>
  <w:documentProtection w:edit="readOnly"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423ED"/>
    <w:rsid w:val="00005041"/>
    <w:rsid w:val="0000519F"/>
    <w:rsid w:val="00010152"/>
    <w:rsid w:val="00010643"/>
    <w:rsid w:val="00011399"/>
    <w:rsid w:val="00012092"/>
    <w:rsid w:val="00012894"/>
    <w:rsid w:val="00014682"/>
    <w:rsid w:val="00014D80"/>
    <w:rsid w:val="00014FC1"/>
    <w:rsid w:val="00017975"/>
    <w:rsid w:val="00017CCB"/>
    <w:rsid w:val="00017E26"/>
    <w:rsid w:val="00020224"/>
    <w:rsid w:val="000210DA"/>
    <w:rsid w:val="00021998"/>
    <w:rsid w:val="0002382B"/>
    <w:rsid w:val="0003054A"/>
    <w:rsid w:val="00034BCA"/>
    <w:rsid w:val="00034CD6"/>
    <w:rsid w:val="0003591B"/>
    <w:rsid w:val="00041510"/>
    <w:rsid w:val="0004186B"/>
    <w:rsid w:val="000419D7"/>
    <w:rsid w:val="00045DC1"/>
    <w:rsid w:val="00050C64"/>
    <w:rsid w:val="00051C3B"/>
    <w:rsid w:val="00051F4B"/>
    <w:rsid w:val="00052966"/>
    <w:rsid w:val="000535B6"/>
    <w:rsid w:val="00054C9A"/>
    <w:rsid w:val="00054EFC"/>
    <w:rsid w:val="000559B1"/>
    <w:rsid w:val="00055FB8"/>
    <w:rsid w:val="00056C1F"/>
    <w:rsid w:val="000577BD"/>
    <w:rsid w:val="0006019B"/>
    <w:rsid w:val="000608BB"/>
    <w:rsid w:val="00061CC5"/>
    <w:rsid w:val="00062613"/>
    <w:rsid w:val="00072418"/>
    <w:rsid w:val="00072A71"/>
    <w:rsid w:val="00073F2F"/>
    <w:rsid w:val="00076B4F"/>
    <w:rsid w:val="0008625B"/>
    <w:rsid w:val="00091187"/>
    <w:rsid w:val="0009209F"/>
    <w:rsid w:val="00093282"/>
    <w:rsid w:val="00095CCD"/>
    <w:rsid w:val="00095E45"/>
    <w:rsid w:val="00097757"/>
    <w:rsid w:val="000A14D4"/>
    <w:rsid w:val="000A389E"/>
    <w:rsid w:val="000B1B90"/>
    <w:rsid w:val="000B2D70"/>
    <w:rsid w:val="000B4672"/>
    <w:rsid w:val="000B5823"/>
    <w:rsid w:val="000B64DA"/>
    <w:rsid w:val="000B6506"/>
    <w:rsid w:val="000C2820"/>
    <w:rsid w:val="000C76A0"/>
    <w:rsid w:val="000D081D"/>
    <w:rsid w:val="000D274A"/>
    <w:rsid w:val="000D5DA1"/>
    <w:rsid w:val="000E09A3"/>
    <w:rsid w:val="000E0F53"/>
    <w:rsid w:val="000E148B"/>
    <w:rsid w:val="000F0320"/>
    <w:rsid w:val="000F116E"/>
    <w:rsid w:val="000F2312"/>
    <w:rsid w:val="000F2E76"/>
    <w:rsid w:val="000F3513"/>
    <w:rsid w:val="000F48C0"/>
    <w:rsid w:val="000F5063"/>
    <w:rsid w:val="000F5DF6"/>
    <w:rsid w:val="001009E1"/>
    <w:rsid w:val="0010295A"/>
    <w:rsid w:val="00103CDF"/>
    <w:rsid w:val="001043B5"/>
    <w:rsid w:val="00111EE2"/>
    <w:rsid w:val="00114AE5"/>
    <w:rsid w:val="00115964"/>
    <w:rsid w:val="00117F89"/>
    <w:rsid w:val="00121F7F"/>
    <w:rsid w:val="00122C81"/>
    <w:rsid w:val="001275B5"/>
    <w:rsid w:val="001276AF"/>
    <w:rsid w:val="00130308"/>
    <w:rsid w:val="0013460E"/>
    <w:rsid w:val="00134EFB"/>
    <w:rsid w:val="0013601B"/>
    <w:rsid w:val="001414C8"/>
    <w:rsid w:val="00142894"/>
    <w:rsid w:val="00145AC7"/>
    <w:rsid w:val="00151DA2"/>
    <w:rsid w:val="00152987"/>
    <w:rsid w:val="00154193"/>
    <w:rsid w:val="00157759"/>
    <w:rsid w:val="00161F7C"/>
    <w:rsid w:val="00163CAA"/>
    <w:rsid w:val="00171CC5"/>
    <w:rsid w:val="00171F53"/>
    <w:rsid w:val="001732F3"/>
    <w:rsid w:val="0017367A"/>
    <w:rsid w:val="00174F12"/>
    <w:rsid w:val="00180B29"/>
    <w:rsid w:val="00184522"/>
    <w:rsid w:val="001845DA"/>
    <w:rsid w:val="001846C3"/>
    <w:rsid w:val="0018499A"/>
    <w:rsid w:val="00184EE6"/>
    <w:rsid w:val="00185016"/>
    <w:rsid w:val="00185CBB"/>
    <w:rsid w:val="00185FAB"/>
    <w:rsid w:val="0019445C"/>
    <w:rsid w:val="001A6646"/>
    <w:rsid w:val="001A7191"/>
    <w:rsid w:val="001A7C2A"/>
    <w:rsid w:val="001B4613"/>
    <w:rsid w:val="001B6F96"/>
    <w:rsid w:val="001B78F3"/>
    <w:rsid w:val="001B7B9B"/>
    <w:rsid w:val="001C0B9E"/>
    <w:rsid w:val="001C2449"/>
    <w:rsid w:val="001C39FE"/>
    <w:rsid w:val="001C71D5"/>
    <w:rsid w:val="001C78E7"/>
    <w:rsid w:val="001D28D2"/>
    <w:rsid w:val="001D3D71"/>
    <w:rsid w:val="001D5DBD"/>
    <w:rsid w:val="001D6744"/>
    <w:rsid w:val="001D6960"/>
    <w:rsid w:val="001D741B"/>
    <w:rsid w:val="001D7E6B"/>
    <w:rsid w:val="001E59AE"/>
    <w:rsid w:val="001E7466"/>
    <w:rsid w:val="001F049E"/>
    <w:rsid w:val="001F0D95"/>
    <w:rsid w:val="001F0EE1"/>
    <w:rsid w:val="001F1F4E"/>
    <w:rsid w:val="001F204C"/>
    <w:rsid w:val="001F3F44"/>
    <w:rsid w:val="001F3FCA"/>
    <w:rsid w:val="001F7A65"/>
    <w:rsid w:val="00204003"/>
    <w:rsid w:val="00204255"/>
    <w:rsid w:val="00205962"/>
    <w:rsid w:val="00206F76"/>
    <w:rsid w:val="0021224B"/>
    <w:rsid w:val="00214016"/>
    <w:rsid w:val="0022333D"/>
    <w:rsid w:val="0022392F"/>
    <w:rsid w:val="00223C1A"/>
    <w:rsid w:val="002275C7"/>
    <w:rsid w:val="00230846"/>
    <w:rsid w:val="00230D55"/>
    <w:rsid w:val="002372FB"/>
    <w:rsid w:val="00237826"/>
    <w:rsid w:val="00237F7D"/>
    <w:rsid w:val="002406BE"/>
    <w:rsid w:val="002435C8"/>
    <w:rsid w:val="00243BB5"/>
    <w:rsid w:val="00244DC1"/>
    <w:rsid w:val="002460CE"/>
    <w:rsid w:val="00250338"/>
    <w:rsid w:val="0025034E"/>
    <w:rsid w:val="00251F67"/>
    <w:rsid w:val="00253135"/>
    <w:rsid w:val="00254757"/>
    <w:rsid w:val="002554C6"/>
    <w:rsid w:val="00256770"/>
    <w:rsid w:val="002571C1"/>
    <w:rsid w:val="00262BC4"/>
    <w:rsid w:val="00263177"/>
    <w:rsid w:val="00266BE9"/>
    <w:rsid w:val="00270481"/>
    <w:rsid w:val="002724C2"/>
    <w:rsid w:val="002742CC"/>
    <w:rsid w:val="00276971"/>
    <w:rsid w:val="00276D48"/>
    <w:rsid w:val="00281EC6"/>
    <w:rsid w:val="00285AAD"/>
    <w:rsid w:val="00286684"/>
    <w:rsid w:val="00294F4A"/>
    <w:rsid w:val="00297997"/>
    <w:rsid w:val="002A3A96"/>
    <w:rsid w:val="002A52F1"/>
    <w:rsid w:val="002B7CAB"/>
    <w:rsid w:val="002C4FCF"/>
    <w:rsid w:val="002C5816"/>
    <w:rsid w:val="002C6DB7"/>
    <w:rsid w:val="002D2AF8"/>
    <w:rsid w:val="002D4E1F"/>
    <w:rsid w:val="002D6035"/>
    <w:rsid w:val="002D609E"/>
    <w:rsid w:val="002D7006"/>
    <w:rsid w:val="002D7454"/>
    <w:rsid w:val="002E18B7"/>
    <w:rsid w:val="002E3A1C"/>
    <w:rsid w:val="002E552F"/>
    <w:rsid w:val="002F16EA"/>
    <w:rsid w:val="002F49D1"/>
    <w:rsid w:val="002F545F"/>
    <w:rsid w:val="002F6A5D"/>
    <w:rsid w:val="002F6DAD"/>
    <w:rsid w:val="0030106B"/>
    <w:rsid w:val="00302124"/>
    <w:rsid w:val="0030468D"/>
    <w:rsid w:val="00304BA4"/>
    <w:rsid w:val="00306553"/>
    <w:rsid w:val="003065F3"/>
    <w:rsid w:val="00306795"/>
    <w:rsid w:val="00310EEC"/>
    <w:rsid w:val="00311609"/>
    <w:rsid w:val="003118A8"/>
    <w:rsid w:val="00312973"/>
    <w:rsid w:val="00314878"/>
    <w:rsid w:val="003149D4"/>
    <w:rsid w:val="00314A34"/>
    <w:rsid w:val="003169AC"/>
    <w:rsid w:val="003231B7"/>
    <w:rsid w:val="00330F6D"/>
    <w:rsid w:val="00341A52"/>
    <w:rsid w:val="003450BC"/>
    <w:rsid w:val="003458EC"/>
    <w:rsid w:val="0034665F"/>
    <w:rsid w:val="003478C9"/>
    <w:rsid w:val="00351678"/>
    <w:rsid w:val="00351724"/>
    <w:rsid w:val="00352F26"/>
    <w:rsid w:val="00354021"/>
    <w:rsid w:val="0035675F"/>
    <w:rsid w:val="00356CA0"/>
    <w:rsid w:val="00362582"/>
    <w:rsid w:val="003635DC"/>
    <w:rsid w:val="003643E0"/>
    <w:rsid w:val="003653C8"/>
    <w:rsid w:val="003661A6"/>
    <w:rsid w:val="00367B0A"/>
    <w:rsid w:val="00367CD1"/>
    <w:rsid w:val="00367F99"/>
    <w:rsid w:val="003713E2"/>
    <w:rsid w:val="0037316F"/>
    <w:rsid w:val="00377F18"/>
    <w:rsid w:val="00380BED"/>
    <w:rsid w:val="00384600"/>
    <w:rsid w:val="00384678"/>
    <w:rsid w:val="00391785"/>
    <w:rsid w:val="00391C7B"/>
    <w:rsid w:val="00397767"/>
    <w:rsid w:val="00397AF5"/>
    <w:rsid w:val="003A61D4"/>
    <w:rsid w:val="003A6AE1"/>
    <w:rsid w:val="003A758F"/>
    <w:rsid w:val="003B7881"/>
    <w:rsid w:val="003C0B83"/>
    <w:rsid w:val="003C3243"/>
    <w:rsid w:val="003C34DE"/>
    <w:rsid w:val="003C42D8"/>
    <w:rsid w:val="003C58CA"/>
    <w:rsid w:val="003D2755"/>
    <w:rsid w:val="003E3CD5"/>
    <w:rsid w:val="003E6A9E"/>
    <w:rsid w:val="003E6C62"/>
    <w:rsid w:val="003E7FD7"/>
    <w:rsid w:val="003F00E2"/>
    <w:rsid w:val="003F3691"/>
    <w:rsid w:val="003F6D3C"/>
    <w:rsid w:val="003F7DF6"/>
    <w:rsid w:val="00400D2F"/>
    <w:rsid w:val="00401B7C"/>
    <w:rsid w:val="00412F27"/>
    <w:rsid w:val="004151B3"/>
    <w:rsid w:val="00420313"/>
    <w:rsid w:val="00422AB6"/>
    <w:rsid w:val="00423C2C"/>
    <w:rsid w:val="00423DE4"/>
    <w:rsid w:val="004253C7"/>
    <w:rsid w:val="00425C62"/>
    <w:rsid w:val="00426F1B"/>
    <w:rsid w:val="0043036A"/>
    <w:rsid w:val="0043054B"/>
    <w:rsid w:val="004354C6"/>
    <w:rsid w:val="00435862"/>
    <w:rsid w:val="00435B8B"/>
    <w:rsid w:val="004367EA"/>
    <w:rsid w:val="00436CF3"/>
    <w:rsid w:val="004379A0"/>
    <w:rsid w:val="004415A2"/>
    <w:rsid w:val="00446733"/>
    <w:rsid w:val="00452FA3"/>
    <w:rsid w:val="00454488"/>
    <w:rsid w:val="0045475E"/>
    <w:rsid w:val="00454BF0"/>
    <w:rsid w:val="004567D1"/>
    <w:rsid w:val="00463478"/>
    <w:rsid w:val="004678B2"/>
    <w:rsid w:val="00473535"/>
    <w:rsid w:val="00473C6D"/>
    <w:rsid w:val="0047433B"/>
    <w:rsid w:val="00476C6C"/>
    <w:rsid w:val="00476EF6"/>
    <w:rsid w:val="0048489F"/>
    <w:rsid w:val="004879B9"/>
    <w:rsid w:val="004904E4"/>
    <w:rsid w:val="004916CB"/>
    <w:rsid w:val="004933D4"/>
    <w:rsid w:val="0049373C"/>
    <w:rsid w:val="004957D4"/>
    <w:rsid w:val="00495A99"/>
    <w:rsid w:val="00496D11"/>
    <w:rsid w:val="004970A6"/>
    <w:rsid w:val="004973BF"/>
    <w:rsid w:val="004A05E0"/>
    <w:rsid w:val="004A3E05"/>
    <w:rsid w:val="004A415A"/>
    <w:rsid w:val="004A4EB1"/>
    <w:rsid w:val="004A76D1"/>
    <w:rsid w:val="004A7D73"/>
    <w:rsid w:val="004B03A3"/>
    <w:rsid w:val="004B23ED"/>
    <w:rsid w:val="004C1D42"/>
    <w:rsid w:val="004C35E8"/>
    <w:rsid w:val="004C4E78"/>
    <w:rsid w:val="004C5139"/>
    <w:rsid w:val="004D088D"/>
    <w:rsid w:val="004D0D19"/>
    <w:rsid w:val="004D22F3"/>
    <w:rsid w:val="004D41F6"/>
    <w:rsid w:val="004D4970"/>
    <w:rsid w:val="004D4AF2"/>
    <w:rsid w:val="004D588A"/>
    <w:rsid w:val="004D5890"/>
    <w:rsid w:val="004E494E"/>
    <w:rsid w:val="004E5CE6"/>
    <w:rsid w:val="004F0049"/>
    <w:rsid w:val="004F42FC"/>
    <w:rsid w:val="004F4BEB"/>
    <w:rsid w:val="004F586D"/>
    <w:rsid w:val="004F6D56"/>
    <w:rsid w:val="00500A65"/>
    <w:rsid w:val="00503D9B"/>
    <w:rsid w:val="00504812"/>
    <w:rsid w:val="005072BC"/>
    <w:rsid w:val="005077DE"/>
    <w:rsid w:val="00507F10"/>
    <w:rsid w:val="00510588"/>
    <w:rsid w:val="00514995"/>
    <w:rsid w:val="00514C90"/>
    <w:rsid w:val="00515F4D"/>
    <w:rsid w:val="0051785F"/>
    <w:rsid w:val="005204E8"/>
    <w:rsid w:val="005239A4"/>
    <w:rsid w:val="00526261"/>
    <w:rsid w:val="00526B2E"/>
    <w:rsid w:val="00526FAE"/>
    <w:rsid w:val="00534E5F"/>
    <w:rsid w:val="005375B9"/>
    <w:rsid w:val="00537DC3"/>
    <w:rsid w:val="0054143E"/>
    <w:rsid w:val="005418F4"/>
    <w:rsid w:val="00542EC9"/>
    <w:rsid w:val="0054375F"/>
    <w:rsid w:val="00544090"/>
    <w:rsid w:val="0054452A"/>
    <w:rsid w:val="00544A57"/>
    <w:rsid w:val="00547B7E"/>
    <w:rsid w:val="00550083"/>
    <w:rsid w:val="005539D6"/>
    <w:rsid w:val="005542F6"/>
    <w:rsid w:val="00560224"/>
    <w:rsid w:val="0056088A"/>
    <w:rsid w:val="00562C26"/>
    <w:rsid w:val="00563B47"/>
    <w:rsid w:val="0056423C"/>
    <w:rsid w:val="00571000"/>
    <w:rsid w:val="00571C29"/>
    <w:rsid w:val="00575074"/>
    <w:rsid w:val="00584255"/>
    <w:rsid w:val="00584F5F"/>
    <w:rsid w:val="005927C1"/>
    <w:rsid w:val="005943E6"/>
    <w:rsid w:val="00594DEE"/>
    <w:rsid w:val="005A00EE"/>
    <w:rsid w:val="005A09F6"/>
    <w:rsid w:val="005A14CA"/>
    <w:rsid w:val="005A2F72"/>
    <w:rsid w:val="005A4590"/>
    <w:rsid w:val="005A469A"/>
    <w:rsid w:val="005A494B"/>
    <w:rsid w:val="005A61AC"/>
    <w:rsid w:val="005B6CD1"/>
    <w:rsid w:val="005B7150"/>
    <w:rsid w:val="005C068C"/>
    <w:rsid w:val="005C1B6F"/>
    <w:rsid w:val="005C1CB4"/>
    <w:rsid w:val="005C2DDB"/>
    <w:rsid w:val="005C5EC5"/>
    <w:rsid w:val="005C7822"/>
    <w:rsid w:val="005D0BE0"/>
    <w:rsid w:val="005D136B"/>
    <w:rsid w:val="005D13F5"/>
    <w:rsid w:val="005D15BD"/>
    <w:rsid w:val="005D610D"/>
    <w:rsid w:val="005E01AE"/>
    <w:rsid w:val="005E1188"/>
    <w:rsid w:val="005E26AC"/>
    <w:rsid w:val="005E67FA"/>
    <w:rsid w:val="005E7CFE"/>
    <w:rsid w:val="005F0062"/>
    <w:rsid w:val="005F2030"/>
    <w:rsid w:val="005F3295"/>
    <w:rsid w:val="005F75B1"/>
    <w:rsid w:val="005F780B"/>
    <w:rsid w:val="0060301F"/>
    <w:rsid w:val="00605559"/>
    <w:rsid w:val="00606D3D"/>
    <w:rsid w:val="0061617E"/>
    <w:rsid w:val="00620231"/>
    <w:rsid w:val="006203E8"/>
    <w:rsid w:val="006225D4"/>
    <w:rsid w:val="00622EFB"/>
    <w:rsid w:val="0062470F"/>
    <w:rsid w:val="006248E6"/>
    <w:rsid w:val="00624DF3"/>
    <w:rsid w:val="0062587F"/>
    <w:rsid w:val="00625B61"/>
    <w:rsid w:val="00626633"/>
    <w:rsid w:val="00633F49"/>
    <w:rsid w:val="0063709B"/>
    <w:rsid w:val="00637DDA"/>
    <w:rsid w:val="00647BF8"/>
    <w:rsid w:val="00656701"/>
    <w:rsid w:val="00656753"/>
    <w:rsid w:val="00657D98"/>
    <w:rsid w:val="00657F93"/>
    <w:rsid w:val="00661297"/>
    <w:rsid w:val="00663F03"/>
    <w:rsid w:val="00671DC9"/>
    <w:rsid w:val="006727C3"/>
    <w:rsid w:val="00672A40"/>
    <w:rsid w:val="00673304"/>
    <w:rsid w:val="006769D9"/>
    <w:rsid w:val="00677CA7"/>
    <w:rsid w:val="00677FC6"/>
    <w:rsid w:val="006822CF"/>
    <w:rsid w:val="00682F93"/>
    <w:rsid w:val="006830F3"/>
    <w:rsid w:val="00683352"/>
    <w:rsid w:val="00683DD4"/>
    <w:rsid w:val="00684098"/>
    <w:rsid w:val="00687BAA"/>
    <w:rsid w:val="006905AA"/>
    <w:rsid w:val="00692152"/>
    <w:rsid w:val="00693B5E"/>
    <w:rsid w:val="00694939"/>
    <w:rsid w:val="00694B6C"/>
    <w:rsid w:val="0069515A"/>
    <w:rsid w:val="00697256"/>
    <w:rsid w:val="0069788F"/>
    <w:rsid w:val="006A0940"/>
    <w:rsid w:val="006A23E6"/>
    <w:rsid w:val="006A4644"/>
    <w:rsid w:val="006A56A1"/>
    <w:rsid w:val="006A6429"/>
    <w:rsid w:val="006B095A"/>
    <w:rsid w:val="006B3515"/>
    <w:rsid w:val="006B656A"/>
    <w:rsid w:val="006C4483"/>
    <w:rsid w:val="006C4FB1"/>
    <w:rsid w:val="006C523F"/>
    <w:rsid w:val="006C642C"/>
    <w:rsid w:val="006D3572"/>
    <w:rsid w:val="006D4637"/>
    <w:rsid w:val="006D5390"/>
    <w:rsid w:val="006D609F"/>
    <w:rsid w:val="006D7A3A"/>
    <w:rsid w:val="006E05CD"/>
    <w:rsid w:val="006E2139"/>
    <w:rsid w:val="006E31A4"/>
    <w:rsid w:val="006E6CA3"/>
    <w:rsid w:val="006F1C44"/>
    <w:rsid w:val="006F1EEE"/>
    <w:rsid w:val="006F1F9C"/>
    <w:rsid w:val="006F3F02"/>
    <w:rsid w:val="006F5051"/>
    <w:rsid w:val="006F6FE7"/>
    <w:rsid w:val="00700DF8"/>
    <w:rsid w:val="00700FF9"/>
    <w:rsid w:val="00702433"/>
    <w:rsid w:val="00704643"/>
    <w:rsid w:val="00704813"/>
    <w:rsid w:val="00704FE8"/>
    <w:rsid w:val="0070560B"/>
    <w:rsid w:val="00706AA9"/>
    <w:rsid w:val="00707738"/>
    <w:rsid w:val="00710360"/>
    <w:rsid w:val="00710682"/>
    <w:rsid w:val="0071268A"/>
    <w:rsid w:val="007130B0"/>
    <w:rsid w:val="00714637"/>
    <w:rsid w:val="00714D3E"/>
    <w:rsid w:val="0071508A"/>
    <w:rsid w:val="00722336"/>
    <w:rsid w:val="00724DAA"/>
    <w:rsid w:val="00726DD9"/>
    <w:rsid w:val="007317EE"/>
    <w:rsid w:val="00733747"/>
    <w:rsid w:val="00733B83"/>
    <w:rsid w:val="0074179A"/>
    <w:rsid w:val="00745400"/>
    <w:rsid w:val="00745A34"/>
    <w:rsid w:val="00746039"/>
    <w:rsid w:val="007477AD"/>
    <w:rsid w:val="007509CE"/>
    <w:rsid w:val="007526CF"/>
    <w:rsid w:val="0075328B"/>
    <w:rsid w:val="00753B77"/>
    <w:rsid w:val="0075487C"/>
    <w:rsid w:val="00754C2E"/>
    <w:rsid w:val="00754F1C"/>
    <w:rsid w:val="00755641"/>
    <w:rsid w:val="007567A3"/>
    <w:rsid w:val="00756F09"/>
    <w:rsid w:val="00757681"/>
    <w:rsid w:val="00757E92"/>
    <w:rsid w:val="0076021C"/>
    <w:rsid w:val="0076163D"/>
    <w:rsid w:val="00762B89"/>
    <w:rsid w:val="00763C80"/>
    <w:rsid w:val="00764085"/>
    <w:rsid w:val="00767FAE"/>
    <w:rsid w:val="0077619B"/>
    <w:rsid w:val="00776B13"/>
    <w:rsid w:val="00777F6A"/>
    <w:rsid w:val="0078616F"/>
    <w:rsid w:val="0079065E"/>
    <w:rsid w:val="0079085E"/>
    <w:rsid w:val="007976F0"/>
    <w:rsid w:val="007A09F7"/>
    <w:rsid w:val="007A1D4E"/>
    <w:rsid w:val="007A5215"/>
    <w:rsid w:val="007A5DB4"/>
    <w:rsid w:val="007B1EE9"/>
    <w:rsid w:val="007B2568"/>
    <w:rsid w:val="007B4C9B"/>
    <w:rsid w:val="007B53D4"/>
    <w:rsid w:val="007B58FA"/>
    <w:rsid w:val="007B6D83"/>
    <w:rsid w:val="007B6FE8"/>
    <w:rsid w:val="007B70CC"/>
    <w:rsid w:val="007C0FBC"/>
    <w:rsid w:val="007C3375"/>
    <w:rsid w:val="007C4BA8"/>
    <w:rsid w:val="007D1F5E"/>
    <w:rsid w:val="007D4841"/>
    <w:rsid w:val="007D655B"/>
    <w:rsid w:val="007D656F"/>
    <w:rsid w:val="007D765D"/>
    <w:rsid w:val="007D7D6A"/>
    <w:rsid w:val="007E09ED"/>
    <w:rsid w:val="007E28F2"/>
    <w:rsid w:val="007E666B"/>
    <w:rsid w:val="007F0870"/>
    <w:rsid w:val="007F5298"/>
    <w:rsid w:val="007F7EEB"/>
    <w:rsid w:val="008002E0"/>
    <w:rsid w:val="00803112"/>
    <w:rsid w:val="0080408D"/>
    <w:rsid w:val="008057FF"/>
    <w:rsid w:val="00807C0E"/>
    <w:rsid w:val="00811675"/>
    <w:rsid w:val="00812D47"/>
    <w:rsid w:val="008171AA"/>
    <w:rsid w:val="0082073B"/>
    <w:rsid w:val="00820FB0"/>
    <w:rsid w:val="00831CD3"/>
    <w:rsid w:val="008336A3"/>
    <w:rsid w:val="00833CF1"/>
    <w:rsid w:val="008409D8"/>
    <w:rsid w:val="00841231"/>
    <w:rsid w:val="00841C9C"/>
    <w:rsid w:val="00844083"/>
    <w:rsid w:val="00850751"/>
    <w:rsid w:val="00852C6B"/>
    <w:rsid w:val="00853E06"/>
    <w:rsid w:val="00855F28"/>
    <w:rsid w:val="00856495"/>
    <w:rsid w:val="008569CD"/>
    <w:rsid w:val="00865338"/>
    <w:rsid w:val="008719FE"/>
    <w:rsid w:val="00874082"/>
    <w:rsid w:val="00875FB6"/>
    <w:rsid w:val="008836D6"/>
    <w:rsid w:val="00883EB8"/>
    <w:rsid w:val="0088596C"/>
    <w:rsid w:val="0088693B"/>
    <w:rsid w:val="008A4900"/>
    <w:rsid w:val="008A62FE"/>
    <w:rsid w:val="008A6C4F"/>
    <w:rsid w:val="008A70F0"/>
    <w:rsid w:val="008B3621"/>
    <w:rsid w:val="008B3F2E"/>
    <w:rsid w:val="008B5E48"/>
    <w:rsid w:val="008C3EE4"/>
    <w:rsid w:val="008C6CED"/>
    <w:rsid w:val="008C7273"/>
    <w:rsid w:val="008C754D"/>
    <w:rsid w:val="008D0372"/>
    <w:rsid w:val="008D4F7C"/>
    <w:rsid w:val="008D5779"/>
    <w:rsid w:val="008D5CFA"/>
    <w:rsid w:val="008D64C2"/>
    <w:rsid w:val="008D6593"/>
    <w:rsid w:val="008E38F0"/>
    <w:rsid w:val="008E3D4B"/>
    <w:rsid w:val="008E6AC7"/>
    <w:rsid w:val="008E70C8"/>
    <w:rsid w:val="008F031E"/>
    <w:rsid w:val="008F034A"/>
    <w:rsid w:val="008F1040"/>
    <w:rsid w:val="008F1D85"/>
    <w:rsid w:val="008F4472"/>
    <w:rsid w:val="008F6E6F"/>
    <w:rsid w:val="00900567"/>
    <w:rsid w:val="009011C8"/>
    <w:rsid w:val="0090216D"/>
    <w:rsid w:val="00904222"/>
    <w:rsid w:val="009059A0"/>
    <w:rsid w:val="00905E44"/>
    <w:rsid w:val="00907C7C"/>
    <w:rsid w:val="00912242"/>
    <w:rsid w:val="0091244E"/>
    <w:rsid w:val="009139A3"/>
    <w:rsid w:val="0091430E"/>
    <w:rsid w:val="00914500"/>
    <w:rsid w:val="00915AB2"/>
    <w:rsid w:val="00915B9C"/>
    <w:rsid w:val="00923DDC"/>
    <w:rsid w:val="00924ADE"/>
    <w:rsid w:val="009256F5"/>
    <w:rsid w:val="00925DDA"/>
    <w:rsid w:val="00926FED"/>
    <w:rsid w:val="0093007F"/>
    <w:rsid w:val="00936132"/>
    <w:rsid w:val="00937307"/>
    <w:rsid w:val="0093779B"/>
    <w:rsid w:val="0094111F"/>
    <w:rsid w:val="009424AD"/>
    <w:rsid w:val="00945124"/>
    <w:rsid w:val="00950129"/>
    <w:rsid w:val="0095140E"/>
    <w:rsid w:val="009525E3"/>
    <w:rsid w:val="0095451A"/>
    <w:rsid w:val="00954FFB"/>
    <w:rsid w:val="00955632"/>
    <w:rsid w:val="00957F57"/>
    <w:rsid w:val="009604A0"/>
    <w:rsid w:val="00962745"/>
    <w:rsid w:val="00962CF5"/>
    <w:rsid w:val="00965447"/>
    <w:rsid w:val="00965995"/>
    <w:rsid w:val="0096626E"/>
    <w:rsid w:val="009706BB"/>
    <w:rsid w:val="00970C96"/>
    <w:rsid w:val="009712AE"/>
    <w:rsid w:val="00971D94"/>
    <w:rsid w:val="00975140"/>
    <w:rsid w:val="00975CCF"/>
    <w:rsid w:val="009773FC"/>
    <w:rsid w:val="00982B6A"/>
    <w:rsid w:val="00983E12"/>
    <w:rsid w:val="00984BE6"/>
    <w:rsid w:val="0098679C"/>
    <w:rsid w:val="009905EF"/>
    <w:rsid w:val="00992820"/>
    <w:rsid w:val="00992C8E"/>
    <w:rsid w:val="00994DA0"/>
    <w:rsid w:val="009A1850"/>
    <w:rsid w:val="009A2509"/>
    <w:rsid w:val="009A3551"/>
    <w:rsid w:val="009A4B25"/>
    <w:rsid w:val="009A56EC"/>
    <w:rsid w:val="009A6579"/>
    <w:rsid w:val="009A65FD"/>
    <w:rsid w:val="009A7D59"/>
    <w:rsid w:val="009B0613"/>
    <w:rsid w:val="009B0E34"/>
    <w:rsid w:val="009B271D"/>
    <w:rsid w:val="009B31FD"/>
    <w:rsid w:val="009B37E5"/>
    <w:rsid w:val="009B4F2A"/>
    <w:rsid w:val="009B6E02"/>
    <w:rsid w:val="009C08AC"/>
    <w:rsid w:val="009C0C3E"/>
    <w:rsid w:val="009C41BB"/>
    <w:rsid w:val="009C50B0"/>
    <w:rsid w:val="009D47B6"/>
    <w:rsid w:val="009D48A7"/>
    <w:rsid w:val="009D5692"/>
    <w:rsid w:val="009E545A"/>
    <w:rsid w:val="009E7CF6"/>
    <w:rsid w:val="009F0CD6"/>
    <w:rsid w:val="009F1DFD"/>
    <w:rsid w:val="009F3D64"/>
    <w:rsid w:val="009F4FA5"/>
    <w:rsid w:val="009F5660"/>
    <w:rsid w:val="00A017EB"/>
    <w:rsid w:val="00A02A9C"/>
    <w:rsid w:val="00A05373"/>
    <w:rsid w:val="00A0770D"/>
    <w:rsid w:val="00A11D13"/>
    <w:rsid w:val="00A15416"/>
    <w:rsid w:val="00A15F68"/>
    <w:rsid w:val="00A17913"/>
    <w:rsid w:val="00A20B8C"/>
    <w:rsid w:val="00A2572D"/>
    <w:rsid w:val="00A26050"/>
    <w:rsid w:val="00A27407"/>
    <w:rsid w:val="00A30BDC"/>
    <w:rsid w:val="00A30C51"/>
    <w:rsid w:val="00A35174"/>
    <w:rsid w:val="00A37BEC"/>
    <w:rsid w:val="00A403D9"/>
    <w:rsid w:val="00A409B8"/>
    <w:rsid w:val="00A41B8D"/>
    <w:rsid w:val="00A423ED"/>
    <w:rsid w:val="00A43398"/>
    <w:rsid w:val="00A443ED"/>
    <w:rsid w:val="00A466B1"/>
    <w:rsid w:val="00A509B8"/>
    <w:rsid w:val="00A520DD"/>
    <w:rsid w:val="00A54E20"/>
    <w:rsid w:val="00A62138"/>
    <w:rsid w:val="00A73E4E"/>
    <w:rsid w:val="00A74703"/>
    <w:rsid w:val="00A773FB"/>
    <w:rsid w:val="00A8089C"/>
    <w:rsid w:val="00A80C70"/>
    <w:rsid w:val="00A80FCD"/>
    <w:rsid w:val="00A822CD"/>
    <w:rsid w:val="00A8348C"/>
    <w:rsid w:val="00A83ED5"/>
    <w:rsid w:val="00A9023A"/>
    <w:rsid w:val="00A92500"/>
    <w:rsid w:val="00A94E8C"/>
    <w:rsid w:val="00AA09CD"/>
    <w:rsid w:val="00AA40EB"/>
    <w:rsid w:val="00AA4DF4"/>
    <w:rsid w:val="00AA5041"/>
    <w:rsid w:val="00AA7786"/>
    <w:rsid w:val="00AB0622"/>
    <w:rsid w:val="00AB1537"/>
    <w:rsid w:val="00AB4E10"/>
    <w:rsid w:val="00AB676D"/>
    <w:rsid w:val="00AC3B99"/>
    <w:rsid w:val="00AC4997"/>
    <w:rsid w:val="00AC61DA"/>
    <w:rsid w:val="00AD1D92"/>
    <w:rsid w:val="00AD2088"/>
    <w:rsid w:val="00AD2439"/>
    <w:rsid w:val="00AD32BC"/>
    <w:rsid w:val="00AD3633"/>
    <w:rsid w:val="00AD3EEC"/>
    <w:rsid w:val="00AD5DC0"/>
    <w:rsid w:val="00AD69A3"/>
    <w:rsid w:val="00AD6C14"/>
    <w:rsid w:val="00AE1279"/>
    <w:rsid w:val="00AE2A8B"/>
    <w:rsid w:val="00AE2BEA"/>
    <w:rsid w:val="00AE3958"/>
    <w:rsid w:val="00AE48EE"/>
    <w:rsid w:val="00AE653F"/>
    <w:rsid w:val="00AE6A16"/>
    <w:rsid w:val="00AE779B"/>
    <w:rsid w:val="00AF0623"/>
    <w:rsid w:val="00AF247C"/>
    <w:rsid w:val="00AF2DF7"/>
    <w:rsid w:val="00AF6197"/>
    <w:rsid w:val="00AF7348"/>
    <w:rsid w:val="00B00142"/>
    <w:rsid w:val="00B013DD"/>
    <w:rsid w:val="00B023CC"/>
    <w:rsid w:val="00B04229"/>
    <w:rsid w:val="00B0621B"/>
    <w:rsid w:val="00B067E8"/>
    <w:rsid w:val="00B073CC"/>
    <w:rsid w:val="00B14E19"/>
    <w:rsid w:val="00B150DB"/>
    <w:rsid w:val="00B15722"/>
    <w:rsid w:val="00B15CE6"/>
    <w:rsid w:val="00B2293E"/>
    <w:rsid w:val="00B2323A"/>
    <w:rsid w:val="00B2344E"/>
    <w:rsid w:val="00B26885"/>
    <w:rsid w:val="00B31E1B"/>
    <w:rsid w:val="00B329F8"/>
    <w:rsid w:val="00B32FA4"/>
    <w:rsid w:val="00B4705A"/>
    <w:rsid w:val="00B53150"/>
    <w:rsid w:val="00B54016"/>
    <w:rsid w:val="00B55EEB"/>
    <w:rsid w:val="00B60A46"/>
    <w:rsid w:val="00B60E8E"/>
    <w:rsid w:val="00B63E25"/>
    <w:rsid w:val="00B6613F"/>
    <w:rsid w:val="00B66A6F"/>
    <w:rsid w:val="00B735AE"/>
    <w:rsid w:val="00B767FA"/>
    <w:rsid w:val="00B80B73"/>
    <w:rsid w:val="00B847FA"/>
    <w:rsid w:val="00B9019E"/>
    <w:rsid w:val="00B91640"/>
    <w:rsid w:val="00B93E4A"/>
    <w:rsid w:val="00B95F6B"/>
    <w:rsid w:val="00B9720A"/>
    <w:rsid w:val="00BA02A0"/>
    <w:rsid w:val="00BA0488"/>
    <w:rsid w:val="00BA3D80"/>
    <w:rsid w:val="00BA60BB"/>
    <w:rsid w:val="00BB19BC"/>
    <w:rsid w:val="00BB1BBB"/>
    <w:rsid w:val="00BB250D"/>
    <w:rsid w:val="00BB2C9E"/>
    <w:rsid w:val="00BB3433"/>
    <w:rsid w:val="00BB34AA"/>
    <w:rsid w:val="00BB6547"/>
    <w:rsid w:val="00BB751F"/>
    <w:rsid w:val="00BC3352"/>
    <w:rsid w:val="00BC678A"/>
    <w:rsid w:val="00BC7AD8"/>
    <w:rsid w:val="00BC7AE8"/>
    <w:rsid w:val="00BC7FEF"/>
    <w:rsid w:val="00BD1C7B"/>
    <w:rsid w:val="00BD397A"/>
    <w:rsid w:val="00BD57D2"/>
    <w:rsid w:val="00BD6737"/>
    <w:rsid w:val="00BD7ECE"/>
    <w:rsid w:val="00BE3997"/>
    <w:rsid w:val="00BE4416"/>
    <w:rsid w:val="00BE5499"/>
    <w:rsid w:val="00BE5623"/>
    <w:rsid w:val="00BE6794"/>
    <w:rsid w:val="00BE79CD"/>
    <w:rsid w:val="00BF1308"/>
    <w:rsid w:val="00BF4812"/>
    <w:rsid w:val="00BF4A3D"/>
    <w:rsid w:val="00BF5BCA"/>
    <w:rsid w:val="00C036D3"/>
    <w:rsid w:val="00C03E79"/>
    <w:rsid w:val="00C11311"/>
    <w:rsid w:val="00C16FE3"/>
    <w:rsid w:val="00C2027E"/>
    <w:rsid w:val="00C206BA"/>
    <w:rsid w:val="00C21A1E"/>
    <w:rsid w:val="00C24FB8"/>
    <w:rsid w:val="00C25FC7"/>
    <w:rsid w:val="00C27973"/>
    <w:rsid w:val="00C31686"/>
    <w:rsid w:val="00C3248B"/>
    <w:rsid w:val="00C328BC"/>
    <w:rsid w:val="00C3516A"/>
    <w:rsid w:val="00C36F65"/>
    <w:rsid w:val="00C36FE1"/>
    <w:rsid w:val="00C37190"/>
    <w:rsid w:val="00C37AE1"/>
    <w:rsid w:val="00C4155A"/>
    <w:rsid w:val="00C421FE"/>
    <w:rsid w:val="00C429C1"/>
    <w:rsid w:val="00C45713"/>
    <w:rsid w:val="00C47814"/>
    <w:rsid w:val="00C502B6"/>
    <w:rsid w:val="00C52105"/>
    <w:rsid w:val="00C52159"/>
    <w:rsid w:val="00C536C6"/>
    <w:rsid w:val="00C578D1"/>
    <w:rsid w:val="00C57ADF"/>
    <w:rsid w:val="00C6132C"/>
    <w:rsid w:val="00C62050"/>
    <w:rsid w:val="00C67260"/>
    <w:rsid w:val="00C702A7"/>
    <w:rsid w:val="00C70884"/>
    <w:rsid w:val="00C728F3"/>
    <w:rsid w:val="00C733E6"/>
    <w:rsid w:val="00C767F9"/>
    <w:rsid w:val="00C80A49"/>
    <w:rsid w:val="00C8199E"/>
    <w:rsid w:val="00C830DE"/>
    <w:rsid w:val="00C84A02"/>
    <w:rsid w:val="00C905FA"/>
    <w:rsid w:val="00C91E56"/>
    <w:rsid w:val="00C936AF"/>
    <w:rsid w:val="00C94533"/>
    <w:rsid w:val="00C95666"/>
    <w:rsid w:val="00C95BE9"/>
    <w:rsid w:val="00CA1322"/>
    <w:rsid w:val="00CA2EC0"/>
    <w:rsid w:val="00CA4703"/>
    <w:rsid w:val="00CA5826"/>
    <w:rsid w:val="00CB1755"/>
    <w:rsid w:val="00CB299B"/>
    <w:rsid w:val="00CB5319"/>
    <w:rsid w:val="00CB53B6"/>
    <w:rsid w:val="00CB65B3"/>
    <w:rsid w:val="00CB66DC"/>
    <w:rsid w:val="00CC270C"/>
    <w:rsid w:val="00CC5015"/>
    <w:rsid w:val="00CC5C43"/>
    <w:rsid w:val="00CC740F"/>
    <w:rsid w:val="00CD7391"/>
    <w:rsid w:val="00CE39E2"/>
    <w:rsid w:val="00CE618F"/>
    <w:rsid w:val="00CF0CE5"/>
    <w:rsid w:val="00CF1D8A"/>
    <w:rsid w:val="00CF372A"/>
    <w:rsid w:val="00CF45ED"/>
    <w:rsid w:val="00CF6129"/>
    <w:rsid w:val="00D00BA4"/>
    <w:rsid w:val="00D00F60"/>
    <w:rsid w:val="00D010BF"/>
    <w:rsid w:val="00D01230"/>
    <w:rsid w:val="00D050F1"/>
    <w:rsid w:val="00D1325D"/>
    <w:rsid w:val="00D144F9"/>
    <w:rsid w:val="00D14EF0"/>
    <w:rsid w:val="00D1594B"/>
    <w:rsid w:val="00D16555"/>
    <w:rsid w:val="00D1763F"/>
    <w:rsid w:val="00D179A2"/>
    <w:rsid w:val="00D21915"/>
    <w:rsid w:val="00D265EA"/>
    <w:rsid w:val="00D2745E"/>
    <w:rsid w:val="00D32E53"/>
    <w:rsid w:val="00D34BA7"/>
    <w:rsid w:val="00D36C8C"/>
    <w:rsid w:val="00D36E67"/>
    <w:rsid w:val="00D37034"/>
    <w:rsid w:val="00D42D22"/>
    <w:rsid w:val="00D44A37"/>
    <w:rsid w:val="00D5110C"/>
    <w:rsid w:val="00D51661"/>
    <w:rsid w:val="00D601D8"/>
    <w:rsid w:val="00D61149"/>
    <w:rsid w:val="00D64526"/>
    <w:rsid w:val="00D6662D"/>
    <w:rsid w:val="00D669AC"/>
    <w:rsid w:val="00D671D2"/>
    <w:rsid w:val="00D67246"/>
    <w:rsid w:val="00D711D8"/>
    <w:rsid w:val="00D75CA8"/>
    <w:rsid w:val="00D77B76"/>
    <w:rsid w:val="00D80B26"/>
    <w:rsid w:val="00D81C73"/>
    <w:rsid w:val="00D82D32"/>
    <w:rsid w:val="00D8367C"/>
    <w:rsid w:val="00D904F8"/>
    <w:rsid w:val="00D91440"/>
    <w:rsid w:val="00D92A85"/>
    <w:rsid w:val="00D92EB8"/>
    <w:rsid w:val="00D953C7"/>
    <w:rsid w:val="00DA0134"/>
    <w:rsid w:val="00DA343D"/>
    <w:rsid w:val="00DA461A"/>
    <w:rsid w:val="00DA546B"/>
    <w:rsid w:val="00DB2253"/>
    <w:rsid w:val="00DB2D57"/>
    <w:rsid w:val="00DB3CC7"/>
    <w:rsid w:val="00DC0197"/>
    <w:rsid w:val="00DC7BFE"/>
    <w:rsid w:val="00DD1E52"/>
    <w:rsid w:val="00DD4200"/>
    <w:rsid w:val="00DD72E6"/>
    <w:rsid w:val="00DD7F25"/>
    <w:rsid w:val="00DE2362"/>
    <w:rsid w:val="00DE238B"/>
    <w:rsid w:val="00DE49E6"/>
    <w:rsid w:val="00DE6C37"/>
    <w:rsid w:val="00DF3E01"/>
    <w:rsid w:val="00DF6920"/>
    <w:rsid w:val="00E00516"/>
    <w:rsid w:val="00E02A2C"/>
    <w:rsid w:val="00E05480"/>
    <w:rsid w:val="00E06CEF"/>
    <w:rsid w:val="00E1024B"/>
    <w:rsid w:val="00E14891"/>
    <w:rsid w:val="00E16240"/>
    <w:rsid w:val="00E22CDC"/>
    <w:rsid w:val="00E23ADF"/>
    <w:rsid w:val="00E25B0B"/>
    <w:rsid w:val="00E31454"/>
    <w:rsid w:val="00E33074"/>
    <w:rsid w:val="00E33D90"/>
    <w:rsid w:val="00E34B27"/>
    <w:rsid w:val="00E3533D"/>
    <w:rsid w:val="00E4033D"/>
    <w:rsid w:val="00E4289F"/>
    <w:rsid w:val="00E451FD"/>
    <w:rsid w:val="00E459A3"/>
    <w:rsid w:val="00E50375"/>
    <w:rsid w:val="00E50CA5"/>
    <w:rsid w:val="00E54E17"/>
    <w:rsid w:val="00E54F56"/>
    <w:rsid w:val="00E55896"/>
    <w:rsid w:val="00E57C4C"/>
    <w:rsid w:val="00E57E3F"/>
    <w:rsid w:val="00E602AE"/>
    <w:rsid w:val="00E62551"/>
    <w:rsid w:val="00E65663"/>
    <w:rsid w:val="00E65C88"/>
    <w:rsid w:val="00E679A9"/>
    <w:rsid w:val="00E72AA1"/>
    <w:rsid w:val="00E7310B"/>
    <w:rsid w:val="00E827EB"/>
    <w:rsid w:val="00E82F67"/>
    <w:rsid w:val="00E84BB2"/>
    <w:rsid w:val="00E87D26"/>
    <w:rsid w:val="00E90515"/>
    <w:rsid w:val="00E9189B"/>
    <w:rsid w:val="00E91A26"/>
    <w:rsid w:val="00E94684"/>
    <w:rsid w:val="00E95285"/>
    <w:rsid w:val="00E972E1"/>
    <w:rsid w:val="00EA1644"/>
    <w:rsid w:val="00EA372E"/>
    <w:rsid w:val="00EA7761"/>
    <w:rsid w:val="00EB0062"/>
    <w:rsid w:val="00EB3981"/>
    <w:rsid w:val="00EB4721"/>
    <w:rsid w:val="00EB6F0F"/>
    <w:rsid w:val="00EC1ED4"/>
    <w:rsid w:val="00EC432D"/>
    <w:rsid w:val="00EC5699"/>
    <w:rsid w:val="00ED36BD"/>
    <w:rsid w:val="00EE1EEC"/>
    <w:rsid w:val="00EE5FCA"/>
    <w:rsid w:val="00EE6889"/>
    <w:rsid w:val="00EF03E5"/>
    <w:rsid w:val="00EF1CB9"/>
    <w:rsid w:val="00EF3BCF"/>
    <w:rsid w:val="00EF524C"/>
    <w:rsid w:val="00EF5255"/>
    <w:rsid w:val="00EF55D4"/>
    <w:rsid w:val="00EF5D6A"/>
    <w:rsid w:val="00F001CD"/>
    <w:rsid w:val="00F00963"/>
    <w:rsid w:val="00F0225F"/>
    <w:rsid w:val="00F02D78"/>
    <w:rsid w:val="00F02F98"/>
    <w:rsid w:val="00F03390"/>
    <w:rsid w:val="00F06436"/>
    <w:rsid w:val="00F07316"/>
    <w:rsid w:val="00F07CD8"/>
    <w:rsid w:val="00F11863"/>
    <w:rsid w:val="00F11A29"/>
    <w:rsid w:val="00F16AFC"/>
    <w:rsid w:val="00F2033E"/>
    <w:rsid w:val="00F20E0E"/>
    <w:rsid w:val="00F22352"/>
    <w:rsid w:val="00F22DC2"/>
    <w:rsid w:val="00F241F4"/>
    <w:rsid w:val="00F2442C"/>
    <w:rsid w:val="00F278BA"/>
    <w:rsid w:val="00F3341C"/>
    <w:rsid w:val="00F34C4D"/>
    <w:rsid w:val="00F435CD"/>
    <w:rsid w:val="00F4469F"/>
    <w:rsid w:val="00F44866"/>
    <w:rsid w:val="00F455DC"/>
    <w:rsid w:val="00F528C8"/>
    <w:rsid w:val="00F533AE"/>
    <w:rsid w:val="00F634A4"/>
    <w:rsid w:val="00F63F39"/>
    <w:rsid w:val="00F65CBF"/>
    <w:rsid w:val="00F714DB"/>
    <w:rsid w:val="00F74076"/>
    <w:rsid w:val="00F75823"/>
    <w:rsid w:val="00F7785F"/>
    <w:rsid w:val="00F80196"/>
    <w:rsid w:val="00F8055A"/>
    <w:rsid w:val="00F871C8"/>
    <w:rsid w:val="00F87743"/>
    <w:rsid w:val="00F90DA1"/>
    <w:rsid w:val="00F91BA1"/>
    <w:rsid w:val="00F9382E"/>
    <w:rsid w:val="00F94191"/>
    <w:rsid w:val="00F94B5B"/>
    <w:rsid w:val="00F966F6"/>
    <w:rsid w:val="00FA2209"/>
    <w:rsid w:val="00FA2704"/>
    <w:rsid w:val="00FA360E"/>
    <w:rsid w:val="00FA49EE"/>
    <w:rsid w:val="00FA7132"/>
    <w:rsid w:val="00FA7397"/>
    <w:rsid w:val="00FB0724"/>
    <w:rsid w:val="00FB16B4"/>
    <w:rsid w:val="00FB2E54"/>
    <w:rsid w:val="00FB7F5C"/>
    <w:rsid w:val="00FC0A38"/>
    <w:rsid w:val="00FC154E"/>
    <w:rsid w:val="00FC15E9"/>
    <w:rsid w:val="00FC51D6"/>
    <w:rsid w:val="00FC53C2"/>
    <w:rsid w:val="00FC5D67"/>
    <w:rsid w:val="00FC70BE"/>
    <w:rsid w:val="00FD1BCF"/>
    <w:rsid w:val="00FD262D"/>
    <w:rsid w:val="00FD650A"/>
    <w:rsid w:val="00FD65EC"/>
    <w:rsid w:val="00FE273D"/>
    <w:rsid w:val="00FE3EF4"/>
    <w:rsid w:val="00FE62C5"/>
    <w:rsid w:val="00FE74CC"/>
    <w:rsid w:val="00FF052F"/>
    <w:rsid w:val="00FF1034"/>
    <w:rsid w:val="00FF1332"/>
    <w:rsid w:val="00FF4980"/>
    <w:rsid w:val="00FF787C"/>
    <w:rsid w:val="035B6A7E"/>
    <w:rsid w:val="06DF256C"/>
    <w:rsid w:val="071221CB"/>
    <w:rsid w:val="084142AB"/>
    <w:rsid w:val="08597847"/>
    <w:rsid w:val="088752FE"/>
    <w:rsid w:val="08ED34B7"/>
    <w:rsid w:val="0A4A3CC0"/>
    <w:rsid w:val="0F4EAF91"/>
    <w:rsid w:val="0FDFA4F6"/>
    <w:rsid w:val="18E907E7"/>
    <w:rsid w:val="195D307A"/>
    <w:rsid w:val="1E993896"/>
    <w:rsid w:val="20388030"/>
    <w:rsid w:val="26F6A779"/>
    <w:rsid w:val="277E7841"/>
    <w:rsid w:val="279FB398"/>
    <w:rsid w:val="27D9DB47"/>
    <w:rsid w:val="2A003128"/>
    <w:rsid w:val="2C46E646"/>
    <w:rsid w:val="2F766391"/>
    <w:rsid w:val="3107FB2D"/>
    <w:rsid w:val="33DC9BE3"/>
    <w:rsid w:val="361F9A59"/>
    <w:rsid w:val="38F77637"/>
    <w:rsid w:val="398F14D6"/>
    <w:rsid w:val="3BADEDAD"/>
    <w:rsid w:val="3C1569A7"/>
    <w:rsid w:val="3FEE9E84"/>
    <w:rsid w:val="41F62B4D"/>
    <w:rsid w:val="429BD62B"/>
    <w:rsid w:val="46941449"/>
    <w:rsid w:val="54639287"/>
    <w:rsid w:val="55850B72"/>
    <w:rsid w:val="590A19A6"/>
    <w:rsid w:val="63E7ECA6"/>
    <w:rsid w:val="6BCE375C"/>
    <w:rsid w:val="735E4E67"/>
    <w:rsid w:val="76AB13E7"/>
    <w:rsid w:val="7B91D2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FFF0"/>
  <w15:docId w15:val="{FCE9BF1B-7F29-491F-8AB3-A0C06CF3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link w:val="En-tteCar"/>
    <w:uiPriority w:val="99"/>
    <w:unhideWhenUsed/>
    <w:rsid w:val="00707738"/>
    <w:pPr>
      <w:tabs>
        <w:tab w:val="center" w:pos="4513"/>
        <w:tab w:val="right" w:pos="9026"/>
      </w:tabs>
      <w:spacing w:after="0" w:line="240" w:lineRule="auto"/>
    </w:pPr>
  </w:style>
  <w:style w:type="character" w:styleId="En-tteCar" w:customStyle="1">
    <w:name w:val="En-tête Car"/>
    <w:basedOn w:val="Policepardfaut"/>
    <w:link w:val="En-tte"/>
    <w:uiPriority w:val="99"/>
    <w:rsid w:val="00707738"/>
  </w:style>
  <w:style w:type="paragraph" w:styleId="Pieddepage">
    <w:name w:val="footer"/>
    <w:basedOn w:val="Normal"/>
    <w:link w:val="PieddepageCar"/>
    <w:uiPriority w:val="99"/>
    <w:unhideWhenUsed/>
    <w:rsid w:val="00707738"/>
    <w:pPr>
      <w:tabs>
        <w:tab w:val="center" w:pos="4513"/>
        <w:tab w:val="right" w:pos="9026"/>
      </w:tabs>
      <w:spacing w:after="0" w:line="240" w:lineRule="auto"/>
    </w:pPr>
  </w:style>
  <w:style w:type="character" w:styleId="PieddepageCar" w:customStyle="1">
    <w:name w:val="Pied de page Car"/>
    <w:basedOn w:val="Policepardfaut"/>
    <w:link w:val="Pieddepage"/>
    <w:uiPriority w:val="99"/>
    <w:rsid w:val="00707738"/>
  </w:style>
  <w:style w:type="paragraph" w:styleId="Textedebulles">
    <w:name w:val="Balloon Text"/>
    <w:basedOn w:val="Normal"/>
    <w:link w:val="TextedebullesCar"/>
    <w:uiPriority w:val="99"/>
    <w:semiHidden/>
    <w:unhideWhenUsed/>
    <w:rsid w:val="00707738"/>
    <w:pPr>
      <w:spacing w:after="0" w:line="240" w:lineRule="auto"/>
    </w:pPr>
    <w:rPr>
      <w:rFonts w:ascii="Tahoma" w:hAnsi="Tahoma" w:cs="Tahoma"/>
      <w:sz w:val="16"/>
      <w:szCs w:val="16"/>
    </w:rPr>
  </w:style>
  <w:style w:type="character" w:styleId="TextedebullesCar" w:customStyle="1">
    <w:name w:val="Texte de bulles Car"/>
    <w:basedOn w:val="Policepardfaut"/>
    <w:link w:val="Textedebulles"/>
    <w:uiPriority w:val="99"/>
    <w:semiHidden/>
    <w:rsid w:val="00707738"/>
    <w:rPr>
      <w:rFonts w:ascii="Tahoma" w:hAnsi="Tahoma" w:cs="Tahoma"/>
      <w:sz w:val="16"/>
      <w:szCs w:val="16"/>
    </w:rPr>
  </w:style>
  <w:style w:type="table" w:styleId="Grilledutableau">
    <w:name w:val="Table Grid"/>
    <w:basedOn w:val="TableauNormal"/>
    <w:uiPriority w:val="39"/>
    <w:rsid w:val="00F278B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tedebasdepage">
    <w:name w:val="footnote text"/>
    <w:basedOn w:val="Normal"/>
    <w:link w:val="NotedebasdepageCar"/>
    <w:uiPriority w:val="99"/>
    <w:semiHidden/>
    <w:unhideWhenUsed/>
    <w:rsid w:val="00161F7C"/>
    <w:pPr>
      <w:spacing w:after="0" w:line="240" w:lineRule="auto"/>
    </w:pPr>
    <w:rPr>
      <w:sz w:val="20"/>
      <w:szCs w:val="20"/>
    </w:rPr>
  </w:style>
  <w:style w:type="character" w:styleId="NotedebasdepageCar" w:customStyle="1">
    <w:name w:val="Note de bas de page Car"/>
    <w:basedOn w:val="Policepardfaut"/>
    <w:link w:val="Notedebasdepage"/>
    <w:uiPriority w:val="99"/>
    <w:semiHidden/>
    <w:rsid w:val="00161F7C"/>
    <w:rPr>
      <w:sz w:val="20"/>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basedOn w:val="Policepardfaut"/>
    <w:uiPriority w:val="99"/>
    <w:unhideWhenUsed/>
    <w:qFormat/>
    <w:rsid w:val="00161F7C"/>
    <w:rPr>
      <w:vertAlign w:val="superscript"/>
    </w:rPr>
  </w:style>
  <w:style w:type="paragraph" w:styleId="Titlelevel1" w:customStyle="1">
    <w:name w:val="Title level 1"/>
    <w:autoRedefine/>
    <w:qFormat/>
    <w:rsid w:val="00F02D78"/>
    <w:pPr>
      <w:pBdr>
        <w:bottom w:val="single" w:color="2F5773" w:sz="8" w:space="17"/>
      </w:pBdr>
      <w:spacing w:after="240" w:line="240" w:lineRule="auto"/>
      <w:jc w:val="center"/>
    </w:pPr>
    <w:rPr>
      <w:rFonts w:ascii="Arial" w:hAnsi="Arial" w:eastAsia="MS PGothic" w:cs="Arial"/>
      <w:b/>
      <w:color w:val="2F5773"/>
      <w:spacing w:val="5"/>
      <w:kern w:val="28"/>
      <w:sz w:val="32"/>
      <w:szCs w:val="32"/>
    </w:rPr>
  </w:style>
  <w:style w:type="paragraph" w:styleId="Titlelevel3" w:customStyle="1">
    <w:name w:val="Title level 3"/>
    <w:qFormat/>
    <w:rsid w:val="00A05373"/>
    <w:pPr>
      <w:spacing w:before="240" w:after="240" w:line="240" w:lineRule="auto"/>
    </w:pPr>
    <w:rPr>
      <w:rFonts w:ascii="Calibri" w:hAnsi="Calibri" w:eastAsia="MS PGothic" w:cs="Times New Roman"/>
      <w:b/>
      <w:color w:val="2F5773"/>
      <w:sz w:val="24"/>
      <w:szCs w:val="24"/>
      <w:lang w:val="en-US"/>
    </w:rPr>
  </w:style>
  <w:style w:type="paragraph" w:styleId="Paragraphedeliste">
    <w:name w:val="List Paragraph"/>
    <w:aliases w:val="Paragraphe EI,Paragraphe de liste1,EC,List Paragraph_Sections,Dot pt,List Paragraph1,Colorful List - Accent 11,No Spacing1,List Paragraph Char Char Char,Indicator Text,Numbered Para 1,Bullet 1,F5 List Paragraph,Bullet Points,3"/>
    <w:basedOn w:val="Normal"/>
    <w:link w:val="ParagraphedelisteCar"/>
    <w:uiPriority w:val="34"/>
    <w:qFormat/>
    <w:rsid w:val="008057FF"/>
    <w:pPr>
      <w:ind w:left="720"/>
      <w:contextualSpacing/>
    </w:pPr>
  </w:style>
  <w:style w:type="character" w:styleId="Marquedecommentaire">
    <w:name w:val="annotation reference"/>
    <w:basedOn w:val="Policepardfaut"/>
    <w:uiPriority w:val="99"/>
    <w:semiHidden/>
    <w:unhideWhenUsed/>
    <w:rsid w:val="009A3551"/>
    <w:rPr>
      <w:sz w:val="16"/>
      <w:szCs w:val="16"/>
    </w:rPr>
  </w:style>
  <w:style w:type="paragraph" w:styleId="Commentaire">
    <w:name w:val="annotation text"/>
    <w:basedOn w:val="Normal"/>
    <w:link w:val="CommentaireCar"/>
    <w:uiPriority w:val="99"/>
    <w:unhideWhenUsed/>
    <w:rsid w:val="009A3551"/>
    <w:pPr>
      <w:spacing w:line="240" w:lineRule="auto"/>
    </w:pPr>
    <w:rPr>
      <w:sz w:val="20"/>
      <w:szCs w:val="20"/>
    </w:rPr>
  </w:style>
  <w:style w:type="character" w:styleId="CommentaireCar" w:customStyle="1">
    <w:name w:val="Commentaire Car"/>
    <w:basedOn w:val="Policepardfaut"/>
    <w:link w:val="Commentaire"/>
    <w:uiPriority w:val="99"/>
    <w:rsid w:val="009A3551"/>
    <w:rPr>
      <w:sz w:val="20"/>
      <w:szCs w:val="20"/>
    </w:rPr>
  </w:style>
  <w:style w:type="paragraph" w:styleId="Objetducommentaire">
    <w:name w:val="annotation subject"/>
    <w:basedOn w:val="Commentaire"/>
    <w:next w:val="Commentaire"/>
    <w:link w:val="ObjetducommentaireCar"/>
    <w:uiPriority w:val="99"/>
    <w:semiHidden/>
    <w:unhideWhenUsed/>
    <w:rsid w:val="009A3551"/>
    <w:rPr>
      <w:b/>
      <w:bCs/>
    </w:rPr>
  </w:style>
  <w:style w:type="character" w:styleId="ObjetducommentaireCar" w:customStyle="1">
    <w:name w:val="Objet du commentaire Car"/>
    <w:basedOn w:val="CommentaireCar"/>
    <w:link w:val="Objetducommentaire"/>
    <w:uiPriority w:val="99"/>
    <w:semiHidden/>
    <w:rsid w:val="009A3551"/>
    <w:rPr>
      <w:b/>
      <w:bCs/>
      <w:sz w:val="20"/>
      <w:szCs w:val="20"/>
    </w:rPr>
  </w:style>
  <w:style w:type="paragraph" w:styleId="NormalWeb">
    <w:name w:val="Normal (Web)"/>
    <w:basedOn w:val="Normal"/>
    <w:uiPriority w:val="99"/>
    <w:semiHidden/>
    <w:unhideWhenUsed/>
    <w:rsid w:val="0013601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Lienhypertexte">
    <w:name w:val="Hyperlink"/>
    <w:basedOn w:val="Policepardfaut"/>
    <w:uiPriority w:val="99"/>
    <w:unhideWhenUsed/>
    <w:rsid w:val="00A37BEC"/>
    <w:rPr>
      <w:color w:val="0000FF" w:themeColor="hyperlink"/>
      <w:u w:val="single"/>
    </w:rPr>
  </w:style>
  <w:style w:type="paragraph" w:styleId="Default" w:customStyle="1">
    <w:name w:val="Default"/>
    <w:rsid w:val="00D36E67"/>
    <w:pPr>
      <w:autoSpaceDE w:val="0"/>
      <w:autoSpaceDN w:val="0"/>
      <w:adjustRightInd w:val="0"/>
      <w:spacing w:after="0" w:line="240" w:lineRule="auto"/>
    </w:pPr>
    <w:rPr>
      <w:rFonts w:ascii="Calibri" w:hAnsi="Calibri" w:cs="Calibri"/>
      <w:color w:val="000000"/>
      <w:sz w:val="24"/>
      <w:szCs w:val="24"/>
    </w:rPr>
  </w:style>
  <w:style w:type="character" w:styleId="ParagraphedelisteCar" w:customStyle="1">
    <w:name w:val="Paragraphe de liste Car"/>
    <w:aliases w:val="Paragraphe EI Car,Paragraphe de liste1 Car,EC Car,List Paragraph_Sections Car,Dot pt Car,List Paragraph1 Car,Colorful List - Accent 11 Car,No Spacing1 Car,List Paragraph Char Char Char Car,Indicator Text Car,Numbered Para 1 Car"/>
    <w:basedOn w:val="Policepardfaut"/>
    <w:link w:val="Paragraphedeliste"/>
    <w:uiPriority w:val="34"/>
    <w:qFormat/>
    <w:locked/>
    <w:rsid w:val="00D36E67"/>
  </w:style>
  <w:style w:type="paragraph" w:styleId="Titre">
    <w:name w:val="Title"/>
    <w:basedOn w:val="Normal"/>
    <w:next w:val="Normal"/>
    <w:link w:val="TitreCar"/>
    <w:uiPriority w:val="10"/>
    <w:qFormat/>
    <w:rsid w:val="005B6CD1"/>
    <w:pPr>
      <w:widowControl w:val="0"/>
      <w:pBdr>
        <w:bottom w:val="single" w:color="4F81BD" w:themeColor="accent1" w:sz="8" w:space="4"/>
      </w:pBdr>
      <w:autoSpaceDE w:val="0"/>
      <w:autoSpaceDN w:val="0"/>
      <w:adjustRightInd w:val="0"/>
      <w:spacing w:after="300" w:line="240" w:lineRule="auto"/>
      <w:contextualSpacing/>
    </w:pPr>
    <w:rPr>
      <w:rFonts w:asciiTheme="majorHAnsi" w:hAnsiTheme="majorHAnsi" w:eastAsiaTheme="majorEastAsia" w:cstheme="majorBidi"/>
      <w:color w:val="17365D" w:themeColor="text2" w:themeShade="BF"/>
      <w:spacing w:val="5"/>
      <w:kern w:val="28"/>
      <w:sz w:val="52"/>
      <w:szCs w:val="52"/>
      <w:lang w:eastAsia="en-GB"/>
    </w:rPr>
  </w:style>
  <w:style w:type="character" w:styleId="TitreCar" w:customStyle="1">
    <w:name w:val="Titre Car"/>
    <w:basedOn w:val="Policepardfaut"/>
    <w:link w:val="Titre"/>
    <w:uiPriority w:val="10"/>
    <w:rsid w:val="005B6CD1"/>
    <w:rPr>
      <w:rFonts w:asciiTheme="majorHAnsi" w:hAnsiTheme="majorHAnsi" w:eastAsiaTheme="majorEastAsia" w:cstheme="majorBidi"/>
      <w:color w:val="17365D" w:themeColor="text2" w:themeShade="BF"/>
      <w:spacing w:val="5"/>
      <w:kern w:val="28"/>
      <w:sz w:val="52"/>
      <w:szCs w:val="52"/>
      <w:lang w:eastAsia="en-GB"/>
    </w:rPr>
  </w:style>
  <w:style w:type="paragraph" w:styleId="Rvision">
    <w:name w:val="Revision"/>
    <w:hidden/>
    <w:uiPriority w:val="99"/>
    <w:semiHidden/>
    <w:rsid w:val="00D1763F"/>
    <w:pPr>
      <w:spacing w:after="0" w:line="240" w:lineRule="auto"/>
    </w:pPr>
  </w:style>
  <w:style w:type="character" w:styleId="Lienhypertextesuivivisit">
    <w:name w:val="FollowedHyperlink"/>
    <w:basedOn w:val="Policepardfaut"/>
    <w:uiPriority w:val="99"/>
    <w:semiHidden/>
    <w:unhideWhenUsed/>
    <w:rsid w:val="001275B5"/>
    <w:rPr>
      <w:color w:val="800080" w:themeColor="followedHyperlink"/>
      <w:u w:val="single"/>
    </w:rPr>
  </w:style>
  <w:style w:type="paragraph" w:styleId="Letterhead" w:customStyle="1">
    <w:name w:val="Letterhead"/>
    <w:basedOn w:val="Normal"/>
    <w:link w:val="LetterheadChar"/>
    <w:qFormat/>
    <w:rsid w:val="0079065E"/>
    <w:pPr>
      <w:spacing w:after="0"/>
      <w:jc w:val="right"/>
    </w:pPr>
    <w:rPr>
      <w:rFonts w:eastAsiaTheme="minorEastAsia"/>
      <w:b/>
      <w:szCs w:val="20"/>
    </w:rPr>
  </w:style>
  <w:style w:type="character" w:styleId="LetterheadChar" w:customStyle="1">
    <w:name w:val="Letterhead Char"/>
    <w:basedOn w:val="Policepardfaut"/>
    <w:link w:val="Letterhead"/>
    <w:rsid w:val="0079065E"/>
    <w:rPr>
      <w:rFonts w:eastAsiaTheme="minorEastAsia"/>
      <w:b/>
      <w:szCs w:val="20"/>
    </w:rPr>
  </w:style>
  <w:style w:type="paragraph" w:styleId="body" w:customStyle="1">
    <w:name w:val="body"/>
    <w:qFormat/>
    <w:rsid w:val="0079065E"/>
    <w:pPr>
      <w:spacing w:before="240" w:after="120"/>
      <w:jc w:val="both"/>
    </w:pPr>
    <w:rPr>
      <w:rFonts w:ascii="Calibri" w:hAnsi="Calibri" w:eastAsiaTheme="minorEastAsia"/>
      <w:lang w:val="en-US"/>
    </w:rPr>
  </w:style>
  <w:style w:type="character" w:styleId="ESMARegularuse" w:customStyle="1">
    <w:name w:val="ESMA Regular use"/>
    <w:basedOn w:val="Policepardfaut"/>
    <w:uiPriority w:val="1"/>
    <w:qFormat/>
    <w:rsid w:val="005418F4"/>
    <w:rPr>
      <w:b w:val="0"/>
      <w:bCs/>
      <w:caps/>
      <w:smallCaps w:val="0"/>
      <w:color w:val="1F497D" w:themeColor="text2"/>
      <w:sz w:val="22"/>
    </w:rPr>
  </w:style>
  <w:style w:type="paragraph" w:styleId="HeaderFoot" w:customStyle="1">
    <w:name w:val="HeaderFoot"/>
    <w:basedOn w:val="Normal"/>
    <w:link w:val="HeaderFootChar"/>
    <w:qFormat/>
    <w:rsid w:val="005418F4"/>
    <w:pPr>
      <w:spacing w:after="0"/>
      <w:jc w:val="right"/>
    </w:pPr>
    <w:rPr>
      <w:rFonts w:ascii="Arial" w:hAnsi="Arial" w:cs="Arial" w:eastAsiaTheme="minorEastAsia"/>
      <w:color w:val="001B4F"/>
      <w:sz w:val="16"/>
      <w:szCs w:val="16"/>
    </w:rPr>
  </w:style>
  <w:style w:type="character" w:styleId="HeaderFootChar" w:customStyle="1">
    <w:name w:val="HeaderFoot Char"/>
    <w:basedOn w:val="Policepardfaut"/>
    <w:link w:val="HeaderFoot"/>
    <w:rsid w:val="005418F4"/>
    <w:rPr>
      <w:rFonts w:ascii="Arial" w:hAnsi="Arial" w:cs="Arial" w:eastAsiaTheme="minorEastAsia"/>
      <w:color w:val="001B4F"/>
      <w:sz w:val="16"/>
      <w:szCs w:val="16"/>
    </w:rPr>
  </w:style>
  <w:style w:type="character" w:styleId="Mentionnonrsolue">
    <w:name w:val="Unresolved Mention"/>
    <w:basedOn w:val="Policepardfaut"/>
    <w:uiPriority w:val="99"/>
    <w:semiHidden/>
    <w:unhideWhenUsed/>
    <w:rsid w:val="00905E44"/>
    <w:rPr>
      <w:color w:val="605E5C"/>
      <w:shd w:val="clear" w:color="auto" w:fill="E1DFDD"/>
    </w:rPr>
  </w:style>
  <w:style w:type="paragraph" w:styleId="Questionstyle" w:customStyle="1">
    <w:name w:val="Question style"/>
    <w:basedOn w:val="Normal"/>
    <w:next w:val="Normal"/>
    <w:link w:val="QuestionstyleChar"/>
    <w:autoRedefine/>
    <w:qFormat/>
    <w:rsid w:val="00AE48EE"/>
    <w:pPr>
      <w:spacing w:after="250"/>
      <w:contextualSpacing/>
      <w:jc w:val="both"/>
    </w:pPr>
    <w:rPr>
      <w:rFonts w:ascii="Arial" w:hAnsi="Arial" w:cs="Arial" w:eastAsiaTheme="minorEastAsia"/>
      <w:b/>
      <w:lang w:val="en-US"/>
    </w:rPr>
  </w:style>
  <w:style w:type="character" w:styleId="QuestionstyleChar" w:customStyle="1">
    <w:name w:val="Question style Char"/>
    <w:basedOn w:val="Policepardfaut"/>
    <w:link w:val="Questionstyle"/>
    <w:rsid w:val="00AE48EE"/>
    <w:rPr>
      <w:rFonts w:ascii="Arial" w:hAnsi="Arial" w:cs="Arial" w:eastAsiaTheme="minorEastAsia"/>
      <w:b/>
      <w:lang w:val="en-US"/>
    </w:rPr>
  </w:style>
  <w:style w:type="paragraph" w:styleId="02Date" w:customStyle="1">
    <w:name w:val="02_Date"/>
    <w:basedOn w:val="Normal"/>
    <w:rsid w:val="004B03A3"/>
    <w:pPr>
      <w:spacing w:after="0" w:line="220" w:lineRule="exact"/>
    </w:pPr>
    <w:rPr>
      <w:rFonts w:ascii="Arial" w:hAnsi="Arial" w:eastAsia="Times New Roman" w:cs="Times New Roman"/>
      <w:sz w:val="17"/>
      <w:szCs w:val="24"/>
      <w:lang w:eastAsia="de-DE"/>
    </w:rPr>
  </w:style>
  <w:style w:type="character" w:styleId="normaltextrun" w:customStyle="1">
    <w:name w:val="normaltextrun"/>
    <w:basedOn w:val="Policepardfaut"/>
    <w:rsid w:val="008336A3"/>
  </w:style>
  <w:style w:type="character" w:styleId="eop" w:customStyle="1">
    <w:name w:val="eop"/>
    <w:basedOn w:val="Policepardfaut"/>
    <w:rsid w:val="00833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167">
      <w:bodyDiv w:val="1"/>
      <w:marLeft w:val="0"/>
      <w:marRight w:val="0"/>
      <w:marTop w:val="0"/>
      <w:marBottom w:val="0"/>
      <w:divBdr>
        <w:top w:val="none" w:sz="0" w:space="0" w:color="auto"/>
        <w:left w:val="none" w:sz="0" w:space="0" w:color="auto"/>
        <w:bottom w:val="none" w:sz="0" w:space="0" w:color="auto"/>
        <w:right w:val="none" w:sz="0" w:space="0" w:color="auto"/>
      </w:divBdr>
    </w:div>
    <w:div w:id="94332759">
      <w:bodyDiv w:val="1"/>
      <w:marLeft w:val="0"/>
      <w:marRight w:val="0"/>
      <w:marTop w:val="0"/>
      <w:marBottom w:val="0"/>
      <w:divBdr>
        <w:top w:val="none" w:sz="0" w:space="0" w:color="auto"/>
        <w:left w:val="none" w:sz="0" w:space="0" w:color="auto"/>
        <w:bottom w:val="none" w:sz="0" w:space="0" w:color="auto"/>
        <w:right w:val="none" w:sz="0" w:space="0" w:color="auto"/>
      </w:divBdr>
    </w:div>
    <w:div w:id="175704071">
      <w:bodyDiv w:val="1"/>
      <w:marLeft w:val="0"/>
      <w:marRight w:val="0"/>
      <w:marTop w:val="0"/>
      <w:marBottom w:val="0"/>
      <w:divBdr>
        <w:top w:val="none" w:sz="0" w:space="0" w:color="auto"/>
        <w:left w:val="none" w:sz="0" w:space="0" w:color="auto"/>
        <w:bottom w:val="none" w:sz="0" w:space="0" w:color="auto"/>
        <w:right w:val="none" w:sz="0" w:space="0" w:color="auto"/>
      </w:divBdr>
    </w:div>
    <w:div w:id="194777168">
      <w:bodyDiv w:val="1"/>
      <w:marLeft w:val="0"/>
      <w:marRight w:val="0"/>
      <w:marTop w:val="0"/>
      <w:marBottom w:val="0"/>
      <w:divBdr>
        <w:top w:val="none" w:sz="0" w:space="0" w:color="auto"/>
        <w:left w:val="none" w:sz="0" w:space="0" w:color="auto"/>
        <w:bottom w:val="none" w:sz="0" w:space="0" w:color="auto"/>
        <w:right w:val="none" w:sz="0" w:space="0" w:color="auto"/>
      </w:divBdr>
    </w:div>
    <w:div w:id="291864465">
      <w:bodyDiv w:val="1"/>
      <w:marLeft w:val="0"/>
      <w:marRight w:val="0"/>
      <w:marTop w:val="0"/>
      <w:marBottom w:val="0"/>
      <w:divBdr>
        <w:top w:val="none" w:sz="0" w:space="0" w:color="auto"/>
        <w:left w:val="none" w:sz="0" w:space="0" w:color="auto"/>
        <w:bottom w:val="none" w:sz="0" w:space="0" w:color="auto"/>
        <w:right w:val="none" w:sz="0" w:space="0" w:color="auto"/>
      </w:divBdr>
    </w:div>
    <w:div w:id="437411890">
      <w:bodyDiv w:val="1"/>
      <w:marLeft w:val="0"/>
      <w:marRight w:val="0"/>
      <w:marTop w:val="0"/>
      <w:marBottom w:val="0"/>
      <w:divBdr>
        <w:top w:val="none" w:sz="0" w:space="0" w:color="auto"/>
        <w:left w:val="none" w:sz="0" w:space="0" w:color="auto"/>
        <w:bottom w:val="none" w:sz="0" w:space="0" w:color="auto"/>
        <w:right w:val="none" w:sz="0" w:space="0" w:color="auto"/>
      </w:divBdr>
    </w:div>
    <w:div w:id="552273038">
      <w:bodyDiv w:val="1"/>
      <w:marLeft w:val="0"/>
      <w:marRight w:val="0"/>
      <w:marTop w:val="0"/>
      <w:marBottom w:val="0"/>
      <w:divBdr>
        <w:top w:val="none" w:sz="0" w:space="0" w:color="auto"/>
        <w:left w:val="none" w:sz="0" w:space="0" w:color="auto"/>
        <w:bottom w:val="none" w:sz="0" w:space="0" w:color="auto"/>
        <w:right w:val="none" w:sz="0" w:space="0" w:color="auto"/>
      </w:divBdr>
    </w:div>
    <w:div w:id="579297373">
      <w:bodyDiv w:val="1"/>
      <w:marLeft w:val="0"/>
      <w:marRight w:val="0"/>
      <w:marTop w:val="0"/>
      <w:marBottom w:val="0"/>
      <w:divBdr>
        <w:top w:val="none" w:sz="0" w:space="0" w:color="auto"/>
        <w:left w:val="none" w:sz="0" w:space="0" w:color="auto"/>
        <w:bottom w:val="none" w:sz="0" w:space="0" w:color="auto"/>
        <w:right w:val="none" w:sz="0" w:space="0" w:color="auto"/>
      </w:divBdr>
    </w:div>
    <w:div w:id="605892621">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814106497">
      <w:bodyDiv w:val="1"/>
      <w:marLeft w:val="0"/>
      <w:marRight w:val="0"/>
      <w:marTop w:val="0"/>
      <w:marBottom w:val="0"/>
      <w:divBdr>
        <w:top w:val="none" w:sz="0" w:space="0" w:color="auto"/>
        <w:left w:val="none" w:sz="0" w:space="0" w:color="auto"/>
        <w:bottom w:val="none" w:sz="0" w:space="0" w:color="auto"/>
        <w:right w:val="none" w:sz="0" w:space="0" w:color="auto"/>
      </w:divBdr>
    </w:div>
    <w:div w:id="862212544">
      <w:bodyDiv w:val="1"/>
      <w:marLeft w:val="0"/>
      <w:marRight w:val="0"/>
      <w:marTop w:val="0"/>
      <w:marBottom w:val="0"/>
      <w:divBdr>
        <w:top w:val="none" w:sz="0" w:space="0" w:color="auto"/>
        <w:left w:val="none" w:sz="0" w:space="0" w:color="auto"/>
        <w:bottom w:val="none" w:sz="0" w:space="0" w:color="auto"/>
        <w:right w:val="none" w:sz="0" w:space="0" w:color="auto"/>
      </w:divBdr>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211188900">
          <w:marLeft w:val="0"/>
          <w:marRight w:val="0"/>
          <w:marTop w:val="0"/>
          <w:marBottom w:val="0"/>
          <w:divBdr>
            <w:top w:val="none" w:sz="0" w:space="0" w:color="auto"/>
            <w:left w:val="none" w:sz="0" w:space="0" w:color="auto"/>
            <w:bottom w:val="none" w:sz="0" w:space="0" w:color="auto"/>
            <w:right w:val="none" w:sz="0" w:space="0" w:color="auto"/>
          </w:divBdr>
        </w:div>
      </w:divsChild>
    </w:div>
    <w:div w:id="1008556457">
      <w:bodyDiv w:val="1"/>
      <w:marLeft w:val="0"/>
      <w:marRight w:val="0"/>
      <w:marTop w:val="0"/>
      <w:marBottom w:val="0"/>
      <w:divBdr>
        <w:top w:val="none" w:sz="0" w:space="0" w:color="auto"/>
        <w:left w:val="none" w:sz="0" w:space="0" w:color="auto"/>
        <w:bottom w:val="none" w:sz="0" w:space="0" w:color="auto"/>
        <w:right w:val="none" w:sz="0" w:space="0" w:color="auto"/>
      </w:divBdr>
    </w:div>
    <w:div w:id="1018387702">
      <w:bodyDiv w:val="1"/>
      <w:marLeft w:val="0"/>
      <w:marRight w:val="0"/>
      <w:marTop w:val="0"/>
      <w:marBottom w:val="0"/>
      <w:divBdr>
        <w:top w:val="none" w:sz="0" w:space="0" w:color="auto"/>
        <w:left w:val="none" w:sz="0" w:space="0" w:color="auto"/>
        <w:bottom w:val="none" w:sz="0" w:space="0" w:color="auto"/>
        <w:right w:val="none" w:sz="0" w:space="0" w:color="auto"/>
      </w:divBdr>
    </w:div>
    <w:div w:id="1025210527">
      <w:bodyDiv w:val="1"/>
      <w:marLeft w:val="0"/>
      <w:marRight w:val="0"/>
      <w:marTop w:val="0"/>
      <w:marBottom w:val="0"/>
      <w:divBdr>
        <w:top w:val="none" w:sz="0" w:space="0" w:color="auto"/>
        <w:left w:val="none" w:sz="0" w:space="0" w:color="auto"/>
        <w:bottom w:val="none" w:sz="0" w:space="0" w:color="auto"/>
        <w:right w:val="none" w:sz="0" w:space="0" w:color="auto"/>
      </w:divBdr>
    </w:div>
    <w:div w:id="1038047364">
      <w:bodyDiv w:val="1"/>
      <w:marLeft w:val="0"/>
      <w:marRight w:val="0"/>
      <w:marTop w:val="0"/>
      <w:marBottom w:val="0"/>
      <w:divBdr>
        <w:top w:val="none" w:sz="0" w:space="0" w:color="auto"/>
        <w:left w:val="none" w:sz="0" w:space="0" w:color="auto"/>
        <w:bottom w:val="none" w:sz="0" w:space="0" w:color="auto"/>
        <w:right w:val="none" w:sz="0" w:space="0" w:color="auto"/>
      </w:divBdr>
    </w:div>
    <w:div w:id="1294020462">
      <w:bodyDiv w:val="1"/>
      <w:marLeft w:val="0"/>
      <w:marRight w:val="0"/>
      <w:marTop w:val="0"/>
      <w:marBottom w:val="0"/>
      <w:divBdr>
        <w:top w:val="none" w:sz="0" w:space="0" w:color="auto"/>
        <w:left w:val="none" w:sz="0" w:space="0" w:color="auto"/>
        <w:bottom w:val="none" w:sz="0" w:space="0" w:color="auto"/>
        <w:right w:val="none" w:sz="0" w:space="0" w:color="auto"/>
      </w:divBdr>
    </w:div>
    <w:div w:id="1306929741">
      <w:bodyDiv w:val="1"/>
      <w:marLeft w:val="0"/>
      <w:marRight w:val="0"/>
      <w:marTop w:val="0"/>
      <w:marBottom w:val="0"/>
      <w:divBdr>
        <w:top w:val="none" w:sz="0" w:space="0" w:color="auto"/>
        <w:left w:val="none" w:sz="0" w:space="0" w:color="auto"/>
        <w:bottom w:val="none" w:sz="0" w:space="0" w:color="auto"/>
        <w:right w:val="none" w:sz="0" w:space="0" w:color="auto"/>
      </w:divBdr>
    </w:div>
    <w:div w:id="1510679168">
      <w:bodyDiv w:val="1"/>
      <w:marLeft w:val="0"/>
      <w:marRight w:val="0"/>
      <w:marTop w:val="0"/>
      <w:marBottom w:val="0"/>
      <w:divBdr>
        <w:top w:val="none" w:sz="0" w:space="0" w:color="auto"/>
        <w:left w:val="none" w:sz="0" w:space="0" w:color="auto"/>
        <w:bottom w:val="none" w:sz="0" w:space="0" w:color="auto"/>
        <w:right w:val="none" w:sz="0" w:space="0" w:color="auto"/>
      </w:divBdr>
    </w:div>
    <w:div w:id="1724211839">
      <w:bodyDiv w:val="1"/>
      <w:marLeft w:val="0"/>
      <w:marRight w:val="0"/>
      <w:marTop w:val="0"/>
      <w:marBottom w:val="0"/>
      <w:divBdr>
        <w:top w:val="none" w:sz="0" w:space="0" w:color="auto"/>
        <w:left w:val="none" w:sz="0" w:space="0" w:color="auto"/>
        <w:bottom w:val="none" w:sz="0" w:space="0" w:color="auto"/>
        <w:right w:val="none" w:sz="0" w:space="0" w:color="auto"/>
      </w:divBdr>
    </w:div>
    <w:div w:id="1797597476">
      <w:bodyDiv w:val="1"/>
      <w:marLeft w:val="0"/>
      <w:marRight w:val="0"/>
      <w:marTop w:val="0"/>
      <w:marBottom w:val="0"/>
      <w:divBdr>
        <w:top w:val="none" w:sz="0" w:space="0" w:color="auto"/>
        <w:left w:val="none" w:sz="0" w:space="0" w:color="auto"/>
        <w:bottom w:val="none" w:sz="0" w:space="0" w:color="auto"/>
        <w:right w:val="none" w:sz="0" w:space="0" w:color="auto"/>
      </w:divBdr>
    </w:div>
    <w:div w:id="1821728171">
      <w:bodyDiv w:val="1"/>
      <w:marLeft w:val="0"/>
      <w:marRight w:val="0"/>
      <w:marTop w:val="0"/>
      <w:marBottom w:val="0"/>
      <w:divBdr>
        <w:top w:val="none" w:sz="0" w:space="0" w:color="auto"/>
        <w:left w:val="none" w:sz="0" w:space="0" w:color="auto"/>
        <w:bottom w:val="none" w:sz="0" w:space="0" w:color="auto"/>
        <w:right w:val="none" w:sz="0" w:space="0" w:color="auto"/>
      </w:divBdr>
    </w:div>
    <w:div w:id="1923486592">
      <w:bodyDiv w:val="1"/>
      <w:marLeft w:val="0"/>
      <w:marRight w:val="0"/>
      <w:marTop w:val="0"/>
      <w:marBottom w:val="0"/>
      <w:divBdr>
        <w:top w:val="none" w:sz="0" w:space="0" w:color="auto"/>
        <w:left w:val="none" w:sz="0" w:space="0" w:color="auto"/>
        <w:bottom w:val="none" w:sz="0" w:space="0" w:color="auto"/>
        <w:right w:val="none" w:sz="0" w:space="0" w:color="auto"/>
      </w:divBdr>
    </w:div>
    <w:div w:id="1945652088">
      <w:bodyDiv w:val="1"/>
      <w:marLeft w:val="0"/>
      <w:marRight w:val="0"/>
      <w:marTop w:val="0"/>
      <w:marBottom w:val="0"/>
      <w:divBdr>
        <w:top w:val="none" w:sz="0" w:space="0" w:color="auto"/>
        <w:left w:val="none" w:sz="0" w:space="0" w:color="auto"/>
        <w:bottom w:val="none" w:sz="0" w:space="0" w:color="auto"/>
        <w:right w:val="none" w:sz="0" w:space="0" w:color="auto"/>
      </w:divBdr>
    </w:div>
    <w:div w:id="1984768787">
      <w:bodyDiv w:val="1"/>
      <w:marLeft w:val="0"/>
      <w:marRight w:val="0"/>
      <w:marTop w:val="0"/>
      <w:marBottom w:val="0"/>
      <w:divBdr>
        <w:top w:val="none" w:sz="0" w:space="0" w:color="auto"/>
        <w:left w:val="none" w:sz="0" w:space="0" w:color="auto"/>
        <w:bottom w:val="none" w:sz="0" w:space="0" w:color="auto"/>
        <w:right w:val="none" w:sz="0" w:space="0" w:color="auto"/>
      </w:divBdr>
    </w:div>
    <w:div w:id="2046903922">
      <w:bodyDiv w:val="1"/>
      <w:marLeft w:val="0"/>
      <w:marRight w:val="0"/>
      <w:marTop w:val="0"/>
      <w:marBottom w:val="0"/>
      <w:divBdr>
        <w:top w:val="none" w:sz="0" w:space="0" w:color="auto"/>
        <w:left w:val="none" w:sz="0" w:space="0" w:color="auto"/>
        <w:bottom w:val="none" w:sz="0" w:space="0" w:color="auto"/>
        <w:right w:val="none" w:sz="0" w:space="0" w:color="auto"/>
      </w:divBdr>
    </w:div>
    <w:div w:id="2117551736">
      <w:bodyDiv w:val="1"/>
      <w:marLeft w:val="0"/>
      <w:marRight w:val="0"/>
      <w:marTop w:val="0"/>
      <w:marBottom w:val="0"/>
      <w:divBdr>
        <w:top w:val="none" w:sz="0" w:space="0" w:color="auto"/>
        <w:left w:val="none" w:sz="0" w:space="0" w:color="auto"/>
        <w:bottom w:val="none" w:sz="0" w:space="0" w:color="auto"/>
        <w:right w:val="none" w:sz="0" w:space="0" w:color="auto"/>
      </w:divBdr>
    </w:div>
    <w:div w:id="21214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eiopa.europa.eu/Pages/Links/Legal-notice.aspx" TargetMode="External" Id="rId13"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hyperlink" Target="https://wwfint.awsassets.panda.org/downloads/wwf_gfri_roadmap_2022_nov_2022.pdf" TargetMode="External" Id="rId21"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hyperlink" Target="http://www.eba.europa.eu/legal-notice" TargetMode="External" Id="rId12" /><Relationship Type="http://schemas.microsoft.com/office/2016/09/relationships/commentsIds" Target="commentsIds.xml" Id="rId17" /><Relationship Type="http://schemas.openxmlformats.org/officeDocument/2006/relationships/hyperlink" Target="https://www.un.org/sites/un2.un.org/files/high-levelexpertgroupupdate7.pdf" TargetMode="External" Id="rId25" /><Relationship Type="http://schemas.microsoft.com/office/2011/relationships/people" Target="people.xml" Id="rId33" /><Relationship Type="http://schemas.openxmlformats.org/officeDocument/2006/relationships/customXml" Target="../customXml/item2.xml" Id="rId2" /><Relationship Type="http://schemas.microsoft.com/office/2011/relationships/commentsExtended" Target="commentsExtended.xml" Id="rId16" /><Relationship Type="http://schemas.openxmlformats.org/officeDocument/2006/relationships/hyperlink" Target="https://wwfint.awsassets.panda.org/downloads/wwf_gfri_roadmap_2022_nov_2022.pdf" TargetMode="External" Id="rId20" /><Relationship Type="http://schemas.openxmlformats.org/officeDocument/2006/relationships/footer" Target="footer2.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esma.europa.eu" TargetMode="External" Id="rId11" /><Relationship Type="http://schemas.openxmlformats.org/officeDocument/2006/relationships/hyperlink" Target="https://www.un.org/sites/un2.un.org/files/high-levelexpertgroupupdate7.pdf" TargetMode="Externa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footer" Target="footer1.xml" Id="rId28" /><Relationship Type="http://schemas.openxmlformats.org/officeDocument/2006/relationships/endnotes" Target="endnotes.xml" Id="rId10" /><Relationship Type="http://schemas.openxmlformats.org/officeDocument/2006/relationships/hyperlink" Target="https://papers.ssrn.com/sol3/papers.cfm?abstract_id=4429430" TargetMode="External" Id="rId19" /><Relationship Type="http://schemas.openxmlformats.org/officeDocument/2006/relationships/footer" Target="footer3.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esma.europa.eu/legal-notice" TargetMode="External" Id="rId14" /><Relationship Type="http://schemas.openxmlformats.org/officeDocument/2006/relationships/hyperlink" Target="https://wwfint.awsassets.panda.org/downloads/wwf_gfri_roadmap_2022_nov_2022.pdf" TargetMode="External" Id="rId22" /><Relationship Type="http://schemas.openxmlformats.org/officeDocument/2006/relationships/header" Target="header2.xml" Id="rId27" /><Relationship Type="http://schemas.openxmlformats.org/officeDocument/2006/relationships/header" Target="header3.xml" Id="rId30" /><Relationship Type="http://schemas.openxmlformats.org/officeDocument/2006/relationships/webSettings" Target="webSettings.xml" Id="rId8" /><Relationship Type="http://schemas.openxmlformats.org/officeDocument/2006/relationships/hyperlink" Target="https://www.meinfairmoegen.de/fileadmin/user_upload/Documents/MFM_technical_documentation.pdf" TargetMode="External" Id="Rccfd1c61aa264e68" /><Relationship Type="http://schemas.openxmlformats.org/officeDocument/2006/relationships/glossaryDocument" Target="glossary/document.xml" Id="R1609d5a9fd5f4a61" /></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pierri\Desktop\dot\JC%20ESAs%20letter%202023.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ce18abd-03d9-4a73-a76e-974aa88247e2}"/>
      </w:docPartPr>
      <w:docPartBody>
        <w:p w14:paraId="33740A2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4AE9E35B9B3604C80F0327125FEADCA" ma:contentTypeVersion="16" ma:contentTypeDescription="Crée un document." ma:contentTypeScope="" ma:versionID="19c418d6385837def53a0e1fa12be993">
  <xsd:schema xmlns:xsd="http://www.w3.org/2001/XMLSchema" xmlns:xs="http://www.w3.org/2001/XMLSchema" xmlns:p="http://schemas.microsoft.com/office/2006/metadata/properties" xmlns:ns2="85ff2025-82e4-4067-9b2c-f8307767e668" xmlns:ns3="0f8c5e32-46b2-4598-878c-251d00796374" targetNamespace="http://schemas.microsoft.com/office/2006/metadata/properties" ma:root="true" ma:fieldsID="6efb988eb838414f82fd48fb1eadb238" ns2:_="" ns3:_="">
    <xsd:import namespace="85ff2025-82e4-4067-9b2c-f8307767e668"/>
    <xsd:import namespace="0f8c5e32-46b2-4598-878c-251d007963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f2025-82e4-4067-9b2c-f8307767e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4882f7d-926e-4414-a4a8-71b0f346ec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8c5e32-46b2-4598-878c-251d00796374"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94fd0dc9-d9dd-4e6b-bc96-9ef7a9bfaa25}" ma:internalName="TaxCatchAll" ma:showField="CatchAllData" ma:web="0f8c5e32-46b2-4598-878c-251d007963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f8c5e32-46b2-4598-878c-251d00796374" xsi:nil="true"/>
    <lcf76f155ced4ddcb4097134ff3c332f xmlns="85ff2025-82e4-4067-9b2c-f8307767e6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65D6AB-5BAF-4F8B-860B-F844D195E660}">
  <ds:schemaRefs>
    <ds:schemaRef ds:uri="http://schemas.microsoft.com/sharepoint/v3/contenttype/forms"/>
  </ds:schemaRefs>
</ds:datastoreItem>
</file>

<file path=customXml/itemProps2.xml><?xml version="1.0" encoding="utf-8"?>
<ds:datastoreItem xmlns:ds="http://schemas.openxmlformats.org/officeDocument/2006/customXml" ds:itemID="{DD1DB528-99DC-4117-9E3A-B74E80433B68}">
  <ds:schemaRefs>
    <ds:schemaRef ds:uri="http://schemas.openxmlformats.org/officeDocument/2006/bibliography"/>
  </ds:schemaRefs>
</ds:datastoreItem>
</file>

<file path=customXml/itemProps3.xml><?xml version="1.0" encoding="utf-8"?>
<ds:datastoreItem xmlns:ds="http://schemas.openxmlformats.org/officeDocument/2006/customXml" ds:itemID="{F99F37D1-F7E1-4562-96C2-FDD6FADF7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f2025-82e4-4067-9b2c-f8307767e668"/>
    <ds:schemaRef ds:uri="0f8c5e32-46b2-4598-878c-251d00796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8AAAF1-38A1-4F65-AD56-B9BB84E00524}">
  <ds:schemaRefs>
    <ds:schemaRef ds:uri="http://schemas.microsoft.com/office/2006/metadata/properties"/>
    <ds:schemaRef ds:uri="http://schemas.microsoft.com/office/infopath/2007/PartnerControls"/>
    <ds:schemaRef ds:uri="0f8c5e32-46b2-4598-878c-251d00796374"/>
    <ds:schemaRef ds:uri="85ff2025-82e4-4067-9b2c-f8307767e66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JC ESAs letter 2023</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Di Pierri</dc:creator>
  <cp:keywords/>
  <dc:description/>
  <cp:lastModifiedBy>Paul Schreiber</cp:lastModifiedBy>
  <cp:revision>36</cp:revision>
  <cp:lastPrinted>2022-02-14T13:26:00Z</cp:lastPrinted>
  <dcterms:created xsi:type="dcterms:W3CDTF">2023-04-06T15:24:00Z</dcterms:created>
  <dcterms:modified xsi:type="dcterms:W3CDTF">2023-06-19T16:08:08Z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0x010100B4AE9E35B9B3604C80F0327125FEADCA</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y fmtid="{D5CDD505-2E9C-101B-9397-08002B2CF9AE}" pid="32" name="MediaServiceImageTags">
    <vt:lpwstr/>
  </property>
</Properties>
</file>