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and </w:t>
      </w:r>
      <w:proofErr w:type="gramStart"/>
      <w:r w:rsidRPr="005418F4">
        <w:rPr>
          <w:rFonts w:ascii="Arial" w:eastAsiaTheme="minorEastAsia" w:hAnsi="Arial" w:cs="Arial"/>
          <w:color w:val="1A1A1A" w:themeColor="background1" w:themeShade="1A"/>
          <w:szCs w:val="20"/>
        </w:rPr>
        <w:t>in particular on</w:t>
      </w:r>
      <w:proofErr w:type="gramEnd"/>
      <w:r w:rsidRPr="005418F4">
        <w:rPr>
          <w:rFonts w:ascii="Arial" w:eastAsiaTheme="minorEastAsia" w:hAnsi="Arial" w:cs="Arial"/>
          <w:color w:val="1A1A1A" w:themeColor="background1" w:themeShade="1A"/>
          <w:szCs w:val="20"/>
        </w:rPr>
        <w:t xml:space="preserve">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proofErr w:type="gramStart"/>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w:t>
      </w:r>
      <w:proofErr w:type="gramEnd"/>
      <w:r w:rsidRPr="005418F4">
        <w:rPr>
          <w:rFonts w:ascii="Arial" w:eastAsiaTheme="minorEastAsia" w:hAnsi="Arial" w:cs="Arial"/>
          <w:b/>
          <w:color w:val="1A1A1A" w:themeColor="background1" w:themeShade="1A"/>
          <w:szCs w:val="20"/>
        </w:rPr>
        <w:t xml:space="preserve">.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proofErr w:type="gramStart"/>
      <w:r w:rsidRPr="005418F4">
        <w:rPr>
          <w:rFonts w:ascii="Arial" w:eastAsiaTheme="minorEastAsia" w:hAnsi="Arial" w:cs="Arial"/>
          <w:color w:val="1A1A1A" w:themeColor="background1" w:themeShade="1A"/>
          <w:szCs w:val="20"/>
        </w:rPr>
        <w:t>In order to</w:t>
      </w:r>
      <w:proofErr w:type="gramEnd"/>
      <w:r w:rsidRPr="005418F4">
        <w:rPr>
          <w:rFonts w:ascii="Arial" w:eastAsiaTheme="minorEastAsia" w:hAnsi="Arial" w:cs="Arial"/>
          <w:color w:val="1A1A1A" w:themeColor="background1" w:themeShade="1A"/>
          <w:szCs w:val="20"/>
        </w:rPr>
        <w:t xml:space="preserve">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 xml:space="preserve">_1&gt;. Your response to each question </w:t>
      </w:r>
      <w:proofErr w:type="gramStart"/>
      <w:r w:rsidRPr="005418F4">
        <w:rPr>
          <w:rFonts w:ascii="Arial" w:eastAsiaTheme="minorEastAsia" w:hAnsi="Arial" w:cs="Arial"/>
          <w:color w:val="1A1A1A" w:themeColor="background1" w:themeShade="1A"/>
          <w:szCs w:val="20"/>
        </w:rPr>
        <w:t>has to</w:t>
      </w:r>
      <w:proofErr w:type="gramEnd"/>
      <w:r w:rsidRPr="005418F4">
        <w:rPr>
          <w:rFonts w:ascii="Arial" w:eastAsiaTheme="minorEastAsia" w:hAnsi="Arial" w:cs="Arial"/>
          <w:color w:val="1A1A1A" w:themeColor="background1" w:themeShade="1A"/>
          <w:szCs w:val="20"/>
        </w:rPr>
        <w:t xml:space="preserve">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 xml:space="preserve">The protection of individuals </w:t>
      </w:r>
      <w:proofErr w:type="gramStart"/>
      <w:r w:rsidRPr="00905E44">
        <w:rPr>
          <w:rFonts w:ascii="Arial" w:eastAsiaTheme="minorEastAsia" w:hAnsi="Arial" w:cs="Arial"/>
          <w:color w:val="1A1A1A" w:themeColor="background1" w:themeShade="1A"/>
          <w:lang w:eastAsia="en-GB"/>
        </w:rPr>
        <w:t>with regard to</w:t>
      </w:r>
      <w:proofErr w:type="gramEnd"/>
      <w:r w:rsidRPr="00905E44">
        <w:rPr>
          <w:rFonts w:ascii="Arial" w:eastAsiaTheme="minorEastAsia" w:hAnsi="Arial" w:cs="Arial"/>
          <w:color w:val="1A1A1A" w:themeColor="background1" w:themeShade="1A"/>
          <w:lang w:eastAsia="en-GB"/>
        </w:rPr>
        <w:t xml:space="preserve">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Content>
            <w:tc>
              <w:tcPr>
                <w:tcW w:w="5595" w:type="dxa"/>
                <w:shd w:val="clear" w:color="auto" w:fill="auto"/>
                <w:vAlign w:val="center"/>
              </w:tcPr>
              <w:p w14:paraId="2D662032" w14:textId="22C63285" w:rsidR="005418F4" w:rsidRPr="005418F4" w:rsidRDefault="00516962" w:rsidP="005418F4">
                <w:pPr>
                  <w:spacing w:after="250"/>
                  <w:rPr>
                    <w:rFonts w:ascii="Arial" w:eastAsiaTheme="minorEastAsia" w:hAnsi="Arial" w:cs="Arial"/>
                    <w:color w:val="808080"/>
                    <w:szCs w:val="20"/>
                  </w:rPr>
                </w:pPr>
                <w:r>
                  <w:rPr>
                    <w:rFonts w:ascii="Arial" w:eastAsiaTheme="minorEastAsia" w:hAnsi="Arial" w:cs="Arial"/>
                    <w:color w:val="808080"/>
                    <w:szCs w:val="20"/>
                  </w:rPr>
                  <w:t>ESG Book</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789009F0"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516962">
                  <w:rPr>
                    <w:rFonts w:ascii="Arial" w:eastAsiaTheme="minorEastAsia" w:hAnsi="Arial" w:cs="Arial"/>
                    <w:color w:val="1A1A1A" w:themeColor="background1" w:themeShade="1A"/>
                    <w:szCs w:val="20"/>
                  </w:rPr>
                  <w:t>Data, Technology and Analytics Provider</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01E66FFD" w:rsidR="005418F4" w:rsidRPr="005418F4" w:rsidRDefault="00516962"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Germany, UK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16867BD4" w14:textId="77777777" w:rsidR="00516962" w:rsidRDefault="00516962" w:rsidP="009C41BB">
      <w:permStart w:id="1348034591" w:edGrp="everyone"/>
      <w:r>
        <w:t xml:space="preserve">Regarding the new proposed PAI on amount of accumulated earnings, our analysis suggests that entities do not report that level of granularity of information. We suggest </w:t>
      </w:r>
      <w:proofErr w:type="spellStart"/>
      <w:r>
        <w:t>adjusing</w:t>
      </w:r>
      <w:proofErr w:type="spellEnd"/>
      <w:r>
        <w:t xml:space="preserve"> this </w:t>
      </w:r>
      <w:proofErr w:type="spellStart"/>
      <w:r>
        <w:t>indocator</w:t>
      </w:r>
      <w:proofErr w:type="spellEnd"/>
      <w:r>
        <w:t xml:space="preserve"> to flag the presence of country-specific tax disclosures, as well as the presence of a tax evasion policy or the existence of tax-related lawsuits the company has been subject to during the reporting period. </w:t>
      </w:r>
    </w:p>
    <w:p w14:paraId="21FDB2F3" w14:textId="77777777" w:rsidR="00516962" w:rsidRDefault="00516962" w:rsidP="009C41BB">
      <w:r>
        <w:t xml:space="preserve">The inclusion of a metric related to the cultivation and production of tobacco is </w:t>
      </w:r>
      <w:proofErr w:type="gramStart"/>
      <w:r>
        <w:t>welcome, since</w:t>
      </w:r>
      <w:proofErr w:type="gramEnd"/>
      <w:r>
        <w:t xml:space="preserve"> many investors already use tobacco product involvement screens in their sustainable investment strategies. For this and other product/business involvement metrics it would be helpful to provide an acceptable threshold level beyond which companies need to be flagged. </w:t>
      </w:r>
    </w:p>
    <w:p w14:paraId="4A55641A" w14:textId="1285AA62" w:rsidR="009C41BB" w:rsidRDefault="00516962" w:rsidP="009C41BB">
      <w:r>
        <w:t xml:space="preserve">The metrics related to trade union interference and minimum wage are welcome, as they underscore the importance of integrating a holistic social dimension into PAI screening.  </w:t>
      </w:r>
    </w:p>
    <w:permEnd w:id="1348034591"/>
    <w:p w14:paraId="48EE2711" w14:textId="77777777" w:rsidR="009C41BB" w:rsidRDefault="009C41BB" w:rsidP="009C41BB">
      <w:r>
        <w:t>&lt;ESMA_QUESTION_SFDR_1&gt;</w:t>
      </w:r>
    </w:p>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03C87182" w14:textId="77777777" w:rsidR="000A60B4" w:rsidRDefault="000A60B4" w:rsidP="009C41BB">
      <w:permStart w:id="1140268191" w:edGrp="everyone"/>
      <w:r>
        <w:lastRenderedPageBreak/>
        <w:t>Yes, the mandatory indicator on Exposure to Controversial Weapons currently has a definition that makes no express mention of nuclear weapons: “</w:t>
      </w:r>
      <w:r w:rsidRPr="000A60B4">
        <w:t xml:space="preserve">‘controversial weapons’ means anti-personnel mines, cluster munitions, chemical </w:t>
      </w:r>
      <w:proofErr w:type="gramStart"/>
      <w:r w:rsidRPr="000A60B4">
        <w:t>weapons</w:t>
      </w:r>
      <w:proofErr w:type="gramEnd"/>
      <w:r w:rsidRPr="000A60B4">
        <w:t xml:space="preserve"> </w:t>
      </w:r>
      <w:r w:rsidRPr="000A60B4">
        <w:rPr>
          <w:b/>
          <w:bCs/>
        </w:rPr>
        <w:t>and</w:t>
      </w:r>
      <w:r w:rsidRPr="000A60B4">
        <w:t xml:space="preserve"> biological weapons</w:t>
      </w:r>
      <w:r>
        <w:t xml:space="preserve">” [exhaustive list]. This is a gross </w:t>
      </w:r>
      <w:proofErr w:type="gramStart"/>
      <w:r>
        <w:t>omission</w:t>
      </w:r>
      <w:proofErr w:type="gramEnd"/>
      <w:r>
        <w:t xml:space="preserve"> and it should be remedied in the next iteration of the SFDR RTS because in our experience this has resulted in investor confusion as to whether nuclear weapons are considered controversial, which is clearly unacceptable. We don’t need to go into the destructive potential of nuclear weaponry to make a point here.</w:t>
      </w:r>
    </w:p>
    <w:permEnd w:id="1140268191"/>
    <w:p w14:paraId="5C5DB35A" w14:textId="3BB72826" w:rsidR="009C41BB" w:rsidRDefault="009C41BB" w:rsidP="009C41BB">
      <w:r>
        <w:t>&lt;ESMA_QUESTION_SFDR_2&gt;</w:t>
      </w:r>
    </w:p>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3A077C56" w:rsidR="009C41BB" w:rsidRDefault="000A60B4" w:rsidP="009C41BB">
      <w:permStart w:id="1930569352" w:edGrp="everyone"/>
      <w:r>
        <w:t xml:space="preserve">After carrying out a data analysis of the new proposed opt-in indicators, we have identified the lack of reported data on the metrics </w:t>
      </w:r>
      <w:proofErr w:type="gramStart"/>
      <w:r>
        <w:t>of:</w:t>
      </w:r>
      <w:proofErr w:type="gramEnd"/>
      <w:r>
        <w:t xml:space="preserve"> excessive use of non-guaranteed-hour employees in investee companies, excessive use of temporary contract employees in investee companies, excessive use of non-employee workers in investee companies. We therefore suggest the removal or adjustment of these metrics from the RTS. </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02C5FDBE" w:rsidR="009C41BB" w:rsidRDefault="000A60B4" w:rsidP="009C41BB">
      <w:permStart w:id="2056993415" w:edGrp="everyone"/>
      <w:r>
        <w:t xml:space="preserve">We recommend that authorities be much more precise in the definition of social indicators and specifically regarding subjective descriptions and notions such as ‘insufficient action’, ‘inefficiencies’, ‘severe human rights issues’, etc. Having clear examples of definitions of these notions would enable comparability and limit the arbitrariness of interpretation for these metrics.  </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w:t>
      </w:r>
      <w:r>
        <w:lastRenderedPageBreak/>
        <w:t>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7F990433" w:rsidR="009C41BB" w:rsidRDefault="000A60B4" w:rsidP="009C41BB">
      <w:permStart w:id="452221127" w:edGrp="everyone"/>
      <w:r>
        <w:t xml:space="preserve">The rationale behind removing references to UNGC is not very clear, particularly </w:t>
      </w:r>
      <w:proofErr w:type="gramStart"/>
      <w:r>
        <w:t>in light of the fact that</w:t>
      </w:r>
      <w:proofErr w:type="gramEnd"/>
      <w:r>
        <w:t xml:space="preserve"> UNGC is still an initiative that has large corporate and business support. The ESAs should endeavour to explain to what extent UNGP better meets SFDR requirements. Additionally, it would be helpful to know whether these indicators require the monitoring of all UNGP. ILO principles, or only specific ones.</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xml:space="preserve">: For real estate assets, do you </w:t>
      </w:r>
      <w:proofErr w:type="gramStart"/>
      <w:r>
        <w:t>consider</w:t>
      </w:r>
      <w:proofErr w:type="gramEnd"/>
      <w:r>
        <w:t xml:space="preserve">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62FDE7D8" w:rsidR="009C41BB" w:rsidRDefault="000A60B4" w:rsidP="009C41BB">
      <w:permStart w:id="887372501" w:edGrp="everyone"/>
      <w:r>
        <w:t>N/A</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xml:space="preserve">: For real estate assets, do you see any merit in adjusting the definition of PAI indicator 22 of Table 1 </w:t>
      </w:r>
      <w:proofErr w:type="gramStart"/>
      <w:r>
        <w:t>in order to</w:t>
      </w:r>
      <w:proofErr w:type="gramEnd"/>
      <w:r>
        <w:t xml:space="preserve">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28A2FF62" w14:textId="77777777" w:rsidR="00FC04FE" w:rsidRDefault="000A60B4" w:rsidP="009C41BB">
      <w:permStart w:id="1335120249" w:edGrp="everyone"/>
      <w:r>
        <w:t>Yes, achieving inter-opera</w:t>
      </w:r>
      <w:r w:rsidR="00FC04FE">
        <w:t>bility between different EU reporting frameworks, including SFDR, Taxonomy, CSRD, CSDDD is essential to enable the smooth and efficient functioning of the single market.</w:t>
      </w:r>
    </w:p>
    <w:permEnd w:id="1335120249"/>
    <w:p w14:paraId="2EAB99B1" w14:textId="0D76FBB5"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0721AF63" w:rsidR="009C41BB" w:rsidRDefault="001E11A5" w:rsidP="009C41BB">
      <w:permStart w:id="1288714632" w:edGrp="everyone"/>
      <w:r>
        <w:lastRenderedPageBreak/>
        <w:t xml:space="preserve">There are challenges specifically in cases where companies’ enterprise value is negative, which influences the calculation of </w:t>
      </w:r>
      <w:proofErr w:type="gramStart"/>
      <w:r>
        <w:t>a number of</w:t>
      </w:r>
      <w:proofErr w:type="gramEnd"/>
      <w:r>
        <w:t xml:space="preserve"> important indicators. The ESAs should provide adequate guidance to FMPs on how to proceed in such cases. </w:t>
      </w:r>
    </w:p>
    <w:permEnd w:id="1288714632"/>
    <w:p w14:paraId="762529E9" w14:textId="77777777" w:rsidR="009C41BB" w:rsidRDefault="009C41BB" w:rsidP="009C41BB">
      <w:r>
        <w:t>&lt;ESMA_QUESTION_SFDR_8&gt;</w:t>
      </w:r>
    </w:p>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68076D53" w:rsidR="009C41BB" w:rsidRDefault="001E11A5" w:rsidP="009C41BB">
      <w:permStart w:id="2059607147" w:edGrp="everyone"/>
      <w:r>
        <w:t>N/A</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0BC57586" w14:textId="77777777" w:rsidR="001E11A5" w:rsidRDefault="001E11A5" w:rsidP="001E11A5">
      <w:permStart w:id="1591695117" w:edGrp="everyone"/>
      <w:r>
        <w:t xml:space="preserve">Yes, the calculation of some of the existing indicators such as </w:t>
      </w:r>
      <w:r w:rsidRPr="001E11A5">
        <w:t>5. Share of non-renewable energy consumption and production</w:t>
      </w:r>
      <w:r>
        <w:t xml:space="preserve"> can be challenging because they aggregate two distinct variables, which cannot necessarily be combined in a straightforward manner. We welcome the proposed clarity of splitting such indicators into their underlying components: </w:t>
      </w:r>
      <w:proofErr w:type="gramStart"/>
      <w:r>
        <w:t>e.g.</w:t>
      </w:r>
      <w:proofErr w:type="gramEnd"/>
      <w:r>
        <w:t xml:space="preserve"> </w:t>
      </w:r>
      <w:r>
        <w:t xml:space="preserve">a) Share of non -renewable energy consumption of investee companies from non -renewable energy sources compared to renewable energy sources </w:t>
      </w:r>
    </w:p>
    <w:p w14:paraId="6A059EBA" w14:textId="62556F13" w:rsidR="009C41BB" w:rsidRDefault="001E11A5" w:rsidP="001E11A5">
      <w:r>
        <w:t>b) Share of non -renewable energy production of investee companies from non -renewable energy sources compared to renewable energy sources</w:t>
      </w:r>
      <w:r>
        <w:t>.</w:t>
      </w:r>
    </w:p>
    <w:p w14:paraId="61FBE5E5" w14:textId="6DDD018C" w:rsidR="001E11A5" w:rsidRDefault="001E11A5" w:rsidP="001E11A5">
      <w:r>
        <w:t xml:space="preserve">ESAs should consider such an approach for other aggregated metrics, </w:t>
      </w:r>
      <w:proofErr w:type="gramStart"/>
      <w:r>
        <w:t>e.g.</w:t>
      </w:r>
      <w:proofErr w:type="gramEnd"/>
      <w:r>
        <w:t xml:space="preserve"> </w:t>
      </w:r>
      <w:r w:rsidRPr="001E11A5">
        <w:t>5. Breakdown of energy consumption by type of non-renewable sources of energy</w:t>
      </w:r>
      <w:r>
        <w:t>, by providing examples of energy sources according to which the metric needs to be reported.</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06543CE6" w:rsidR="009C41BB" w:rsidRDefault="001E11A5" w:rsidP="009C41BB">
      <w:permStart w:id="1653823566" w:edGrp="everyone"/>
      <w:r>
        <w:lastRenderedPageBreak/>
        <w:t xml:space="preserve">Yes, it would be in the spirit of greater transparency for FMPs to report the underlying sources on which they rely when computing the PAIs. </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5C47CB89" w:rsidR="009C41BB" w:rsidRDefault="001E11A5" w:rsidP="009C41BB">
      <w:permStart w:id="684359195" w:edGrp="everyone"/>
      <w:r>
        <w:t>FMPs should be required to report data on investments for which reliable data can be obtained. In the cases of financial instruments such as cash and derivatives, this can result in skewed overall calculations.</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6D76F19C" w:rsidR="009C41BB" w:rsidRDefault="006D0394" w:rsidP="009C41BB">
      <w:permStart w:id="1426525783" w:edGrp="everyone"/>
      <w:r>
        <w:t xml:space="preserve">Yes, requiring value chain information should ensure this obligation is proportionate and the information is </w:t>
      </w:r>
      <w:proofErr w:type="gramStart"/>
      <w:r>
        <w:t>actually collected</w:t>
      </w:r>
      <w:proofErr w:type="gramEnd"/>
      <w:r>
        <w:t xml:space="preserve"> and reported by the investee companies themselves. While more holistic disclosures are likely to become the norm in the EU with the introduction of CSDDD, ESAs should be mindful that investors often have portfolios comprised of global holdings, which are not subject to so many onerous disclosure requirements. This would naturally lead to data gaps. We strongly discourage the use of data estimation models, as this perpetuates a cycle of limited transparency. It would be advisable to report actual data gaps as a sign of missing information (hence, risk areas and blind spots), rather than encourage FMPs to fill in the blanks with unreliable estimations. </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2E57E008" w:rsidR="009C41BB" w:rsidRDefault="006D0394" w:rsidP="009C41BB">
      <w:permStart w:id="1609050593" w:edGrp="everyone"/>
      <w:r>
        <w:t>N/A</w:t>
      </w:r>
    </w:p>
    <w:permEnd w:id="1609050593"/>
    <w:p w14:paraId="5AA8268C" w14:textId="77777777" w:rsidR="009C41BB" w:rsidRDefault="009C41BB" w:rsidP="009C41BB">
      <w:r>
        <w:lastRenderedPageBreak/>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t>
      </w:r>
      <w:proofErr w:type="gramStart"/>
      <w:r>
        <w:t>with regard to</w:t>
      </w:r>
      <w:proofErr w:type="gramEnd"/>
      <w:r>
        <w:t xml:space="preserve">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2246D70" w:rsidR="009C41BB" w:rsidRDefault="00B762CC" w:rsidP="009C41BB">
      <w:permStart w:id="8979202" w:edGrp="everyone"/>
      <w:r>
        <w:t>N/A</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376C0C87" w:rsidR="009C41BB" w:rsidRDefault="00B762CC" w:rsidP="009C41BB">
      <w:permStart w:id="1228814638" w:edGrp="everyone"/>
      <w:r>
        <w:t>No</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t>: Do you agree with the ESAs’ assessment of the DNSH framework under SFDR?</w:t>
      </w:r>
    </w:p>
    <w:p w14:paraId="4F8008B2" w14:textId="77777777" w:rsidR="009C41BB" w:rsidRDefault="009C41BB" w:rsidP="009C41BB">
      <w:r>
        <w:t>&lt;ESMA_QUESTION_SFDR_17&gt;</w:t>
      </w:r>
    </w:p>
    <w:p w14:paraId="7DDA6D60" w14:textId="26EB44F0" w:rsidR="009C41BB" w:rsidRDefault="00B762CC" w:rsidP="009C41BB">
      <w:permStart w:id="791154279" w:edGrp="everyone"/>
      <w:r>
        <w:t xml:space="preserve">Ideally, DNSH criteria under SFDR and other regimes such as EU Taxonomy should be aligned </w:t>
      </w:r>
      <w:proofErr w:type="gramStart"/>
      <w:r>
        <w:t>in order to</w:t>
      </w:r>
      <w:proofErr w:type="gramEnd"/>
      <w:r>
        <w:t xml:space="preserve"> ensure maximum consistency and limit the arbitrariness of interpretation. </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705DDA8C" w:rsidR="009C41BB" w:rsidRDefault="00B762CC" w:rsidP="009C41BB">
      <w:permStart w:id="984368250" w:edGrp="everyone"/>
      <w:r>
        <w:lastRenderedPageBreak/>
        <w:t xml:space="preserve">Making PAI indicators mandatory would introduce more clarity and limit the arbitrary application of DNSH criteria developed by FMPs. This would encourage a level-playing field and enable greater comparability. </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3866E99A" w:rsidR="009C41BB" w:rsidRDefault="00B762CC" w:rsidP="009C41BB">
      <w:permStart w:id="403253184" w:edGrp="everyone"/>
      <w:r>
        <w:t xml:space="preserve">Yes, that would enable the alignment of different reporting regimes such as SFDR and EU Taxonomy. However, RTS should be mindful that these thresholds would be geographically biased since they would only apply to EU companies required to report under the EU Taxonomy. Additionally, it would be challenging to apply such a threshold when only a portion of a portfolio holding is Taxonomy aligned – how would FMPs ensure the DNSH criteria apply to the entire entity, rather than to specific activities, when PAI reporting is conducted on a holding entity level – </w:t>
      </w:r>
      <w:proofErr w:type="gramStart"/>
      <w:r>
        <w:t>e.g.</w:t>
      </w:r>
      <w:proofErr w:type="gramEnd"/>
      <w:r>
        <w:t xml:space="preserve"> “share of investee companies”? </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5D3C5001" w:rsidR="009C41BB" w:rsidRDefault="00B762CC" w:rsidP="009C41BB">
      <w:permStart w:id="10765956" w:edGrp="everyone"/>
      <w:r>
        <w:t xml:space="preserve">As stated above, greater alignment between SFDR and the EU Taxonomy is welcome. However, ESAs should </w:t>
      </w:r>
      <w:proofErr w:type="gramStart"/>
      <w:r>
        <w:t>take into account</w:t>
      </w:r>
      <w:proofErr w:type="gramEnd"/>
      <w:r>
        <w:t xml:space="preserve"> the fact that this can only be applicable to the </w:t>
      </w:r>
      <w:proofErr w:type="spellStart"/>
      <w:r>
        <w:t>Europan</w:t>
      </w:r>
      <w:proofErr w:type="spellEnd"/>
      <w:r>
        <w:t xml:space="preserve"> portion of FMP portfolios. </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215593B5" w:rsidR="009C41BB" w:rsidRDefault="00B762CC" w:rsidP="009C41BB">
      <w:permStart w:id="1098926409" w:edGrp="everyone"/>
      <w:r>
        <w:t xml:space="preserve">Limit the use of estimations; introduce mandatory portfolio engagement requirements in the cases where FMPs have identified missing or non-reported data; request full transparency on data sources and input calculation methodologies. </w:t>
      </w:r>
    </w:p>
    <w:permEnd w:id="1098926409"/>
    <w:p w14:paraId="7A9D32E6" w14:textId="77777777" w:rsidR="009C41BB" w:rsidRDefault="009C41BB" w:rsidP="009C41BB">
      <w:r>
        <w:lastRenderedPageBreak/>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4CF435BC" w:rsidR="009C41BB" w:rsidRDefault="00FD2FB2" w:rsidP="009C41BB">
      <w:permStart w:id="2084635173" w:edGrp="everyone"/>
      <w:r>
        <w:t xml:space="preserve">The proposed disclosures do not </w:t>
      </w:r>
      <w:proofErr w:type="gramStart"/>
      <w:r>
        <w:t>take into account</w:t>
      </w:r>
      <w:proofErr w:type="gramEnd"/>
      <w:r>
        <w:t xml:space="preserve"> the current limitations FMPs are subject to when it comes to sourcing the necessary data to compile the disclosures. The fact that the latest CSRD/ESRS is not fully aligned with SFDR in terms of omitting to make all the mandatory SFDR PAIs mandatory for reporting is a lamentable development. FMPs should be provided with the right tools and guidance when it comes to portfolio engagement. </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3EC5137" w:rsidR="009C41BB" w:rsidRDefault="00FD2FB2" w:rsidP="009C41BB">
      <w:permStart w:id="762907966" w:edGrp="everyone"/>
      <w:r>
        <w:t>N/A</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26FFE983" w:rsidR="009C41BB" w:rsidRDefault="00FD2FB2" w:rsidP="009C41BB">
      <w:permStart w:id="1536640680" w:edGrp="everyone"/>
      <w:r>
        <w:t>N/A</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2DBA528" w:rsidR="009C41BB" w:rsidRDefault="00FD2FB2" w:rsidP="009C41BB">
      <w:permStart w:id="1824523423" w:edGrp="everyone"/>
      <w:r>
        <w:t>N/A</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59983FB8" w:rsidR="009C41BB" w:rsidRDefault="00FD2FB2" w:rsidP="009C41BB">
      <w:permStart w:id="1572164812" w:edGrp="everyone"/>
      <w:r>
        <w:t>N/A</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32498BA" w:rsidR="009C41BB" w:rsidRDefault="00FD2FB2" w:rsidP="009C41BB">
      <w:permStart w:id="324808106" w:edGrp="everyone"/>
      <w:r>
        <w:t>N/A</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lastRenderedPageBreak/>
        <w:t>&lt;ESMA_QUESTION_SFDR_28&gt;</w:t>
      </w:r>
    </w:p>
    <w:p w14:paraId="528C3FA3" w14:textId="6654C90A" w:rsidR="009C41BB" w:rsidRDefault="00FD2FB2" w:rsidP="009C41BB">
      <w:permStart w:id="1690654287" w:edGrp="everyone"/>
      <w:r>
        <w:t>N/A</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xml:space="preserve">: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w:t>
      </w:r>
      <w:proofErr w:type="gramStart"/>
      <w:r>
        <w:t>you</w:t>
      </w:r>
      <w:proofErr w:type="gramEnd"/>
      <w:r>
        <w:t xml:space="preserve"> answer.</w:t>
      </w:r>
    </w:p>
    <w:p w14:paraId="0A33C862" w14:textId="77777777" w:rsidR="009C41BB" w:rsidRDefault="009C41BB" w:rsidP="009C41BB">
      <w:r>
        <w:t>&lt;ESMA_QUESTION_SFDR_29&gt;</w:t>
      </w:r>
    </w:p>
    <w:p w14:paraId="7F9B1903" w14:textId="0F5CB87C" w:rsidR="009C41BB" w:rsidRDefault="00FD2FB2" w:rsidP="009C41BB">
      <w:permStart w:id="811147857" w:edGrp="everyone"/>
      <w:r>
        <w:t>N/A</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0032ED2A" w14:textId="7CA5C0F0" w:rsidR="009C41BB" w:rsidRDefault="00FD2FB2" w:rsidP="009C41BB">
      <w:permStart w:id="1542225393" w:edGrp="everyone"/>
      <w:r>
        <w:t xml:space="preserve">Dashboards and more succinct data </w:t>
      </w:r>
      <w:proofErr w:type="spellStart"/>
      <w:r>
        <w:t>visualiations</w:t>
      </w:r>
      <w:proofErr w:type="spellEnd"/>
      <w:r>
        <w:t xml:space="preserve"> would be very helpful towards enhancing the user-friendliness of SFDR disclosures and achieving the ultimate purpose of the regulation to increase transparency. </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1C9C75E0" w14:textId="69A0046A" w:rsidR="00FD2FB2" w:rsidRDefault="00FD2FB2" w:rsidP="009C41BB">
      <w:permStart w:id="782583199" w:edGrp="everyone"/>
      <w:r>
        <w:t xml:space="preserve">Dashboards should include </w:t>
      </w:r>
      <w:proofErr w:type="gramStart"/>
      <w:r>
        <w:t>at a glance</w:t>
      </w:r>
      <w:proofErr w:type="gramEnd"/>
      <w:r>
        <w:t xml:space="preserve">: the product classification, the main characteristics of the underlying strategy (E&amp;S characteristics or sustainable investment objective), a one-sentence </w:t>
      </w:r>
      <w:r>
        <w:lastRenderedPageBreak/>
        <w:t>description of such characteristics or objectives, summary view of data coverage and PAI/EU Taxonomy performance on the mandatory metrics.</w:t>
      </w:r>
    </w:p>
    <w:permEnd w:id="782583199"/>
    <w:p w14:paraId="6EAACB4A" w14:textId="01726515" w:rsidR="009C41BB" w:rsidRDefault="009C41BB" w:rsidP="009C41BB">
      <w:r>
        <w:t>&lt;ESMA_QUESTION_SFDR_31&gt;</w:t>
      </w:r>
    </w:p>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27D66BE7" w:rsidR="009C41BB" w:rsidRDefault="00FD2FB2" w:rsidP="009C41BB">
      <w:permStart w:id="1403335001" w:edGrp="everyone"/>
      <w:r>
        <w:t xml:space="preserve">Make templates machine readable and require XBRL format of disclosures. </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5824928C" w:rsidR="009C41BB" w:rsidRDefault="00FD2FB2" w:rsidP="009C41BB">
      <w:permStart w:id="1422073065" w:edGrp="everyone"/>
      <w:r>
        <w:t>N/A</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40697902" w:rsidR="009C41BB" w:rsidRDefault="000E2365" w:rsidP="009C41BB">
      <w:permStart w:id="335090742" w:edGrp="everyone"/>
      <w:r>
        <w:t>N/A</w:t>
      </w:r>
    </w:p>
    <w:permEnd w:id="335090742"/>
    <w:p w14:paraId="16A8B44E" w14:textId="77777777" w:rsidR="009C41BB" w:rsidRDefault="009C41BB" w:rsidP="009C41BB">
      <w:r>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D4E692" w:rsidR="009C41BB" w:rsidRDefault="000E2365" w:rsidP="009C41BB">
      <w:permStart w:id="1624927821" w:edGrp="everyone"/>
      <w:r>
        <w:t>Yes</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lastRenderedPageBreak/>
        <w:t xml:space="preserve">: Do you have any feedback </w:t>
      </w:r>
      <w:proofErr w:type="gramStart"/>
      <w:r>
        <w:t>with regard to</w:t>
      </w:r>
      <w:proofErr w:type="gramEnd"/>
      <w:r>
        <w:t xml:space="preserve"> the potential criteria for estimates?</w:t>
      </w:r>
    </w:p>
    <w:p w14:paraId="5BB9BA92" w14:textId="77777777" w:rsidR="009C41BB" w:rsidRDefault="009C41BB" w:rsidP="009C41BB">
      <w:r>
        <w:t>&lt;ESMA_QUESTION_SFDR_36&gt;</w:t>
      </w:r>
    </w:p>
    <w:p w14:paraId="7F375438" w14:textId="71E4CEFE" w:rsidR="009C41BB" w:rsidRDefault="000E2365" w:rsidP="009C41BB">
      <w:permStart w:id="1338527016" w:edGrp="everyone"/>
      <w:r>
        <w:t xml:space="preserve">As stated above, data estimations should be strongly discouraged if the legislation is to </w:t>
      </w:r>
      <w:proofErr w:type="spellStart"/>
      <w:r>
        <w:t>achive</w:t>
      </w:r>
      <w:proofErr w:type="spellEnd"/>
      <w:r>
        <w:t xml:space="preserve"> the objective of enhancing transparency. </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2FE82D09" w:rsidR="009C41BB" w:rsidRDefault="000E2365" w:rsidP="009C41BB">
      <w:permStart w:id="1477927507" w:edGrp="everyone"/>
      <w:r>
        <w:t>FMPs could be required to report their Green Investment Ratio, in addition to the mandatory environmental PAIs.</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69ACE06C" w:rsidR="009C41BB" w:rsidRDefault="000E2365" w:rsidP="009C41BB">
      <w:permStart w:id="1880105875" w:edGrp="everyone"/>
      <w:r>
        <w:t xml:space="preserve">A clearer definition of sustainable investment would be very important to minimise arbitrary assessments by FMPs. </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w:t>
      </w:r>
      <w:proofErr w:type="gramStart"/>
      <w:r>
        <w:t>referencing in</w:t>
      </w:r>
      <w:proofErr w:type="gramEnd"/>
      <w:r>
        <w:t xml:space="preserve">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018C2C5E" w:rsidR="009C41BB" w:rsidRDefault="000E2365" w:rsidP="009C41BB">
      <w:permStart w:id="2135520093" w:edGrp="everyone"/>
      <w:r>
        <w:t>N/A</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lastRenderedPageBreak/>
        <w:t>: Do you agree with the proposed website disclosures for financial products with investment options?</w:t>
      </w:r>
    </w:p>
    <w:p w14:paraId="66B2AEB5" w14:textId="77777777" w:rsidR="009C41BB" w:rsidRDefault="009C41BB" w:rsidP="009C41BB">
      <w:r>
        <w:t>&lt;ESMA_QUESTION_SFDR_40&gt;</w:t>
      </w:r>
    </w:p>
    <w:p w14:paraId="6FE55295" w14:textId="4B7069BA" w:rsidR="009C41BB" w:rsidRDefault="000E2365" w:rsidP="009C41BB">
      <w:permStart w:id="388397641" w:edGrp="everyone"/>
      <w:r>
        <w:t>N/A</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24DB4B06" w:rsidR="009C41BB" w:rsidRDefault="000E2365" w:rsidP="009C41BB">
      <w:permStart w:id="1516521151" w:edGrp="everyone"/>
      <w:r>
        <w:t>N/A</w:t>
      </w:r>
    </w:p>
    <w:permEnd w:id="1516521151"/>
    <w:p w14:paraId="09B21CC4" w14:textId="63D3D220" w:rsidR="009C41BB" w:rsidRDefault="009C41BB" w:rsidP="009C41BB">
      <w:r>
        <w:t>&lt;ESMA_QUESTION_SFDR_41&gt;</w:t>
      </w:r>
    </w:p>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49B541ED" w:rsidR="009C41BB" w:rsidRDefault="000E2365" w:rsidP="009C41BB">
      <w:permStart w:id="2063756698" w:edGrp="everyone"/>
      <w:r>
        <w:t xml:space="preserve">Machine-readable disclosures should follow EC proposals for ESAP, including disclosures in XBRL format. </w:t>
      </w:r>
    </w:p>
    <w:permEnd w:id="2063756698"/>
    <w:p w14:paraId="5BAED5BF" w14:textId="7AA9EC1B" w:rsidR="009C41BB" w:rsidRDefault="009C41BB" w:rsidP="009C41BB">
      <w:r>
        <w:t>&lt;ESMA_QUESTION_SFDR_42&gt;</w:t>
      </w:r>
    </w:p>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670B1884" w:rsidR="009C41BB" w:rsidRDefault="000E2365" w:rsidP="009C41BB">
      <w:permStart w:id="1679513234" w:edGrp="everyone"/>
      <w:r>
        <w:t>N/A</w:t>
      </w:r>
    </w:p>
    <w:permEnd w:id="1679513234"/>
    <w:p w14:paraId="6FB57019" w14:textId="5030FB74" w:rsidR="00171F53" w:rsidRPr="00830BB6" w:rsidRDefault="009C41BB" w:rsidP="00830BB6">
      <w:r>
        <w:t>&lt;ESMA_QUESTION_SFDR_43&gt;</w:t>
      </w:r>
    </w:p>
    <w:sectPr w:rsidR="00171F53" w:rsidRPr="00830BB6" w:rsidSect="00F2442C">
      <w:headerReference w:type="even" r:id="rId16"/>
      <w:headerReference w:type="default" r:id="rId17"/>
      <w:footerReference w:type="even" r:id="rId18"/>
      <w:footerReference w:type="default" r:id="rId19"/>
      <w:headerReference w:type="first" r:id="rId20"/>
      <w:footerReference w:type="first" r:id="rId2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18A77" w14:textId="77777777" w:rsidR="00D53496" w:rsidRDefault="00D53496" w:rsidP="00707738">
      <w:pPr>
        <w:spacing w:after="0" w:line="240" w:lineRule="auto"/>
      </w:pPr>
      <w:r>
        <w:separator/>
      </w:r>
    </w:p>
  </w:endnote>
  <w:endnote w:type="continuationSeparator" w:id="0">
    <w:p w14:paraId="6C2B46FF" w14:textId="77777777" w:rsidR="00D53496" w:rsidRDefault="00D53496"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E6109" w14:textId="77777777" w:rsidR="00D53496" w:rsidRDefault="00D53496" w:rsidP="00707738">
      <w:pPr>
        <w:spacing w:after="0" w:line="240" w:lineRule="auto"/>
      </w:pPr>
      <w:r>
        <w:separator/>
      </w:r>
    </w:p>
  </w:footnote>
  <w:footnote w:type="continuationSeparator" w:id="0">
    <w:p w14:paraId="64B27387" w14:textId="77777777" w:rsidR="00D53496" w:rsidRDefault="00D53496"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29"/>
  </w:num>
  <w:num w:numId="6" w16cid:durableId="1277104421">
    <w:abstractNumId w:val="31"/>
  </w:num>
  <w:num w:numId="7" w16cid:durableId="242104871">
    <w:abstractNumId w:val="20"/>
  </w:num>
  <w:num w:numId="8" w16cid:durableId="522284696">
    <w:abstractNumId w:val="12"/>
  </w:num>
  <w:num w:numId="9" w16cid:durableId="1250770362">
    <w:abstractNumId w:val="8"/>
  </w:num>
  <w:num w:numId="10" w16cid:durableId="1358701701">
    <w:abstractNumId w:val="35"/>
  </w:num>
  <w:num w:numId="11" w16cid:durableId="1625037795">
    <w:abstractNumId w:val="21"/>
  </w:num>
  <w:num w:numId="12" w16cid:durableId="61487579">
    <w:abstractNumId w:val="40"/>
  </w:num>
  <w:num w:numId="13" w16cid:durableId="856233915">
    <w:abstractNumId w:val="16"/>
  </w:num>
  <w:num w:numId="14" w16cid:durableId="1381858278">
    <w:abstractNumId w:val="33"/>
  </w:num>
  <w:num w:numId="15" w16cid:durableId="402408764">
    <w:abstractNumId w:val="3"/>
  </w:num>
  <w:num w:numId="16" w16cid:durableId="1085760005">
    <w:abstractNumId w:val="28"/>
  </w:num>
  <w:num w:numId="17" w16cid:durableId="633215943">
    <w:abstractNumId w:val="5"/>
  </w:num>
  <w:num w:numId="18" w16cid:durableId="2020691353">
    <w:abstractNumId w:val="25"/>
  </w:num>
  <w:num w:numId="19" w16cid:durableId="1500385072">
    <w:abstractNumId w:val="10"/>
  </w:num>
  <w:num w:numId="20" w16cid:durableId="1520046844">
    <w:abstractNumId w:val="38"/>
  </w:num>
  <w:num w:numId="21" w16cid:durableId="748115910">
    <w:abstractNumId w:val="4"/>
  </w:num>
  <w:num w:numId="22" w16cid:durableId="717703608">
    <w:abstractNumId w:val="34"/>
  </w:num>
  <w:num w:numId="23" w16cid:durableId="600113171">
    <w:abstractNumId w:val="14"/>
  </w:num>
  <w:num w:numId="24" w16cid:durableId="241523878">
    <w:abstractNumId w:val="36"/>
  </w:num>
  <w:num w:numId="25" w16cid:durableId="80297080">
    <w:abstractNumId w:val="9"/>
  </w:num>
  <w:num w:numId="26" w16cid:durableId="576936923">
    <w:abstractNumId w:val="37"/>
  </w:num>
  <w:num w:numId="27" w16cid:durableId="379136238">
    <w:abstractNumId w:val="19"/>
  </w:num>
  <w:num w:numId="28" w16cid:durableId="1234242114">
    <w:abstractNumId w:val="17"/>
  </w:num>
  <w:num w:numId="29" w16cid:durableId="6490979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2"/>
  </w:num>
  <w:num w:numId="37" w16cid:durableId="860432523">
    <w:abstractNumId w:val="26"/>
  </w:num>
  <w:num w:numId="38" w16cid:durableId="1880386777">
    <w:abstractNumId w:val="24"/>
  </w:num>
  <w:num w:numId="39" w16cid:durableId="140314737">
    <w:abstractNumId w:val="6"/>
  </w:num>
  <w:num w:numId="40" w16cid:durableId="399055937">
    <w:abstractNumId w:val="30"/>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14D4"/>
    <w:rsid w:val="000A389E"/>
    <w:rsid w:val="000A60B4"/>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E2365"/>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51DA2"/>
    <w:rsid w:val="00152987"/>
    <w:rsid w:val="00154193"/>
    <w:rsid w:val="00157759"/>
    <w:rsid w:val="00161F7C"/>
    <w:rsid w:val="00163CAA"/>
    <w:rsid w:val="00171CC5"/>
    <w:rsid w:val="00171F53"/>
    <w:rsid w:val="001732F3"/>
    <w:rsid w:val="0017367A"/>
    <w:rsid w:val="00180B29"/>
    <w:rsid w:val="00184522"/>
    <w:rsid w:val="001845DA"/>
    <w:rsid w:val="001846C3"/>
    <w:rsid w:val="0018499A"/>
    <w:rsid w:val="00184EE6"/>
    <w:rsid w:val="00185016"/>
    <w:rsid w:val="00185CBB"/>
    <w:rsid w:val="00185FAB"/>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11A5"/>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30F6D"/>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13E2"/>
    <w:rsid w:val="0037316F"/>
    <w:rsid w:val="00377F18"/>
    <w:rsid w:val="00380BED"/>
    <w:rsid w:val="00384600"/>
    <w:rsid w:val="00384678"/>
    <w:rsid w:val="00391785"/>
    <w:rsid w:val="00391C7B"/>
    <w:rsid w:val="00397767"/>
    <w:rsid w:val="00397AF5"/>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41F6"/>
    <w:rsid w:val="004D4970"/>
    <w:rsid w:val="004D4AF2"/>
    <w:rsid w:val="004D588A"/>
    <w:rsid w:val="004D5890"/>
    <w:rsid w:val="004E494E"/>
    <w:rsid w:val="004E5CE6"/>
    <w:rsid w:val="004F0049"/>
    <w:rsid w:val="004F42FC"/>
    <w:rsid w:val="004F4BEB"/>
    <w:rsid w:val="004F586D"/>
    <w:rsid w:val="004F6D56"/>
    <w:rsid w:val="00500A65"/>
    <w:rsid w:val="00503D9B"/>
    <w:rsid w:val="00504812"/>
    <w:rsid w:val="005072BC"/>
    <w:rsid w:val="005077DE"/>
    <w:rsid w:val="00507F10"/>
    <w:rsid w:val="00510588"/>
    <w:rsid w:val="00514995"/>
    <w:rsid w:val="00514C90"/>
    <w:rsid w:val="00515F4D"/>
    <w:rsid w:val="00516962"/>
    <w:rsid w:val="0051785F"/>
    <w:rsid w:val="005204E8"/>
    <w:rsid w:val="005239A4"/>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6D3D"/>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0394"/>
    <w:rsid w:val="006D3572"/>
    <w:rsid w:val="006D4637"/>
    <w:rsid w:val="006D5390"/>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30B0"/>
    <w:rsid w:val="00714637"/>
    <w:rsid w:val="00714D3E"/>
    <w:rsid w:val="0071508A"/>
    <w:rsid w:val="00722336"/>
    <w:rsid w:val="00724DAA"/>
    <w:rsid w:val="00726DD9"/>
    <w:rsid w:val="007317EE"/>
    <w:rsid w:val="00733747"/>
    <w:rsid w:val="00733B83"/>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0BB6"/>
    <w:rsid w:val="00831CD3"/>
    <w:rsid w:val="00833CF1"/>
    <w:rsid w:val="008409D8"/>
    <w:rsid w:val="00841231"/>
    <w:rsid w:val="00841C9C"/>
    <w:rsid w:val="00844083"/>
    <w:rsid w:val="00850751"/>
    <w:rsid w:val="00852C6B"/>
    <w:rsid w:val="00853E06"/>
    <w:rsid w:val="00855F28"/>
    <w:rsid w:val="00856495"/>
    <w:rsid w:val="008569CD"/>
    <w:rsid w:val="00865338"/>
    <w:rsid w:val="008719FE"/>
    <w:rsid w:val="00875FB6"/>
    <w:rsid w:val="008836D6"/>
    <w:rsid w:val="00883EB8"/>
    <w:rsid w:val="0088596C"/>
    <w:rsid w:val="0088693B"/>
    <w:rsid w:val="008A4900"/>
    <w:rsid w:val="008A62FE"/>
    <w:rsid w:val="008A6C4F"/>
    <w:rsid w:val="008A70F0"/>
    <w:rsid w:val="008B3621"/>
    <w:rsid w:val="008B3F2E"/>
    <w:rsid w:val="008B5E48"/>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1040"/>
    <w:rsid w:val="008F1D85"/>
    <w:rsid w:val="008F4472"/>
    <w:rsid w:val="008F6E6F"/>
    <w:rsid w:val="00900567"/>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47B6"/>
    <w:rsid w:val="009D48A7"/>
    <w:rsid w:val="009D5692"/>
    <w:rsid w:val="009E545A"/>
    <w:rsid w:val="009E7CF6"/>
    <w:rsid w:val="009F0CD6"/>
    <w:rsid w:val="009F1DFD"/>
    <w:rsid w:val="009F3D64"/>
    <w:rsid w:val="009F4FA5"/>
    <w:rsid w:val="009F5660"/>
    <w:rsid w:val="00A017EB"/>
    <w:rsid w:val="00A02A9C"/>
    <w:rsid w:val="00A05373"/>
    <w:rsid w:val="00A0770D"/>
    <w:rsid w:val="00A11D13"/>
    <w:rsid w:val="00A15416"/>
    <w:rsid w:val="00A15F68"/>
    <w:rsid w:val="00A17913"/>
    <w:rsid w:val="00A20B8C"/>
    <w:rsid w:val="00A2572D"/>
    <w:rsid w:val="00A26050"/>
    <w:rsid w:val="00A27407"/>
    <w:rsid w:val="00A30BDC"/>
    <w:rsid w:val="00A30C51"/>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2CC"/>
    <w:rsid w:val="00B767FA"/>
    <w:rsid w:val="00B80B73"/>
    <w:rsid w:val="00B847FA"/>
    <w:rsid w:val="00B9019E"/>
    <w:rsid w:val="00B91640"/>
    <w:rsid w:val="00B93E4A"/>
    <w:rsid w:val="00B95F6B"/>
    <w:rsid w:val="00B9720A"/>
    <w:rsid w:val="00BA02A0"/>
    <w:rsid w:val="00BA0488"/>
    <w:rsid w:val="00BA3D80"/>
    <w:rsid w:val="00BA60BB"/>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65EA"/>
    <w:rsid w:val="00D2745E"/>
    <w:rsid w:val="00D32E53"/>
    <w:rsid w:val="00D34BA7"/>
    <w:rsid w:val="00D36C8C"/>
    <w:rsid w:val="00D36E67"/>
    <w:rsid w:val="00D37034"/>
    <w:rsid w:val="00D42D22"/>
    <w:rsid w:val="00D44A37"/>
    <w:rsid w:val="00D51661"/>
    <w:rsid w:val="00D53496"/>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5FCA"/>
    <w:rsid w:val="00EE6889"/>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341C"/>
    <w:rsid w:val="00F34C4D"/>
    <w:rsid w:val="00F435CD"/>
    <w:rsid w:val="00F4469F"/>
    <w:rsid w:val="00F455DC"/>
    <w:rsid w:val="00F528C8"/>
    <w:rsid w:val="00F533AE"/>
    <w:rsid w:val="00F618AC"/>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4FE"/>
    <w:rsid w:val="00FC0A38"/>
    <w:rsid w:val="00FC154E"/>
    <w:rsid w:val="00FC15E9"/>
    <w:rsid w:val="00FC51D6"/>
    <w:rsid w:val="00FC53C2"/>
    <w:rsid w:val="00FC5D67"/>
    <w:rsid w:val="00FC70BE"/>
    <w:rsid w:val="00FD1BCF"/>
    <w:rsid w:val="00FD262D"/>
    <w:rsid w:val="00FD2FB2"/>
    <w:rsid w:val="00FD650A"/>
    <w:rsid w:val="00FD65EC"/>
    <w:rsid w:val="00FE273D"/>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958EF864-A2BC-4D23-8318-F4CA46A99F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205</TotalTime>
  <Pages>16</Pages>
  <Words>3574</Words>
  <Characters>20376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Inna Amesheva</cp:lastModifiedBy>
  <cp:revision>9</cp:revision>
  <cp:lastPrinted>2022-02-14T13:26:00Z</cp:lastPrinted>
  <dcterms:created xsi:type="dcterms:W3CDTF">2023-04-06T15:24:00Z</dcterms:created>
  <dcterms:modified xsi:type="dcterms:W3CDTF">2023-06-21T13:18:00Z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ies>
</file>