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7247"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3"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8"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9"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6B9BC3F5" w:rsidR="00C2682A" w:rsidRPr="00104E00" w:rsidRDefault="00984F32" w:rsidP="00104E00">
                <w:pPr>
                  <w:jc w:val="left"/>
                  <w:rPr>
                    <w:rStyle w:val="PlaceholderText"/>
                  </w:rPr>
                </w:pPr>
                <w:r w:rsidRPr="00984F32">
                  <w:rPr>
                    <w:rStyle w:val="PlaceholderText"/>
                  </w:rPr>
                  <w:t>European Venues and Intermediaries Association</w:t>
                </w:r>
                <w:r>
                  <w:rPr>
                    <w:rStyle w:val="PlaceholderText"/>
                  </w:rPr>
                  <w:t xml:space="preserve"> [“EVIA”]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A51B6FD"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84F32">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4E85BAA7" w:rsidR="00C2682A" w:rsidRPr="00104E00" w:rsidRDefault="00984F3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2887EEBD" w:rsidR="00C2682A" w:rsidRPr="00104E00" w:rsidRDefault="00984F32" w:rsidP="00104E00">
                <w:pPr>
                  <w:jc w:val="left"/>
                </w:pPr>
                <w:r>
                  <w:t>Europe</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694B3729" w14:textId="329A87AA" w:rsidR="00CC59BB" w:rsidRDefault="005531F1" w:rsidP="00C54034">
      <w:pPr>
        <w:spacing w:after="0"/>
      </w:pPr>
      <w:permStart w:id="124340805" w:edGrp="everyone"/>
      <w:r>
        <w:t xml:space="preserve">EVIA welcomes the inclusion of </w:t>
      </w:r>
      <w:r w:rsidRPr="005531F1">
        <w:rPr>
          <w:u w:val="single"/>
        </w:rPr>
        <w:t>CDS index tranches</w:t>
      </w:r>
      <w:r w:rsidRPr="005531F1">
        <w:t xml:space="preserve"> and </w:t>
      </w:r>
      <w:r w:rsidRPr="005531F1">
        <w:rPr>
          <w:u w:val="single"/>
        </w:rPr>
        <w:t>total return swaps</w:t>
      </w:r>
      <w:r>
        <w:t xml:space="preserve"> within the scope and notes to ESMA that the transparency and reporting requirements around these products would benefit from the introduction of both explicit principles as to the information to be set out, as well as a user manual standard approach to clarify and identify the data elements associated with transactions in these instruments. In this regard we would add that FX derivatives is a further product set that generates a great deal of questions </w:t>
      </w:r>
      <w:r w:rsidR="00EF3B90">
        <w:t>in respect of both</w:t>
      </w:r>
      <w:r>
        <w:t xml:space="preserve"> </w:t>
      </w:r>
      <w:r w:rsidR="00EF3B90">
        <w:t>transparency and reporting expectations.</w:t>
      </w:r>
    </w:p>
    <w:p w14:paraId="6D534BF0" w14:textId="7AD75E6C" w:rsidR="00EF3B90" w:rsidRDefault="00EF3B90" w:rsidP="00C54034">
      <w:pPr>
        <w:spacing w:after="0"/>
      </w:pPr>
      <w:r>
        <w:t>We would add that the incipient transition in European settlement protocols from T+2 to T+1 (or even to T+0) which shall likely be a direct consequence of US securities protocol changes scheduled for a little over a year from this date may well also impact the current transparency and reporting scope due to the interaction with MiFID2 PERG.</w:t>
      </w:r>
    </w:p>
    <w:p w14:paraId="334E4FF8" w14:textId="32B5524D" w:rsidR="00EF3B90" w:rsidRDefault="00EF3B90" w:rsidP="00C54034">
      <w:pPr>
        <w:spacing w:after="0"/>
      </w:pPr>
      <w:r>
        <w:t>More generally, we would urge ESMA to</w:t>
      </w:r>
      <w:r w:rsidRPr="00EF3B90">
        <w:t xml:space="preserve"> </w:t>
      </w:r>
      <w:r>
        <w:t>review</w:t>
      </w:r>
      <w:r w:rsidRPr="00EF3B90">
        <w:t xml:space="preserve"> the </w:t>
      </w:r>
      <w:r>
        <w:t xml:space="preserve">general </w:t>
      </w:r>
      <w:r w:rsidRPr="00EF3B90">
        <w:t xml:space="preserve">approach to derivatives </w:t>
      </w:r>
      <w:r>
        <w:t xml:space="preserve">classification and </w:t>
      </w:r>
      <w:r w:rsidRPr="00EF3B90">
        <w:t xml:space="preserve">identification, particularly in the light of new </w:t>
      </w:r>
      <w:r>
        <w:t xml:space="preserve">standard global approach to data elements </w:t>
      </w:r>
      <w:r w:rsidR="007C5980">
        <w:t>as</w:t>
      </w:r>
      <w:r>
        <w:t xml:space="preserve"> well as </w:t>
      </w:r>
      <w:r w:rsidRPr="00EF3B90">
        <w:t>transparency needs relating to a</w:t>
      </w:r>
      <w:r>
        <w:t>ny</w:t>
      </w:r>
      <w:r w:rsidRPr="00EF3B90">
        <w:t xml:space="preserve"> future EU consolidated tape in </w:t>
      </w:r>
      <w:r>
        <w:t>such</w:t>
      </w:r>
      <w:r w:rsidRPr="00EF3B90">
        <w:t xml:space="preserve"> instruments. </w:t>
      </w:r>
      <w:r>
        <w:t>For instance, we would urge that the term, “</w:t>
      </w:r>
      <w:r w:rsidRPr="00EF3B90">
        <w:t>OTC derivatives</w:t>
      </w:r>
      <w:r>
        <w:t xml:space="preserve">” be removed because it divides the same instruments traded on </w:t>
      </w:r>
      <w:r w:rsidR="0077209F">
        <w:t>similar organised platforms</w:t>
      </w:r>
      <w:r w:rsidRPr="00EF3B90">
        <w:t xml:space="preserve"> </w:t>
      </w:r>
      <w:r w:rsidR="0077209F">
        <w:t xml:space="preserve">[both within the EU and in third countries] for no understandable reason, yet likely stands to hinder the instrument </w:t>
      </w:r>
      <w:r w:rsidRPr="00EF3B90">
        <w:t xml:space="preserve">identification </w:t>
      </w:r>
      <w:r w:rsidR="0077209F">
        <w:t>via</w:t>
      </w:r>
      <w:r w:rsidRPr="00EF3B90">
        <w:t xml:space="preserve"> the UPI </w:t>
      </w:r>
      <w:r w:rsidR="0077209F">
        <w:t xml:space="preserve">which is intended to </w:t>
      </w:r>
      <w:r w:rsidRPr="00EF3B90">
        <w:t xml:space="preserve">bring the EU into line with global standards currently being adopted </w:t>
      </w:r>
      <w:r w:rsidR="0077209F">
        <w:t>around the G20 nations.</w:t>
      </w:r>
    </w:p>
    <w:p w14:paraId="6F57472E" w14:textId="720ACA5E" w:rsidR="0077209F" w:rsidRDefault="0077209F" w:rsidP="0077209F">
      <w:pPr>
        <w:spacing w:after="0"/>
      </w:pPr>
      <w:r>
        <w:lastRenderedPageBreak/>
        <w:t xml:space="preserve">In a similar vein, we understand that ESMA </w:t>
      </w:r>
      <w:r w:rsidR="009767A5">
        <w:t xml:space="preserve">is well aware of the market-wide frustration </w:t>
      </w:r>
      <w:r>
        <w:t xml:space="preserve">that ISINs are unsuitable for </w:t>
      </w:r>
      <w:r w:rsidR="009767A5">
        <w:t xml:space="preserve">the identification, creation data, and </w:t>
      </w:r>
      <w:r>
        <w:t>reporting of derivatives</w:t>
      </w:r>
      <w:r w:rsidR="009767A5">
        <w:t>. Moreover</w:t>
      </w:r>
      <w:r>
        <w:t>,</w:t>
      </w:r>
      <w:r w:rsidR="009767A5">
        <w:t xml:space="preserve"> as EVIA and ClarusFT have previously set out, that </w:t>
      </w:r>
      <w:r>
        <w:t xml:space="preserve">the EU ISINs regime </w:t>
      </w:r>
      <w:r w:rsidR="009767A5">
        <w:t xml:space="preserve">actively </w:t>
      </w:r>
      <w:r>
        <w:t xml:space="preserve">undermines the utility of transparency information and FIRDS reference data. </w:t>
      </w:r>
    </w:p>
    <w:p w14:paraId="3719EDDD" w14:textId="3EF3B287" w:rsidR="00896BBB" w:rsidRDefault="009767A5" w:rsidP="00896BBB">
      <w:pPr>
        <w:spacing w:after="0"/>
      </w:pPr>
      <w:r>
        <w:t>As</w:t>
      </w:r>
      <w:r w:rsidR="0077209F">
        <w:t xml:space="preserve"> the UK authorities reflect</w:t>
      </w:r>
      <w:r>
        <w:t xml:space="preserve"> how</w:t>
      </w:r>
      <w:r w:rsidR="0077209F">
        <w:t xml:space="preserve"> they should continue to identify derivatives, </w:t>
      </w:r>
      <w:r>
        <w:t xml:space="preserve">and other G20 </w:t>
      </w:r>
      <w:r w:rsidR="005E099E">
        <w:t>countries</w:t>
      </w:r>
      <w:r>
        <w:t xml:space="preserve"> have already embarked on the </w:t>
      </w:r>
      <w:r w:rsidR="005E099E">
        <w:t>take-up</w:t>
      </w:r>
      <w:r>
        <w:t xml:space="preserve"> of the CPMI-IOSCO-developed Unique Product Identifier (UPI) as a</w:t>
      </w:r>
      <w:r w:rsidR="0077209F">
        <w:t xml:space="preserve"> more suitable identifier, </w:t>
      </w:r>
      <w:r>
        <w:t xml:space="preserve">we also note that the absence of extensible metadata in a reformed identifier could lead to many of the same problems in relying on a hosted database look-up. We believe that the Common Data Elements [“CDEs”] should be intrinsic to the UPI, and we would </w:t>
      </w:r>
      <w:r w:rsidR="0077209F">
        <w:t xml:space="preserve">support reform of derivatives product identification in the EU </w:t>
      </w:r>
      <w:r w:rsidR="00896BBB">
        <w:t>which</w:t>
      </w:r>
      <w:r w:rsidR="0077209F">
        <w:t xml:space="preserve"> encourages regulators and industry participants </w:t>
      </w:r>
      <w:r w:rsidR="00896BBB">
        <w:t>alike to embed the</w:t>
      </w:r>
      <w:r w:rsidR="0077209F">
        <w:t xml:space="preserve"> UPI augmented with a </w:t>
      </w:r>
      <w:r w:rsidR="00896BBB">
        <w:t>either such metadata or even a specific</w:t>
      </w:r>
      <w:r w:rsidR="0077209F">
        <w:t xml:space="preserve"> number of extra fields to ensure </w:t>
      </w:r>
      <w:r w:rsidR="00896BBB">
        <w:t>effective</w:t>
      </w:r>
      <w:r w:rsidR="0077209F">
        <w:t xml:space="preserve"> granularit</w:t>
      </w:r>
      <w:r w:rsidR="00896BBB">
        <w:t>y</w:t>
      </w:r>
      <w:r w:rsidR="0077209F">
        <w:t>.</w:t>
      </w:r>
    </w:p>
    <w:p w14:paraId="617E5906" w14:textId="31605033" w:rsidR="0077209F" w:rsidRDefault="0077209F" w:rsidP="0077209F">
      <w:pPr>
        <w:spacing w:after="0"/>
      </w:pP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08939271" w14:textId="316B0EB6" w:rsidR="000C1049" w:rsidRDefault="00446579" w:rsidP="000C1049">
      <w:pPr>
        <w:spacing w:after="0"/>
      </w:pPr>
      <w:permStart w:id="1947404220" w:edGrp="everyone"/>
      <w:r>
        <w:t xml:space="preserve">EVIA </w:t>
      </w:r>
      <w:r w:rsidR="00BF1810">
        <w:t xml:space="preserve">does agree with the </w:t>
      </w:r>
      <w:r w:rsidR="00F8078D">
        <w:t xml:space="preserve">proposals presented and additionally </w:t>
      </w:r>
      <w:r>
        <w:t xml:space="preserve">notes </w:t>
      </w:r>
      <w:r w:rsidR="00F8078D">
        <w:t>some</w:t>
      </w:r>
      <w:r>
        <w:t xml:space="preserve"> </w:t>
      </w:r>
      <w:r w:rsidR="000C1049">
        <w:t xml:space="preserve">issues </w:t>
      </w:r>
      <w:r w:rsidR="00023DF3">
        <w:t xml:space="preserve">highlighted in FIX_Org working group that the </w:t>
      </w:r>
      <w:r w:rsidR="000C1049">
        <w:t>CFI-MIFIR ID mapping in respect of Money Market Instruments is restricted to DY CFIs</w:t>
      </w:r>
      <w:r w:rsidR="00D6456B">
        <w:t xml:space="preserve">, and it </w:t>
      </w:r>
      <w:r w:rsidR="000C1049">
        <w:t xml:space="preserve">does not include all the CFI codes which are being assigned for these instruments. We would </w:t>
      </w:r>
      <w:r w:rsidR="00D6456B">
        <w:t xml:space="preserve">support the FIX Org </w:t>
      </w:r>
      <w:r w:rsidR="000C1049">
        <w:t>recommend</w:t>
      </w:r>
      <w:r w:rsidR="00D6456B">
        <w:t>ation for</w:t>
      </w:r>
      <w:r w:rsidR="000C1049">
        <w:t xml:space="preserve"> revising the CFI-MIFIR ID mapping to allow other CFI prefixes to be considered money market instruments, provided they are compatible with the definition.</w:t>
      </w:r>
    </w:p>
    <w:p w14:paraId="6EFDCD5E" w14:textId="77777777" w:rsidR="003462B5" w:rsidRDefault="003462B5" w:rsidP="000C1049">
      <w:pPr>
        <w:spacing w:after="0"/>
      </w:pPr>
    </w:p>
    <w:p w14:paraId="59A0405A" w14:textId="4BFE1F26" w:rsidR="00CC59BB" w:rsidRDefault="00452146" w:rsidP="000C1049">
      <w:pPr>
        <w:spacing w:after="0"/>
      </w:pPr>
      <w:r>
        <w:t xml:space="preserve">We would support </w:t>
      </w:r>
      <w:r w:rsidR="000C1049">
        <w:t xml:space="preserve">ESMA’s suggestion </w:t>
      </w:r>
      <w:r>
        <w:t xml:space="preserve">to </w:t>
      </w:r>
      <w:r w:rsidR="002D27C4">
        <w:t>re</w:t>
      </w:r>
      <w:r w:rsidR="000C1049">
        <w:t xml:space="preserve">opening the </w:t>
      </w:r>
      <w:r w:rsidR="002D27C4">
        <w:t xml:space="preserve">CFI </w:t>
      </w:r>
      <w:r w:rsidR="000C1049">
        <w:t xml:space="preserve">mapping to include SFPs as well as bonds </w:t>
      </w:r>
      <w:r w:rsidR="007C261E">
        <w:t>and</w:t>
      </w:r>
      <w:r w:rsidR="000C1049">
        <w:t xml:space="preserve"> ESMA </w:t>
      </w:r>
      <w:r w:rsidR="007C261E">
        <w:t xml:space="preserve">may then </w:t>
      </w:r>
      <w:r w:rsidR="000C1049">
        <w:t>consider extending the mapping to include both SFPs and SDRVs</w:t>
      </w:r>
      <w:r w:rsidR="007C261E">
        <w:t xml:space="preserve">, as well as </w:t>
      </w:r>
      <w:r w:rsidR="000C1049">
        <w:t>broadening the CFI-MiFIR ID mapping to allow the ‘DT’ code to be mapped to MiFIR identifiers other than ‘BOND.’</w:t>
      </w:r>
    </w:p>
    <w:p w14:paraId="7019955B" w14:textId="77777777" w:rsidR="003462B5" w:rsidRDefault="003462B5" w:rsidP="000C1049">
      <w:pPr>
        <w:spacing w:after="0"/>
      </w:pP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0D2F37D3" w14:textId="506C082C" w:rsidR="00CC59BB" w:rsidRDefault="004C0099" w:rsidP="00C54034">
      <w:pPr>
        <w:spacing w:after="0"/>
      </w:pPr>
      <w:permStart w:id="2005885194" w:edGrp="everyone"/>
      <w:r>
        <w:lastRenderedPageBreak/>
        <w:t xml:space="preserve">The addition of a methodology to be deployed </w:t>
      </w:r>
      <w:r w:rsidR="008267DB">
        <w:t xml:space="preserve">by market participants </w:t>
      </w:r>
      <w:r w:rsidR="0067183A">
        <w:t xml:space="preserve">where an </w:t>
      </w:r>
      <w:r w:rsidR="0067183A" w:rsidRPr="0067183A">
        <w:t>overlap between categories</w:t>
      </w:r>
      <w:r w:rsidR="0067183A">
        <w:t xml:space="preserve"> of bond </w:t>
      </w:r>
      <w:r w:rsidR="00ED4B90">
        <w:t>or packages involving different</w:t>
      </w:r>
      <w:r w:rsidR="00ED4B90" w:rsidRPr="00ED4B90">
        <w:t xml:space="preserve"> </w:t>
      </w:r>
      <w:r w:rsidR="00ED4B90" w:rsidRPr="0067183A">
        <w:t>categories</w:t>
      </w:r>
      <w:r w:rsidR="00ED4B90">
        <w:t xml:space="preserve"> of bonds</w:t>
      </w:r>
      <w:r w:rsidR="0006634D">
        <w:t xml:space="preserve"> could be useful in assembling transparency.</w:t>
      </w:r>
      <w:r w:rsidR="00ED4B90">
        <w:t xml:space="preserve"> </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49B77B14" w:rsidR="00CC59BB" w:rsidRDefault="00E922B7" w:rsidP="00C54034">
      <w:pPr>
        <w:spacing w:after="0"/>
      </w:pPr>
      <w:permStart w:id="1235513680" w:edGrp="everyone"/>
      <w:r>
        <w:t>We see n</w:t>
      </w:r>
      <w:r w:rsidR="005866BD">
        <w:t>o need for any further clarification at this time.</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23D7346A" w14:textId="0A316887" w:rsidR="00CC59BB" w:rsidRDefault="00661104" w:rsidP="00C54034">
      <w:pPr>
        <w:spacing w:after="0"/>
      </w:pPr>
      <w:permStart w:id="864513806" w:edGrp="everyone"/>
      <w:r>
        <w:t>Yes</w:t>
      </w:r>
      <w:r w:rsidR="00EC738D">
        <w:t>,</w:t>
      </w:r>
      <w:r>
        <w:t xml:space="preserve"> EVIA agrees with the </w:t>
      </w:r>
      <w:r w:rsidRPr="00661104">
        <w:t>Level 3 guidance for table 3 of Annex I of RTS 1</w:t>
      </w:r>
      <w:r>
        <w:t>.</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 xml:space="preserve">Non-equity </w:t>
      </w:r>
      <w:bookmarkStart w:id="14" w:name="_Hlk131167537"/>
      <w:r w:rsidRPr="00B25E0D">
        <w:t>- Reporting fields: table 2 of Annex II</w:t>
      </w:r>
      <w:bookmarkEnd w:id="14"/>
      <w:r w:rsidRPr="00B25E0D">
        <w:t>,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2E916F10" w14:textId="55862F19" w:rsidR="00CC59BB" w:rsidRPr="000F6368" w:rsidRDefault="000C2EC5" w:rsidP="00C54034">
      <w:pPr>
        <w:spacing w:after="0"/>
        <w:rPr>
          <w:rFonts w:eastAsia="Times New Roman"/>
          <w:color w:val="181818"/>
          <w:szCs w:val="22"/>
          <w:lang w:eastAsia="en-GB"/>
        </w:rPr>
      </w:pPr>
      <w:permStart w:id="1293775397" w:edGrp="everyone"/>
      <w:r w:rsidRPr="000F6368">
        <w:t xml:space="preserve">Yes, EVIA does </w:t>
      </w:r>
      <w:r w:rsidRPr="000F6368">
        <w:rPr>
          <w:rFonts w:eastAsia="Times New Roman"/>
          <w:color w:val="181818"/>
          <w:szCs w:val="22"/>
          <w:lang w:eastAsia="en-GB"/>
        </w:rPr>
        <w:t>agree with the addition of the field “Number of transactions” as set out to be a reporting fields in table 2 of Annex II</w:t>
      </w:r>
      <w:r w:rsidR="00D305FD" w:rsidRPr="000F6368">
        <w:rPr>
          <w:rFonts w:eastAsia="Times New Roman"/>
          <w:color w:val="181818"/>
          <w:szCs w:val="22"/>
          <w:lang w:eastAsia="en-GB"/>
        </w:rPr>
        <w:t xml:space="preserve"> in order to provide for the aggregation of several transactions</w:t>
      </w:r>
      <w:r w:rsidR="002F09BA" w:rsidRPr="000F6368">
        <w:rPr>
          <w:rFonts w:eastAsia="Times New Roman"/>
          <w:color w:val="181818"/>
          <w:szCs w:val="22"/>
          <w:lang w:eastAsia="en-GB"/>
        </w:rPr>
        <w:t>.</w:t>
      </w:r>
    </w:p>
    <w:p w14:paraId="5432AF16" w14:textId="77777777" w:rsidR="002F09BA" w:rsidRPr="000F6368" w:rsidRDefault="002F09BA" w:rsidP="00C54034">
      <w:pPr>
        <w:spacing w:after="0"/>
        <w:rPr>
          <w:rFonts w:eastAsia="Times New Roman"/>
          <w:color w:val="181818"/>
          <w:szCs w:val="22"/>
          <w:lang w:eastAsia="en-GB"/>
        </w:rPr>
      </w:pPr>
    </w:p>
    <w:p w14:paraId="0A9B32A8" w14:textId="2D9BFC81" w:rsidR="00512C6D" w:rsidRPr="000F6368" w:rsidRDefault="002F09BA" w:rsidP="00C54034">
      <w:pPr>
        <w:spacing w:after="0"/>
        <w:rPr>
          <w:rFonts w:eastAsia="Times New Roman"/>
          <w:color w:val="181818"/>
          <w:szCs w:val="22"/>
          <w:lang w:eastAsia="en-GB"/>
        </w:rPr>
      </w:pPr>
      <w:r w:rsidRPr="000F6368">
        <w:rPr>
          <w:rFonts w:eastAsia="Times New Roman"/>
          <w:color w:val="181818"/>
          <w:szCs w:val="22"/>
          <w:lang w:eastAsia="en-GB"/>
        </w:rPr>
        <w:t>*</w:t>
      </w:r>
      <w:r w:rsidR="00512C6D" w:rsidRPr="000F6368">
        <w:rPr>
          <w:rFonts w:eastAsia="Times New Roman"/>
          <w:color w:val="181818"/>
          <w:szCs w:val="22"/>
          <w:lang w:eastAsia="en-GB"/>
        </w:rPr>
        <w:t xml:space="preserve">(noting the inadvertent duplication of Q7) </w:t>
      </w:r>
    </w:p>
    <w:p w14:paraId="59E753BC" w14:textId="77777777" w:rsidR="00512C6D" w:rsidRDefault="00512C6D" w:rsidP="00C54034">
      <w:pPr>
        <w:spacing w:after="0"/>
      </w:pP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585F5BF7" w14:textId="235FE861" w:rsidR="00A16B69" w:rsidRPr="00A16B69" w:rsidRDefault="008A3982" w:rsidP="00A16B69">
      <w:pPr>
        <w:spacing w:after="0"/>
      </w:pPr>
      <w:permStart w:id="1076438526" w:edGrp="everyone"/>
      <w:r>
        <w:lastRenderedPageBreak/>
        <w:t xml:space="preserve">EVIA would consider that the guidance </w:t>
      </w:r>
      <w:r w:rsidR="00A16B69">
        <w:t xml:space="preserve">on price should seek more standardisation wherever possible, and therefore </w:t>
      </w:r>
      <w:r w:rsidR="00A16B69" w:rsidRPr="00A16B69">
        <w:t xml:space="preserve">populated with a price </w:t>
      </w:r>
      <w:r w:rsidR="00A16B69">
        <w:t xml:space="preserve">should consistently be </w:t>
      </w:r>
      <w:r w:rsidR="00A16B69" w:rsidRPr="00A16B69">
        <w:t xml:space="preserve">expressed as a percentage </w:t>
      </w:r>
      <w:r w:rsidR="00572528">
        <w:t xml:space="preserve">of </w:t>
      </w:r>
      <w:r w:rsidR="009E1CB8">
        <w:t xml:space="preserve">notional face value </w:t>
      </w:r>
      <w:r w:rsidR="00A16B69" w:rsidRPr="00A16B69">
        <w:t>unless it is not possible to calculate th</w:t>
      </w:r>
      <w:r w:rsidR="00543A8D">
        <w:t>at</w:t>
      </w:r>
      <w:r w:rsidR="00A16B69" w:rsidRPr="00A16B69">
        <w:t xml:space="preserve"> percentage. </w:t>
      </w:r>
      <w:r w:rsidR="00543A8D">
        <w:t xml:space="preserve">In those cases where </w:t>
      </w:r>
      <w:r w:rsidR="00A16B69" w:rsidRPr="00A16B69">
        <w:t>it is not possible to calculate the percentage, then market convention should be used.</w:t>
      </w:r>
    </w:p>
    <w:p w14:paraId="210AE453" w14:textId="5D57E500" w:rsidR="00CC59BB" w:rsidRDefault="00CC59BB" w:rsidP="00C54034">
      <w:pPr>
        <w:spacing w:after="0"/>
      </w:pP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7E05469F" w14:textId="0A6BADC7" w:rsidR="00650425" w:rsidRPr="00A16B69" w:rsidRDefault="0093577C" w:rsidP="00650425">
      <w:pPr>
        <w:spacing w:after="0"/>
      </w:pPr>
      <w:permStart w:id="1516253385" w:edGrp="everyone"/>
      <w:r>
        <w:t>As for bonds</w:t>
      </w:r>
      <w:r w:rsidR="00650425">
        <w:t xml:space="preserve">, EVIA would consider that the </w:t>
      </w:r>
      <w:r w:rsidR="00650425" w:rsidRPr="00A16B69">
        <w:t xml:space="preserve">price </w:t>
      </w:r>
      <w:r w:rsidR="00650425">
        <w:t xml:space="preserve">should consistently be </w:t>
      </w:r>
      <w:r w:rsidR="00650425" w:rsidRPr="00A16B69">
        <w:t xml:space="preserve">expressed as a percentage </w:t>
      </w:r>
      <w:r w:rsidR="00650425">
        <w:t xml:space="preserve">of notional face value </w:t>
      </w:r>
      <w:r w:rsidR="00650425" w:rsidRPr="00A16B69">
        <w:t>unless it is not possible to calculate th</w:t>
      </w:r>
      <w:r w:rsidR="00650425">
        <w:t>at</w:t>
      </w:r>
      <w:r w:rsidR="00650425" w:rsidRPr="00A16B69">
        <w:t xml:space="preserve"> percentage. </w:t>
      </w:r>
      <w:r w:rsidR="00650425">
        <w:t xml:space="preserve">In those cases where </w:t>
      </w:r>
      <w:r w:rsidR="00650425" w:rsidRPr="00A16B69">
        <w:t xml:space="preserve">it is not possible to calculate the percentage, </w:t>
      </w:r>
      <w:r w:rsidR="00650425">
        <w:t xml:space="preserve">only </w:t>
      </w:r>
      <w:r w:rsidR="00650425" w:rsidRPr="00A16B69">
        <w:t xml:space="preserve">then </w:t>
      </w:r>
      <w:r w:rsidR="00650425">
        <w:t xml:space="preserve">should another </w:t>
      </w:r>
      <w:r w:rsidR="00650425" w:rsidRPr="00A16B69">
        <w:t>market convention should be used.</w:t>
      </w:r>
    </w:p>
    <w:p w14:paraId="049192E3" w14:textId="2B733F7E" w:rsidR="00CC59BB" w:rsidRDefault="00CC59BB" w:rsidP="00C54034">
      <w:pPr>
        <w:spacing w:after="0"/>
      </w:pP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5" w:name="_Toc123728643"/>
      <w:r w:rsidRPr="00B25E0D">
        <w:t>ETCs and ETNs</w:t>
      </w:r>
      <w:bookmarkEnd w:id="15"/>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52CFB1EF" w:rsidR="00CC59BB" w:rsidRDefault="00803700" w:rsidP="00C54034">
      <w:pPr>
        <w:spacing w:after="0"/>
      </w:pPr>
      <w:permStart w:id="869493798" w:edGrp="everyone"/>
      <w:r>
        <w:t>No response.</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6" w:name="_Toc123728644"/>
      <w:r w:rsidRPr="00B25E0D">
        <w:t>Interest rate derivatives</w:t>
      </w:r>
      <w:bookmarkEnd w:id="16"/>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5F0B078" w:rsidR="00CC59BB" w:rsidRDefault="006A7C2E" w:rsidP="00C54034">
      <w:pPr>
        <w:spacing w:after="0"/>
      </w:pPr>
      <w:permStart w:id="1673160559" w:edGrp="everyone"/>
      <w:r>
        <w:t xml:space="preserve">We do not consider that the statement regarding intrinsic and extrinsic </w:t>
      </w:r>
      <w:r w:rsidR="00524A40">
        <w:t>option pricing is helpful, nor that it constitutes any form of guidance.</w:t>
      </w:r>
    </w:p>
    <w:p w14:paraId="062800E6" w14:textId="5CBED7F7" w:rsidR="001B66CA" w:rsidRDefault="001B66CA" w:rsidP="00C54034">
      <w:pPr>
        <w:spacing w:after="0"/>
      </w:pPr>
      <w:r>
        <w:t xml:space="preserve">More generally, we note that the section preamble around </w:t>
      </w:r>
      <w:r w:rsidR="0044003B">
        <w:t xml:space="preserve">the concepts of </w:t>
      </w:r>
      <w:r>
        <w:t xml:space="preserve">TOTV and </w:t>
      </w:r>
      <w:r w:rsidR="0044003B">
        <w:t>ETD/OTC serves to illustrate the point</w:t>
      </w:r>
      <w:r w:rsidR="00652AD0">
        <w:t>s</w:t>
      </w:r>
      <w:r w:rsidR="0044003B">
        <w:t xml:space="preserve"> that </w:t>
      </w:r>
      <w:r w:rsidR="00652AD0">
        <w:t>neither terms are useful</w:t>
      </w:r>
      <w:r w:rsidR="00356890">
        <w:t>,</w:t>
      </w:r>
      <w:r w:rsidR="00652AD0">
        <w:t xml:space="preserve"> and </w:t>
      </w:r>
      <w:r w:rsidR="00E845D5">
        <w:t xml:space="preserve">both </w:t>
      </w:r>
      <w:r w:rsidR="00652AD0">
        <w:t>should be removed</w:t>
      </w:r>
      <w:r w:rsidR="00184954">
        <w:t xml:space="preserve">. The legal and functional division of the same instrument traded on an RM and an MTF/OTF </w:t>
      </w:r>
      <w:r w:rsidR="00CC1EDA">
        <w:t>is without grounds</w:t>
      </w:r>
      <w:r w:rsidR="00190431">
        <w:t>, whilst the term</w:t>
      </w:r>
      <w:r w:rsidR="008F3DD7">
        <w:t>s, “Traded on” and “</w:t>
      </w:r>
      <w:r w:rsidR="00190431">
        <w:t>trading venue</w:t>
      </w:r>
      <w:r w:rsidR="008F3DD7">
        <w:t xml:space="preserve">” need to be conferred to ongoing definitions of the </w:t>
      </w:r>
      <w:r w:rsidR="00430F39">
        <w:t>MiFIR and Multilateral perimeter</w:t>
      </w:r>
      <w:r w:rsidR="00CC1EDA">
        <w:t>.</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lastRenderedPageBreak/>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53252D50" w14:textId="49EDC141" w:rsidR="00A16D8C" w:rsidRPr="004A2D1B" w:rsidRDefault="004A2D1B" w:rsidP="009C7A09">
      <w:pPr>
        <w:spacing w:after="0"/>
      </w:pPr>
      <w:permStart w:id="1628839836" w:edGrp="everyone"/>
      <w:r w:rsidRPr="004A2D1B">
        <w:t>EVIA agrees with t</w:t>
      </w:r>
      <w:r>
        <w:t xml:space="preserve">he </w:t>
      </w:r>
      <w:r w:rsidR="00AF2A61">
        <w:t xml:space="preserve">level three </w:t>
      </w:r>
      <w:r>
        <w:t>guidance</w:t>
      </w:r>
      <w:r w:rsidR="00AF2A61">
        <w:t>, other than</w:t>
      </w:r>
      <w:r w:rsidR="00AF2A61" w:rsidRPr="00AF2A61">
        <w:t xml:space="preserve"> </w:t>
      </w:r>
      <w:r w:rsidR="00AF2A61" w:rsidRPr="00AF2A61">
        <w:t xml:space="preserve">the statement regarding </w:t>
      </w:r>
      <w:r w:rsidR="00A73867">
        <w:t xml:space="preserve">the segmentation of </w:t>
      </w:r>
      <w:r w:rsidR="00AF2A61" w:rsidRPr="00AF2A61">
        <w:t xml:space="preserve">intrinsic and extrinsic option </w:t>
      </w:r>
      <w:r w:rsidR="000F6368" w:rsidRPr="00AF2A61">
        <w:t>pricing,</w:t>
      </w:r>
      <w:r w:rsidR="00AF2A61" w:rsidRPr="00AF2A61">
        <w:t xml:space="preserve"> </w:t>
      </w:r>
      <w:r w:rsidR="00595B6F">
        <w:t xml:space="preserve">which </w:t>
      </w:r>
      <w:r w:rsidR="00AF2A61" w:rsidRPr="00AF2A61">
        <w:t xml:space="preserve">is </w:t>
      </w:r>
      <w:r w:rsidR="00595B6F">
        <w:t xml:space="preserve">neither </w:t>
      </w:r>
      <w:r w:rsidR="00AF2A61" w:rsidRPr="00AF2A61">
        <w:t>helpful</w:t>
      </w:r>
      <w:r w:rsidR="00A73867">
        <w:t xml:space="preserve"> transparency</w:t>
      </w:r>
      <w:r w:rsidR="00AF2A61" w:rsidRPr="00AF2A61">
        <w:t xml:space="preserve">, </w:t>
      </w:r>
      <w:r w:rsidR="00595B6F">
        <w:t xml:space="preserve">nor </w:t>
      </w:r>
      <w:r w:rsidR="00A73867">
        <w:t xml:space="preserve">does it conform </w:t>
      </w:r>
      <w:r w:rsidR="000C1089">
        <w:t xml:space="preserve">to </w:t>
      </w:r>
      <w:r w:rsidR="00595B6F">
        <w:t xml:space="preserve">any </w:t>
      </w:r>
      <w:r w:rsidR="000C1089">
        <w:t xml:space="preserve">type of transparency </w:t>
      </w:r>
      <w:r w:rsidR="00595B6F">
        <w:t>guidance</w:t>
      </w:r>
      <w:r>
        <w:t>.</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69DE6B06" w:rsidR="00CC59BB" w:rsidRDefault="00605686" w:rsidP="00C54034">
      <w:pPr>
        <w:spacing w:after="0"/>
      </w:pPr>
      <w:permStart w:id="1550012690" w:edGrp="everyone"/>
      <w:r>
        <w:t xml:space="preserve">We support the introduction of </w:t>
      </w:r>
      <w:r w:rsidR="005C5057">
        <w:t>field</w:t>
      </w:r>
      <w:r w:rsidR="00F64FBF">
        <w:t xml:space="preserve"> in order to</w:t>
      </w:r>
      <w:r w:rsidR="005C5057">
        <w:t xml:space="preserve"> </w:t>
      </w:r>
      <w:r w:rsidR="00F64FBF" w:rsidRPr="00F64FBF">
        <w:t>report the spread on the floating leg</w:t>
      </w:r>
      <w:r w:rsidR="005C0A39">
        <w:t>, but query its value until appended into RTS as a requirement</w:t>
      </w:r>
      <w:r w:rsidR="00F64FBF" w:rsidRPr="00F64FBF">
        <w:t>.</w:t>
      </w:r>
      <w:r w:rsidR="0013026C">
        <w:t xml:space="preserve"> Therefore ESMA should be clear that </w:t>
      </w:r>
      <w:r w:rsidR="00BD63A1">
        <w:t xml:space="preserve">the revisions are forthcoming and all submitting entities should </w:t>
      </w:r>
      <w:r w:rsidR="006A7E26">
        <w:t>adopt this reporting field.</w:t>
      </w:r>
    </w:p>
    <w:p w14:paraId="0A8851D4" w14:textId="37D07FFC" w:rsidR="0099650A" w:rsidRDefault="0099650A" w:rsidP="00C54034">
      <w:pPr>
        <w:spacing w:after="0"/>
      </w:pPr>
      <w:r>
        <w:t>We note there may be common use-cases where the spread is known, but the price is pending</w:t>
      </w:r>
      <w:r w:rsidR="00A2149A">
        <w:t xml:space="preserve"> at the point of making transparent. Protocols and guidance </w:t>
      </w:r>
      <w:r w:rsidR="00AB7FF7">
        <w:t>for these cases may be helpful.</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 xml:space="preserve">Concerning IRS (section 6.5.1.5), do you consider that a second “spread” field for the </w:t>
      </w:r>
      <w:bookmarkStart w:id="17" w:name="_Hlk131170016"/>
      <w:r w:rsidRPr="00C05202">
        <w:t xml:space="preserve">spread on the second floating leg </w:t>
      </w:r>
      <w:bookmarkEnd w:id="17"/>
      <w:r w:rsidRPr="00C05202">
        <w:t>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3A9C6D38" w:rsidR="00CC59BB" w:rsidRDefault="002619B0" w:rsidP="00C54034">
      <w:pPr>
        <w:spacing w:after="0"/>
      </w:pPr>
      <w:permStart w:id="1951602752" w:edGrp="everyone"/>
      <w:r>
        <w:t>Yes</w:t>
      </w:r>
      <w:r w:rsidR="004C1D14">
        <w:t>,</w:t>
      </w:r>
      <w:r>
        <w:t xml:space="preserve"> we would agree that </w:t>
      </w:r>
      <w:r w:rsidR="00F40443" w:rsidRPr="00F40443">
        <w:t>swaps with two floating rates</w:t>
      </w:r>
      <w:r w:rsidR="00F40443">
        <w:t xml:space="preserve"> are best </w:t>
      </w:r>
      <w:r w:rsidR="004A50C1">
        <w:t xml:space="preserve">identified with the </w:t>
      </w:r>
      <w:r w:rsidR="004A50C1" w:rsidRPr="004A50C1">
        <w:t>spread on the second floating leg</w:t>
      </w:r>
      <w:r w:rsidR="004A50C1">
        <w:t xml:space="preserve"> made explicit.</w:t>
      </w:r>
    </w:p>
    <w:p w14:paraId="053D6931" w14:textId="77777777" w:rsidR="004A50C1" w:rsidRDefault="004A50C1" w:rsidP="00C54034">
      <w:pPr>
        <w:spacing w:after="0"/>
      </w:pP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04E46504" w:rsidR="00CC59BB" w:rsidRDefault="000C1E24" w:rsidP="00C54034">
      <w:pPr>
        <w:spacing w:after="0"/>
      </w:pPr>
      <w:permStart w:id="871322226" w:edGrp="everyone"/>
      <w:r>
        <w:t xml:space="preserve">We would concur that in so long as the field </w:t>
      </w:r>
      <w:r w:rsidR="00C01204">
        <w:t xml:space="preserve">is not mandatory, </w:t>
      </w:r>
      <w:r w:rsidR="00D80F23">
        <w:t xml:space="preserve">the availability of </w:t>
      </w:r>
      <w:r w:rsidR="00C01204">
        <w:t>a</w:t>
      </w:r>
      <w:r w:rsidR="00C01204" w:rsidRPr="00C01204">
        <w:t xml:space="preserve"> second “price” field for the fixed rate of the second leg</w:t>
      </w:r>
      <w:r w:rsidR="00C01204">
        <w:t xml:space="preserve"> </w:t>
      </w:r>
      <w:r w:rsidR="00D80F23">
        <w:t>would be appropriate.</w:t>
      </w:r>
    </w:p>
    <w:p w14:paraId="3A50D833" w14:textId="34494416" w:rsidR="00D80F23" w:rsidRDefault="00D80F23" w:rsidP="00C54034">
      <w:pPr>
        <w:spacing w:after="0"/>
      </w:pPr>
    </w:p>
    <w:permEnd w:id="871322226"/>
    <w:p w14:paraId="311B3E37" w14:textId="60A92BD5" w:rsidR="00CC59BB" w:rsidRDefault="00CC59BB" w:rsidP="00C54034">
      <w:pPr>
        <w:spacing w:after="0"/>
      </w:pPr>
      <w:r>
        <w:lastRenderedPageBreak/>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33B8F39" w:rsidR="00CC59BB" w:rsidRDefault="006E42BB" w:rsidP="00C54034">
      <w:pPr>
        <w:spacing w:after="0"/>
      </w:pPr>
      <w:permStart w:id="1530005966" w:edGrp="everyone"/>
      <w:r>
        <w:t xml:space="preserve">We can only identify guidance currently on Bond Futures and Bond </w:t>
      </w:r>
      <w:r w:rsidR="000F5239">
        <w:t>O</w:t>
      </w:r>
      <w:r>
        <w:t xml:space="preserve">ptions. The Manual would benefit from </w:t>
      </w:r>
      <w:r w:rsidR="000F5239">
        <w:t xml:space="preserve">also having guidance on </w:t>
      </w:r>
      <w:r w:rsidR="000F5239" w:rsidRPr="000F5239">
        <w:t>Bond forwards</w:t>
      </w:r>
      <w:r w:rsidR="000F5239">
        <w:t xml:space="preserve">, and also </w:t>
      </w:r>
      <w:r w:rsidR="0065313C">
        <w:t>Bond Options where not offered as designated contracts</w:t>
      </w:r>
      <w:r w:rsidR="00B8276B">
        <w:t>.</w:t>
      </w:r>
    </w:p>
    <w:p w14:paraId="44264FCF" w14:textId="77777777" w:rsidR="00B8276B" w:rsidRDefault="00B8276B" w:rsidP="00C54034">
      <w:pPr>
        <w:spacing w:after="0"/>
      </w:pP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8" w:name="_Toc123728653"/>
      <w:r w:rsidRPr="00B25E0D">
        <w:lastRenderedPageBreak/>
        <w:t>Equity derivatives</w:t>
      </w:r>
      <w:bookmarkEnd w:id="18"/>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607A0F75" w14:textId="77777777" w:rsidR="0039652E" w:rsidRDefault="00826F26" w:rsidP="00C54034">
      <w:pPr>
        <w:spacing w:after="0"/>
      </w:pPr>
      <w:permStart w:id="1731550419" w:edGrp="everyone"/>
      <w:r>
        <w:t xml:space="preserve">EVIA would appreciate </w:t>
      </w:r>
      <w:r w:rsidR="00E04D9D">
        <w:t xml:space="preserve">further level three guidance on Total Return Swaps, especially where the underlying </w:t>
      </w:r>
      <w:r w:rsidR="00B971BB">
        <w:t>are baskets of equities or quoted indices.</w:t>
      </w:r>
      <w:r w:rsidR="00D921F6">
        <w:t xml:space="preserve"> Clarifications and examples </w:t>
      </w:r>
      <w:r w:rsidR="001A0CCE">
        <w:t>as to what the price represents</w:t>
      </w:r>
      <w:r w:rsidR="00730106">
        <w:t xml:space="preserve">, whether it may be </w:t>
      </w:r>
      <w:r w:rsidR="00D11142">
        <w:t>a percentage of the dividend amount</w:t>
      </w:r>
      <w:r w:rsidR="001A0CCE">
        <w:t xml:space="preserve"> and </w:t>
      </w:r>
      <w:r w:rsidR="00405B06">
        <w:t xml:space="preserve">expectations </w:t>
      </w:r>
      <w:r w:rsidR="00D921F6">
        <w:t>between the price and the basis</w:t>
      </w:r>
      <w:r w:rsidR="009760EA">
        <w:t xml:space="preserve"> are aspects for further detailing.</w:t>
      </w:r>
    </w:p>
    <w:p w14:paraId="37DE7513" w14:textId="7E778398" w:rsidR="00CC59BB" w:rsidRDefault="0039652E" w:rsidP="00C54034">
      <w:pPr>
        <w:spacing w:after="0"/>
      </w:pPr>
      <w:r>
        <w:t xml:space="preserve">We note that </w:t>
      </w:r>
      <w:r w:rsidR="000268E8">
        <w:t>validation checks will often reject the fixed leg spread being set to zero</w:t>
      </w:r>
      <w:r w:rsidR="00AA556C">
        <w:t xml:space="preserve">, which is common-place, and clarification as to whether </w:t>
      </w:r>
      <w:r w:rsidR="00CE2283">
        <w:t xml:space="preserve">reporting entities should </w:t>
      </w:r>
      <w:r w:rsidR="00CE2283" w:rsidRPr="00CE2283">
        <w:t xml:space="preserve">still need to choose a format for </w:t>
      </w:r>
      <w:r w:rsidR="00CE2283">
        <w:t>any</w:t>
      </w:r>
      <w:r w:rsidR="00CE2283" w:rsidRPr="00CE2283">
        <w:t xml:space="preserve"> zero</w:t>
      </w:r>
      <w:r w:rsidR="00CE2283">
        <w:t>-spread</w:t>
      </w:r>
      <w:r w:rsidR="00CE2283" w:rsidRPr="00CE2283">
        <w:t xml:space="preserve"> report, noting that the ESMA </w:t>
      </w:r>
      <w:r w:rsidR="00CE2283">
        <w:t xml:space="preserve">has previously </w:t>
      </w:r>
      <w:r w:rsidR="006D5819">
        <w:t xml:space="preserve">used the </w:t>
      </w:r>
      <w:r w:rsidR="00CE2283" w:rsidRPr="00CE2283">
        <w:t>example</w:t>
      </w:r>
      <w:r w:rsidR="006D5819">
        <w:t>s</w:t>
      </w:r>
      <w:r w:rsidR="00CE2283" w:rsidRPr="00CE2283">
        <w:t xml:space="preserve"> </w:t>
      </w:r>
      <w:r w:rsidR="006D5819">
        <w:t xml:space="preserve">with </w:t>
      </w:r>
      <w:r w:rsidR="00CE2283" w:rsidRPr="00CE2283">
        <w:t>PERC rather than BAPO</w:t>
      </w:r>
      <w:r w:rsidR="006D5819">
        <w:t>.</w:t>
      </w:r>
    </w:p>
    <w:p w14:paraId="07E8ECF4" w14:textId="77777777" w:rsidR="006D5819" w:rsidRDefault="006D5819" w:rsidP="00C54034">
      <w:pPr>
        <w:spacing w:after="0"/>
      </w:pP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131DE617" w:rsidR="00CC59BB" w:rsidRDefault="008766A2" w:rsidP="00C54034">
      <w:pPr>
        <w:spacing w:after="0"/>
      </w:pPr>
      <w:permStart w:id="1212295819" w:edGrp="everyone"/>
      <w:r>
        <w:t>T</w:t>
      </w:r>
      <w:r w:rsidR="007E7CD3">
        <w:t>o consider t</w:t>
      </w:r>
      <w:r>
        <w:t xml:space="preserve">he </w:t>
      </w:r>
      <w:r w:rsidR="00245A18">
        <w:t xml:space="preserve">best </w:t>
      </w:r>
      <w:r>
        <w:t xml:space="preserve">approach </w:t>
      </w:r>
      <w:r w:rsidR="006E72F4">
        <w:t xml:space="preserve">for </w:t>
      </w:r>
      <w:r w:rsidR="008F15DC">
        <w:t xml:space="preserve">price </w:t>
      </w:r>
      <w:r w:rsidR="006E72F4">
        <w:t xml:space="preserve">transparency </w:t>
      </w:r>
      <w:r w:rsidR="008F15DC">
        <w:t>via</w:t>
      </w:r>
      <w:r>
        <w:t xml:space="preserve"> BAPO and PERC in </w:t>
      </w:r>
      <w:r w:rsidR="001C36CD">
        <w:t xml:space="preserve">TRS </w:t>
      </w:r>
      <w:r w:rsidR="008F15DC">
        <w:t>as well as for</w:t>
      </w:r>
      <w:r w:rsidR="001C36CD">
        <w:t xml:space="preserve"> other </w:t>
      </w:r>
      <w:r w:rsidR="001C36CD" w:rsidRPr="001C36CD">
        <w:t xml:space="preserve">equity derivatives with an index as </w:t>
      </w:r>
      <w:r w:rsidR="007E7CD3">
        <w:t xml:space="preserve">the </w:t>
      </w:r>
      <w:r w:rsidR="001C36CD" w:rsidRPr="001C36CD">
        <w:t>underli</w:t>
      </w:r>
      <w:r w:rsidR="007E7CD3">
        <w:t>er</w:t>
      </w:r>
      <w:r w:rsidR="001C36CD">
        <w:t xml:space="preserve"> </w:t>
      </w:r>
      <w:r w:rsidR="0064384A">
        <w:t xml:space="preserve">perhaps </w:t>
      </w:r>
      <w:r w:rsidR="00EC50B5">
        <w:t xml:space="preserve">still </w:t>
      </w:r>
      <w:r w:rsidR="001C36CD">
        <w:t xml:space="preserve">remains challenging. </w:t>
      </w:r>
      <w:r w:rsidR="00F670A1">
        <w:t xml:space="preserve">EVIA would </w:t>
      </w:r>
      <w:r w:rsidR="007A7EBF">
        <w:t xml:space="preserve">therefore </w:t>
      </w:r>
      <w:r w:rsidR="00FC0E14">
        <w:t xml:space="preserve">encourage further </w:t>
      </w:r>
      <w:r w:rsidR="00EC50B5">
        <w:t>evolution</w:t>
      </w:r>
      <w:r w:rsidR="001003DC">
        <w:t xml:space="preserve"> around these instruments </w:t>
      </w:r>
      <w:r w:rsidR="00FC0E14">
        <w:t xml:space="preserve">under the </w:t>
      </w:r>
      <w:r w:rsidR="001003DC">
        <w:t xml:space="preserve">next </w:t>
      </w:r>
      <w:r w:rsidR="00FC0E14">
        <w:t xml:space="preserve">RTS 2 </w:t>
      </w:r>
      <w:r w:rsidR="00FC0E14" w:rsidRPr="00FC0E14">
        <w:t>review</w:t>
      </w:r>
      <w:r w:rsidR="001003DC">
        <w:t xml:space="preserve">, since </w:t>
      </w:r>
      <w:r w:rsidR="00FC0E14">
        <w:t>it</w:t>
      </w:r>
      <w:r w:rsidR="001003DC">
        <w:t>’s</w:t>
      </w:r>
      <w:r w:rsidR="00FC0E14">
        <w:t xml:space="preserve"> unclear how the </w:t>
      </w:r>
      <w:r w:rsidR="007A0146">
        <w:t>guidance might work for Total Return Swaps</w:t>
      </w:r>
      <w:r w:rsidR="0018232D">
        <w:t xml:space="preserve"> in general, and in particular where cases such as </w:t>
      </w:r>
      <w:r w:rsidR="00E67FDF">
        <w:t xml:space="preserve">dividend spreads and other non-vanilla </w:t>
      </w:r>
      <w:r w:rsidR="00632126">
        <w:t xml:space="preserve">index trades are </w:t>
      </w:r>
      <w:r w:rsidR="00AC66FD">
        <w:t xml:space="preserve">being reported. </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9" w:name="_Toc123728658"/>
      <w:r w:rsidRPr="00B25E0D">
        <w:t>Credit derivatives</w:t>
      </w:r>
      <w:bookmarkEnd w:id="19"/>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2BF34CE2" w14:textId="6F68514F" w:rsidR="004F33CD" w:rsidRDefault="003C5C34" w:rsidP="00C54034">
      <w:pPr>
        <w:spacing w:after="0"/>
      </w:pPr>
      <w:permStart w:id="1367754514" w:edGrp="everyone"/>
      <w:r>
        <w:lastRenderedPageBreak/>
        <w:t xml:space="preserve">EVIA does consider the guidance to be </w:t>
      </w:r>
      <w:r w:rsidR="00D16BA5" w:rsidRPr="00D16BA5">
        <w:t>sufficient</w:t>
      </w:r>
      <w:r w:rsidR="00D16BA5">
        <w:t xml:space="preserve"> by dint of </w:t>
      </w:r>
      <w:r w:rsidR="005C07C4">
        <w:t xml:space="preserve">most multilateral </w:t>
      </w:r>
      <w:r w:rsidR="00940BCA">
        <w:t>swaps to be</w:t>
      </w:r>
      <w:r w:rsidR="00D16BA5">
        <w:t xml:space="preserve"> </w:t>
      </w:r>
      <w:r w:rsidR="00537615">
        <w:t xml:space="preserve">quite standardised because they are </w:t>
      </w:r>
      <w:r w:rsidR="00D16BA5">
        <w:t>principally arrang</w:t>
      </w:r>
      <w:r w:rsidR="00940BCA">
        <w:t xml:space="preserve">ed as </w:t>
      </w:r>
      <w:r w:rsidR="00D16BA5">
        <w:t xml:space="preserve">cleared </w:t>
      </w:r>
      <w:r w:rsidR="00D208A8">
        <w:t xml:space="preserve">CDS contracts or indices. It may be the case that examples for </w:t>
      </w:r>
      <w:r w:rsidR="008408BC">
        <w:t xml:space="preserve">non-linear transactions, baskets and spreads </w:t>
      </w:r>
      <w:r w:rsidR="006D3BB5">
        <w:t xml:space="preserve">could be useful going forward, but currently the interest in CCP novation </w:t>
      </w:r>
      <w:r w:rsidR="004F33CD">
        <w:t>has restricted the interdealer market to more standardised product.</w:t>
      </w:r>
    </w:p>
    <w:p w14:paraId="4DCE5838" w14:textId="7069F545" w:rsidR="00CC59BB" w:rsidRDefault="008408BC" w:rsidP="00C54034">
      <w:pPr>
        <w:spacing w:after="0"/>
      </w:pPr>
      <w:r>
        <w:t xml:space="preserve"> </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4A7F89DC" w14:textId="77777777" w:rsidR="00696AD8" w:rsidRDefault="00696AD8" w:rsidP="00696AD8">
      <w:pPr>
        <w:spacing w:after="0"/>
      </w:pPr>
      <w:permStart w:id="1244420503" w:edGrp="everyone"/>
      <w:r>
        <w:t xml:space="preserve">EVIA does consider the guidance to be </w:t>
      </w:r>
      <w:r w:rsidRPr="00D16BA5">
        <w:t>sufficient</w:t>
      </w:r>
      <w:r>
        <w:t xml:space="preserve"> by dint of most multilateral swaps to be quite standardised because they are principally arranged as cleared CDS contracts or indices. It may be the case that examples for non-linear transactions, baskets and spreads could be useful going forward, but currently the interest in CCP novation has restricted the interdealer market to more standardised product.</w:t>
      </w:r>
    </w:p>
    <w:p w14:paraId="5BCF67F2" w14:textId="028B77DE" w:rsidR="00CC59BB" w:rsidRDefault="00DF2305" w:rsidP="00C54034">
      <w:pPr>
        <w:spacing w:after="0"/>
      </w:pPr>
      <w:r>
        <w:t xml:space="preserve"> </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20" w:name="_Toc123728661"/>
      <w:r w:rsidRPr="00B25E0D">
        <w:t>FX derivatives</w:t>
      </w:r>
      <w:bookmarkEnd w:id="20"/>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1EBE3E0A" w14:textId="72A5DC21" w:rsidR="00CC59BB" w:rsidRDefault="00553E18" w:rsidP="00C54034">
      <w:pPr>
        <w:spacing w:after="0"/>
      </w:pPr>
      <w:permStart w:id="356003362" w:edGrp="everyone"/>
      <w:r>
        <w:t xml:space="preserve">EVIA notes that the level </w:t>
      </w:r>
      <w:r w:rsidR="00323ABF">
        <w:t xml:space="preserve">3 guidance for FX options should not be constrained to MONE as it would be more standard practice to </w:t>
      </w:r>
      <w:r w:rsidR="00A732C5">
        <w:t xml:space="preserve">arrange the price as a </w:t>
      </w:r>
      <w:r w:rsidR="00A732C5" w:rsidRPr="00A732C5">
        <w:t>percentage</w:t>
      </w:r>
      <w:r w:rsidR="00A732C5">
        <w:t xml:space="preserve"> of the notional value</w:t>
      </w:r>
      <w:r w:rsidR="00357E82">
        <w:t xml:space="preserve"> or of </w:t>
      </w:r>
      <w:r w:rsidR="008B16D7">
        <w:t>specified</w:t>
      </w:r>
      <w:r w:rsidR="00357E82">
        <w:t xml:space="preserve"> leg</w:t>
      </w:r>
      <w:r w:rsidR="008B16D7">
        <w:t>s</w:t>
      </w:r>
      <w:r w:rsidR="00357E82">
        <w:t xml:space="preserve"> of </w:t>
      </w:r>
      <w:r w:rsidR="008B16D7">
        <w:t>any</w:t>
      </w:r>
      <w:r w:rsidR="00357E82">
        <w:t xml:space="preserve"> spreads involved.</w:t>
      </w:r>
    </w:p>
    <w:p w14:paraId="7EE8B880" w14:textId="3AAD6424" w:rsidR="00863E42" w:rsidRDefault="00863E42" w:rsidP="00C54034">
      <w:pPr>
        <w:spacing w:after="0"/>
      </w:pPr>
      <w:r>
        <w:t xml:space="preserve">In respect of FX Swaps, both deliverable and </w:t>
      </w:r>
      <w:r w:rsidR="00CE1370">
        <w:t>cash-settled, ESMAs guidance should be more specific to consider</w:t>
      </w:r>
      <w:r w:rsidR="009F5BE2">
        <w:t xml:space="preserve"> </w:t>
      </w:r>
      <w:r w:rsidR="0096641E">
        <w:t xml:space="preserve">and delineate </w:t>
      </w:r>
      <w:r w:rsidR="00257B6A">
        <w:t xml:space="preserve">each of </w:t>
      </w:r>
      <w:r w:rsidR="0096641E">
        <w:t xml:space="preserve">Cross Currency Swaps, </w:t>
      </w:r>
      <w:r w:rsidR="009F5BE2">
        <w:t xml:space="preserve">Foreign Exchange Swaps, </w:t>
      </w:r>
      <w:r w:rsidR="00257B6A">
        <w:t xml:space="preserve">FX Swap Packages, and also </w:t>
      </w:r>
      <w:r w:rsidR="00257B6A" w:rsidRPr="00257B6A">
        <w:t>non-Deliverable swaps</w:t>
      </w:r>
      <w:r w:rsidR="00257B6A">
        <w:t>.</w:t>
      </w:r>
      <w:r w:rsidR="00E536A7">
        <w:t xml:space="preserve"> We note here that the </w:t>
      </w:r>
      <w:r w:rsidR="0049413E">
        <w:t xml:space="preserve">virtual </w:t>
      </w:r>
      <w:r w:rsidR="00AD00C7">
        <w:t xml:space="preserve">entirety of global FX swaps tend to be arranged and traded as </w:t>
      </w:r>
      <w:r w:rsidR="0049413E">
        <w:t>FX</w:t>
      </w:r>
      <w:r w:rsidR="0049413E" w:rsidRPr="0049413E">
        <w:t xml:space="preserve"> </w:t>
      </w:r>
      <w:r w:rsidR="0049413E">
        <w:t xml:space="preserve">Swap Packages, </w:t>
      </w:r>
      <w:r w:rsidR="0053675F">
        <w:t xml:space="preserve">yet ESMA tends to focus </w:t>
      </w:r>
      <w:r w:rsidR="005F7B54">
        <w:t xml:space="preserve">guidance </w:t>
      </w:r>
      <w:r w:rsidR="0053675F">
        <w:t>on FX Swap instruments which do not trade</w:t>
      </w:r>
      <w:r w:rsidR="005F7B54">
        <w:t xml:space="preserve"> as a market standard practice</w:t>
      </w:r>
      <w:r w:rsidR="0053675F">
        <w:t>.</w:t>
      </w:r>
    </w:p>
    <w:p w14:paraId="1D2FFA15" w14:textId="03FA40A4" w:rsidR="00A63E29" w:rsidRDefault="00A63E29" w:rsidP="00C54034">
      <w:pPr>
        <w:spacing w:after="0"/>
      </w:pPr>
      <w:r>
        <w:t xml:space="preserve">In light of </w:t>
      </w:r>
      <w:r w:rsidR="00B75D22">
        <w:t xml:space="preserve">both </w:t>
      </w:r>
      <w:r w:rsidR="00644E1D">
        <w:t xml:space="preserve">the T+1 reform likely to soon cover </w:t>
      </w:r>
      <w:r w:rsidR="00D01FC4">
        <w:t xml:space="preserve">securities settlement </w:t>
      </w:r>
      <w:r w:rsidR="005E099E">
        <w:t>across</w:t>
      </w:r>
      <w:r w:rsidR="00D01FC4">
        <w:t xml:space="preserve"> </w:t>
      </w:r>
      <w:r w:rsidR="00644E1D">
        <w:t xml:space="preserve">much of the G20 </w:t>
      </w:r>
      <w:r w:rsidR="00B75D22">
        <w:t xml:space="preserve">scope; and also the evolving </w:t>
      </w:r>
      <w:r w:rsidR="0014722C">
        <w:t xml:space="preserve">“on-chain” and CBDC </w:t>
      </w:r>
      <w:r w:rsidR="00B75D22">
        <w:t xml:space="preserve">technological </w:t>
      </w:r>
      <w:r w:rsidR="00B8277C">
        <w:t xml:space="preserve">basis that allows for immediate </w:t>
      </w:r>
      <w:r w:rsidR="00B8277C">
        <w:lastRenderedPageBreak/>
        <w:t>tokenised collateral exchange</w:t>
      </w:r>
      <w:r w:rsidR="0014722C">
        <w:t xml:space="preserve">; </w:t>
      </w:r>
      <w:r w:rsidR="00B75D22">
        <w:t>FX m</w:t>
      </w:r>
      <w:r w:rsidR="0014722C">
        <w:t xml:space="preserve">arkets may well </w:t>
      </w:r>
      <w:r w:rsidR="00651888">
        <w:t xml:space="preserve">shift to a settlement basis more prompt than T+2. </w:t>
      </w:r>
      <w:r w:rsidR="00417C07">
        <w:t>Therefore ESMA guidance should be specific as to how this impacts C4 and C10 PERG in relation to both transparency and transaction reporting obligations.</w:t>
      </w:r>
    </w:p>
    <w:p w14:paraId="6ADF952B" w14:textId="77777777" w:rsidR="00AA10CD" w:rsidRDefault="00AA10CD" w:rsidP="00C54034">
      <w:pPr>
        <w:spacing w:after="0"/>
      </w:pP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21" w:name="_Toc123728665"/>
      <w:r w:rsidRPr="00B25E0D">
        <w:t>Commodity derivatives</w:t>
      </w:r>
      <w:bookmarkEnd w:id="21"/>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637F8736" w14:textId="20F134FC" w:rsidR="004B542E" w:rsidRDefault="00612D11" w:rsidP="00C54034">
      <w:pPr>
        <w:spacing w:after="0"/>
      </w:pPr>
      <w:permStart w:id="780153713" w:edGrp="everyone"/>
      <w:r>
        <w:t xml:space="preserve">EVIA notes that </w:t>
      </w:r>
      <w:r w:rsidR="009D4580">
        <w:t xml:space="preserve">because most swaps on </w:t>
      </w:r>
      <w:r w:rsidR="005E099E">
        <w:t>commodities</w:t>
      </w:r>
      <w:r w:rsidR="009D4580">
        <w:t xml:space="preserve"> are novated into CCP clearing, there are already w</w:t>
      </w:r>
      <w:r w:rsidR="004B542E">
        <w:t>e</w:t>
      </w:r>
      <w:r w:rsidR="009D4580">
        <w:t xml:space="preserve">ll evolved </w:t>
      </w:r>
      <w:r w:rsidR="004B542E">
        <w:t>market standards and protocols concerning transparency.</w:t>
      </w:r>
    </w:p>
    <w:p w14:paraId="625E0548" w14:textId="318F8582" w:rsidR="000973D7" w:rsidRDefault="00804A0F" w:rsidP="00C54034">
      <w:pPr>
        <w:spacing w:after="0"/>
      </w:pPr>
      <w:r>
        <w:t xml:space="preserve">We would </w:t>
      </w:r>
      <w:r w:rsidR="002E466F">
        <w:t>support</w:t>
      </w:r>
      <w:r>
        <w:t xml:space="preserve"> ESMA’s level three </w:t>
      </w:r>
      <w:r w:rsidR="00BE3447">
        <w:t xml:space="preserve">guidance </w:t>
      </w:r>
      <w:r w:rsidR="00A54C83">
        <w:t xml:space="preserve">separating futures and swaps as </w:t>
      </w:r>
      <w:r>
        <w:t>“Lot Si</w:t>
      </w:r>
      <w:r w:rsidR="008B1629">
        <w:t xml:space="preserve">ze” is a not a term used outside of designated contract markets. </w:t>
      </w:r>
      <w:r w:rsidR="000973D7">
        <w:t xml:space="preserve">We are puzzled as to why ESMA appears to </w:t>
      </w:r>
      <w:r w:rsidR="00133623">
        <w:t xml:space="preserve">have omitted “Commodity Forwards” for those derivatives </w:t>
      </w:r>
      <w:r w:rsidR="003370A0">
        <w:t xml:space="preserve">defined under PERG C6, C7 and </w:t>
      </w:r>
      <w:r w:rsidR="00A22DFC">
        <w:t>C10</w:t>
      </w:r>
      <w:r w:rsidR="004113AE">
        <w:t>.</w:t>
      </w:r>
    </w:p>
    <w:p w14:paraId="224DD2F7" w14:textId="00AE2670" w:rsidR="00CC59BB" w:rsidRDefault="0048589A" w:rsidP="00C54034">
      <w:pPr>
        <w:spacing w:after="0"/>
      </w:pPr>
      <w:r>
        <w:t xml:space="preserve">Whilst ESMA considers guidance on ETD Options, </w:t>
      </w:r>
      <w:r w:rsidR="00C03015">
        <w:t xml:space="preserve">we would </w:t>
      </w:r>
      <w:r w:rsidR="004113AE">
        <w:t xml:space="preserve">also </w:t>
      </w:r>
      <w:r w:rsidR="00C03015">
        <w:t xml:space="preserve">query why </w:t>
      </w:r>
      <w:r>
        <w:t xml:space="preserve">it does not also </w:t>
      </w:r>
      <w:r w:rsidR="00C03015">
        <w:t xml:space="preserve">extend the manual to cover options on commodity </w:t>
      </w:r>
      <w:r w:rsidR="000973D7">
        <w:t>forwards and swaps.</w:t>
      </w:r>
    </w:p>
    <w:p w14:paraId="4734FEE0" w14:textId="77777777" w:rsidR="004113AE" w:rsidRDefault="004113AE" w:rsidP="00C54034">
      <w:pPr>
        <w:spacing w:after="0"/>
      </w:pP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2" w:name="_Toc123728669"/>
      <w:r w:rsidRPr="00B25E0D">
        <w:t>Emission allowances and derivatives thereof</w:t>
      </w:r>
      <w:bookmarkEnd w:id="22"/>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353397FC" w:rsidR="00CC59BB" w:rsidRDefault="00FA05F5" w:rsidP="00B649B1">
      <w:pPr>
        <w:spacing w:after="0"/>
      </w:pPr>
      <w:permStart w:id="1310265670" w:edGrp="everyone"/>
      <w:r>
        <w:t xml:space="preserve">Whilst </w:t>
      </w:r>
      <w:r w:rsidR="008440FB">
        <w:t xml:space="preserve">Compliance Units </w:t>
      </w:r>
      <w:r w:rsidR="00242CFA">
        <w:t>are largely traded in the form of futures</w:t>
      </w:r>
      <w:r w:rsidR="00552491">
        <w:t xml:space="preserve"> and therefore </w:t>
      </w:r>
      <w:r w:rsidR="00EF5B18">
        <w:t xml:space="preserve">a </w:t>
      </w:r>
      <w:r w:rsidR="00552491">
        <w:t xml:space="preserve">guidance which </w:t>
      </w:r>
      <w:r w:rsidR="00EF5B18">
        <w:t xml:space="preserve">considers </w:t>
      </w:r>
      <w:r w:rsidR="00704D0E">
        <w:t xml:space="preserve">“Lot Size” may be </w:t>
      </w:r>
      <w:r w:rsidR="00A52F75">
        <w:t xml:space="preserve">an </w:t>
      </w:r>
      <w:r w:rsidR="00704D0E">
        <w:t>appropriate</w:t>
      </w:r>
      <w:r w:rsidR="00A52F75">
        <w:t xml:space="preserve"> quantity transparency</w:t>
      </w:r>
      <w:r w:rsidR="00704D0E">
        <w:t>,</w:t>
      </w:r>
      <w:r w:rsidR="00175C7A">
        <w:t xml:space="preserve"> albeit that Tons of CO2 would be </w:t>
      </w:r>
      <w:r w:rsidR="00F360C9">
        <w:t xml:space="preserve">more useful and generally </w:t>
      </w:r>
      <w:r w:rsidR="00175C7A">
        <w:t xml:space="preserve">preferable. </w:t>
      </w:r>
      <w:r w:rsidR="00CA1EE2">
        <w:t>I</w:t>
      </w:r>
      <w:r w:rsidR="00704D0E">
        <w:t>t is less likely that the emerging Voluntary Emission</w:t>
      </w:r>
      <w:r w:rsidR="008440FB">
        <w:t xml:space="preserve"> Reduction</w:t>
      </w:r>
      <w:r w:rsidR="00B649B1">
        <w:t xml:space="preserve"> Unit</w:t>
      </w:r>
      <w:r w:rsidR="00704D0E">
        <w:t>s</w:t>
      </w:r>
      <w:r w:rsidR="002657FA">
        <w:t xml:space="preserve"> markets will be as constrained to designated contract markets and </w:t>
      </w:r>
      <w:r w:rsidR="00DD72AA">
        <w:t xml:space="preserve">therefore we would </w:t>
      </w:r>
      <w:r w:rsidR="0057244A">
        <w:t xml:space="preserve">suggest that the guidance </w:t>
      </w:r>
      <w:r w:rsidR="008440FB">
        <w:t xml:space="preserve">separately considers </w:t>
      </w:r>
      <w:r w:rsidR="00B649B1">
        <w:t>Compliance Units from emerging Voluntary Emission Reduction Units.</w:t>
      </w:r>
    </w:p>
    <w:p w14:paraId="64403F77" w14:textId="77777777" w:rsidR="009F4576" w:rsidRDefault="009F4576" w:rsidP="00B649B1">
      <w:pPr>
        <w:spacing w:after="0"/>
      </w:pP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3" w:name="_Toc123728674"/>
      <w:r w:rsidRPr="00B25E0D">
        <w:lastRenderedPageBreak/>
        <w:t>Securitised derivatives</w:t>
      </w:r>
      <w:bookmarkEnd w:id="23"/>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0F7E3152" w14:textId="44F6EFF5" w:rsidR="009F4576" w:rsidRDefault="009F4576" w:rsidP="00C54034">
      <w:pPr>
        <w:spacing w:after="0"/>
      </w:pPr>
      <w:permStart w:id="1711693936" w:edGrp="everyone"/>
      <w:r>
        <w:t>No comment</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4" w:name="_Toc123728675"/>
      <w:r w:rsidRPr="00B25E0D">
        <w:t>Contract for difference (CFDs) and spread bets</w:t>
      </w:r>
      <w:bookmarkEnd w:id="24"/>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4D012598" w14:textId="77777777" w:rsidR="00DA25D9" w:rsidRDefault="00DA25D9" w:rsidP="00DA25D9">
      <w:pPr>
        <w:spacing w:after="0"/>
      </w:pPr>
      <w:permStart w:id="1126446852" w:edGrp="everyone"/>
      <w:r>
        <w:t>No comment</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5" w:name="_Toc123728676"/>
      <w:r w:rsidRPr="00B25E0D">
        <w:t>Flags</w:t>
      </w:r>
      <w:bookmarkEnd w:id="25"/>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6D4F0CA9" w14:textId="4D3415B8" w:rsidR="00CC59BB" w:rsidRPr="00595F91" w:rsidRDefault="00595F91" w:rsidP="00C54034">
      <w:pPr>
        <w:spacing w:after="0"/>
      </w:pPr>
      <w:permStart w:id="1428125549" w:edGrp="everyone"/>
      <w:r w:rsidRPr="00595F91">
        <w:t xml:space="preserve">EVIA does not </w:t>
      </w:r>
      <w:r w:rsidR="00432B23">
        <w:t xml:space="preserve">currently </w:t>
      </w:r>
      <w:r w:rsidRPr="00595F91">
        <w:t>see t</w:t>
      </w:r>
      <w:r>
        <w:t xml:space="preserve">he </w:t>
      </w:r>
      <w:r w:rsidR="00432B23">
        <w:t xml:space="preserve">need for </w:t>
      </w:r>
      <w:r w:rsidR="00432B23" w:rsidRPr="00432B23">
        <w:t>further guidance</w:t>
      </w:r>
      <w:r w:rsidR="00432B23">
        <w:t xml:space="preserve"> for flags on equity instruments.</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224FBA16" w14:textId="0181031B" w:rsidR="00A16EFE" w:rsidRDefault="00E719FD" w:rsidP="00E719FD">
      <w:pPr>
        <w:spacing w:after="0"/>
      </w:pPr>
      <w:permStart w:id="1672500431" w:edGrp="everyone"/>
      <w:r>
        <w:t>EVIA</w:t>
      </w:r>
      <w:r w:rsidRPr="00CA065B">
        <w:t xml:space="preserve"> disagrees </w:t>
      </w:r>
      <w:r>
        <w:t xml:space="preserve">with the proposal </w:t>
      </w:r>
      <w:r w:rsidRPr="00CA065B">
        <w:t xml:space="preserve">that the Portfolio Transaction flag should have preference over the Package Transaction Flag where both </w:t>
      </w:r>
      <w:r w:rsidR="00D64E87">
        <w:t xml:space="preserve">are </w:t>
      </w:r>
      <w:r w:rsidRPr="00CA065B">
        <w:t>appli</w:t>
      </w:r>
      <w:r w:rsidR="00D64E87">
        <w:t xml:space="preserve">cable. By dint of the </w:t>
      </w:r>
      <w:r w:rsidRPr="00CA065B">
        <w:t>Package Transaction</w:t>
      </w:r>
      <w:r w:rsidR="00D64E87">
        <w:t xml:space="preserve"> </w:t>
      </w:r>
      <w:r w:rsidRPr="00CA065B">
        <w:t xml:space="preserve"> </w:t>
      </w:r>
      <w:r w:rsidR="00D64E87">
        <w:t>holding s</w:t>
      </w:r>
      <w:r w:rsidR="00D64E87" w:rsidRPr="00D64E87">
        <w:t xml:space="preserve">pecific deferral rules that apply </w:t>
      </w:r>
      <w:r w:rsidR="00D64E87">
        <w:t xml:space="preserve">across </w:t>
      </w:r>
      <w:r w:rsidR="00D64E87" w:rsidRPr="00D64E87">
        <w:t>all constituent trade</w:t>
      </w:r>
      <w:r w:rsidR="00A16EFE">
        <w:t xml:space="preserve"> legs, its f</w:t>
      </w:r>
      <w:r w:rsidRPr="00CA065B">
        <w:t xml:space="preserve">lag </w:t>
      </w:r>
      <w:r w:rsidR="007C5980">
        <w:t>carries</w:t>
      </w:r>
      <w:r w:rsidR="00A16EFE">
        <w:t xml:space="preserve"> more relevant information and therefore </w:t>
      </w:r>
      <w:r w:rsidRPr="00CA065B">
        <w:t xml:space="preserve">should take preference </w:t>
      </w:r>
      <w:r w:rsidR="00A16EFE">
        <w:t xml:space="preserve">over any </w:t>
      </w:r>
      <w:r w:rsidR="00A16EFE" w:rsidRPr="00CA065B">
        <w:t>Portfolio Transaction flag</w:t>
      </w:r>
      <w:r w:rsidR="00A16EFE">
        <w:t>.</w:t>
      </w:r>
    </w:p>
    <w:p w14:paraId="2A721FFE" w14:textId="56CCCB6C" w:rsidR="00C67E94" w:rsidRDefault="001C58CE" w:rsidP="00CA065B">
      <w:pPr>
        <w:spacing w:after="0"/>
      </w:pPr>
      <w:r>
        <w:t>Since the two t</w:t>
      </w:r>
      <w:r w:rsidRPr="00CA065B">
        <w:t>ransaction</w:t>
      </w:r>
      <w:r w:rsidR="00A16EFE" w:rsidRPr="00CA065B">
        <w:t xml:space="preserve"> </w:t>
      </w:r>
      <w:r>
        <w:t>types are neither mutually inclusive, nor exclusive</w:t>
      </w:r>
      <w:r w:rsidR="00950322">
        <w:t xml:space="preserve">, </w:t>
      </w:r>
      <w:r w:rsidR="008968BC">
        <w:t>nor subsets</w:t>
      </w:r>
      <w:r w:rsidR="00340CDA">
        <w:t xml:space="preserve">; </w:t>
      </w:r>
      <w:r w:rsidR="00950322">
        <w:t xml:space="preserve">we do not understand why both should not stand for </w:t>
      </w:r>
      <w:r w:rsidR="007C5980">
        <w:t>applications</w:t>
      </w:r>
      <w:r w:rsidR="00950322">
        <w:t xml:space="preserve"> independently and upon their own merit</w:t>
      </w:r>
      <w:r w:rsidR="00D83B98">
        <w:t xml:space="preserve">, </w:t>
      </w:r>
      <w:r w:rsidR="00D83B98">
        <w:lastRenderedPageBreak/>
        <w:t xml:space="preserve">especially since </w:t>
      </w:r>
      <w:r w:rsidR="00744024">
        <w:t xml:space="preserve">the market should be able to comprehend </w:t>
      </w:r>
      <w:r w:rsidR="00E719FD" w:rsidRPr="00CA065B">
        <w:t>why a</w:t>
      </w:r>
      <w:r w:rsidR="00744024">
        <w:t>ny</w:t>
      </w:r>
      <w:r w:rsidR="00E719FD" w:rsidRPr="00CA065B">
        <w:t xml:space="preserve"> trade in a liquid bond below the SSTI threshold was not published in real-time</w:t>
      </w:r>
      <w:r w:rsidR="00D64804">
        <w:t>.</w:t>
      </w:r>
      <w:r w:rsidR="001D4EA3">
        <w:t xml:space="preserve"> </w:t>
      </w:r>
    </w:p>
    <w:p w14:paraId="3E9BDC4C" w14:textId="77777777" w:rsidR="00C67E94" w:rsidRDefault="00C67E94" w:rsidP="00CA065B">
      <w:pPr>
        <w:spacing w:after="0"/>
      </w:pPr>
    </w:p>
    <w:p w14:paraId="113EC946" w14:textId="77777777" w:rsidR="00AA3D78" w:rsidRDefault="001D4EA3" w:rsidP="00C54034">
      <w:pPr>
        <w:spacing w:after="0"/>
      </w:pPr>
      <w:r>
        <w:t xml:space="preserve">It could </w:t>
      </w:r>
      <w:r w:rsidR="00C67E94">
        <w:t xml:space="preserve">therefore </w:t>
      </w:r>
      <w:r>
        <w:t xml:space="preserve">be helpful for the </w:t>
      </w:r>
      <w:r w:rsidR="00C67E94">
        <w:t xml:space="preserve">Level 3 guidance to set out how a </w:t>
      </w:r>
      <w:r w:rsidR="00CA065B" w:rsidRPr="00CA065B">
        <w:t>Portfolio Transaction is a “Transaction in five or more different financial instruments where those transactions are traded at the same time by the same client and against a single lot price and that is not a ‘package transaction’ as referred to in Article 1(1)</w:t>
      </w:r>
      <w:r w:rsidR="008509B8">
        <w:t>,</w:t>
      </w:r>
      <w:r w:rsidR="00CA065B" w:rsidRPr="00CA065B">
        <w:t xml:space="preserve">” </w:t>
      </w:r>
      <w:r w:rsidR="008509B8">
        <w:t xml:space="preserve"> whereas a </w:t>
      </w:r>
      <w:r w:rsidR="00CA065B" w:rsidRPr="00CA065B">
        <w:t xml:space="preserve">package transaction </w:t>
      </w:r>
      <w:r w:rsidR="008509B8">
        <w:t xml:space="preserve">turns on the </w:t>
      </w:r>
      <w:r w:rsidR="008509B8" w:rsidRPr="00CA065B">
        <w:t>MEFRROC</w:t>
      </w:r>
      <w:r w:rsidR="00CA065B" w:rsidRPr="00CA065B">
        <w:t xml:space="preserve"> </w:t>
      </w:r>
      <w:r w:rsidR="006D0B54">
        <w:t xml:space="preserve">interdependency. </w:t>
      </w:r>
      <w:r w:rsidR="00CC15F3">
        <w:t>It also follows that any</w:t>
      </w:r>
      <w:r w:rsidR="00CA065B" w:rsidRPr="00CA065B">
        <w:t xml:space="preserve"> Portfolio Transaction should not be </w:t>
      </w:r>
      <w:r w:rsidR="00CC15F3">
        <w:t>constrained</w:t>
      </w:r>
      <w:r w:rsidR="00CA065B" w:rsidRPr="00CA065B">
        <w:t xml:space="preserve"> to just corporate bonds – </w:t>
      </w:r>
      <w:r w:rsidR="00087854">
        <w:t xml:space="preserve">since many or most portfolio’s will be more diverse than that, most especially those </w:t>
      </w:r>
      <w:r w:rsidR="00AA3D78">
        <w:t xml:space="preserve">involving emerging markets debt.  </w:t>
      </w:r>
    </w:p>
    <w:p w14:paraId="5FC1FF01" w14:textId="1385DB67" w:rsidR="00CC59BB" w:rsidRDefault="00CA065B" w:rsidP="00C54034">
      <w:pPr>
        <w:spacing w:after="0"/>
      </w:pPr>
      <w:r w:rsidRPr="00CA065B">
        <w:t xml:space="preserve">  </w:t>
      </w:r>
      <w:permEnd w:id="1672500431"/>
      <w:r w:rsidR="00CC59BB">
        <w:t>&lt;ESMA_QUESTION</w:t>
      </w:r>
      <w:r w:rsidR="00C05202">
        <w:t>_MPTT_</w:t>
      </w:r>
      <w:r w:rsidR="00CC59BB">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8827" w14:textId="77777777" w:rsidR="00E32747" w:rsidRDefault="00E32747" w:rsidP="00F716D4">
      <w:r>
        <w:separator/>
      </w:r>
    </w:p>
    <w:p w14:paraId="3B9241F2" w14:textId="77777777" w:rsidR="00E32747" w:rsidRDefault="00E32747" w:rsidP="00F716D4"/>
  </w:endnote>
  <w:endnote w:type="continuationSeparator" w:id="0">
    <w:p w14:paraId="02D6EA2C" w14:textId="77777777" w:rsidR="00E32747" w:rsidRDefault="00E32747" w:rsidP="00F716D4">
      <w:r>
        <w:continuationSeparator/>
      </w:r>
    </w:p>
    <w:p w14:paraId="09E249DE" w14:textId="77777777" w:rsidR="00E32747" w:rsidRDefault="00E32747" w:rsidP="00F716D4"/>
  </w:endnote>
  <w:endnote w:type="continuationNotice" w:id="1">
    <w:p w14:paraId="1789B8C4" w14:textId="77777777" w:rsidR="00E32747" w:rsidRDefault="00E3274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auto"/>
    <w:pitch w:val="variable"/>
    <w:sig w:usb0="E1000AEF" w:usb1="5000A1FF" w:usb2="00000000" w:usb3="00000000" w:csb0="000001B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FB34" w14:textId="77777777" w:rsidR="00E32747" w:rsidRDefault="00E32747" w:rsidP="00F716D4">
      <w:r>
        <w:separator/>
      </w:r>
    </w:p>
    <w:p w14:paraId="57DE9F94" w14:textId="77777777" w:rsidR="00E32747" w:rsidRDefault="00E32747" w:rsidP="00F716D4"/>
  </w:footnote>
  <w:footnote w:type="continuationSeparator" w:id="0">
    <w:p w14:paraId="262EF5CC" w14:textId="77777777" w:rsidR="00E32747" w:rsidRDefault="00E32747" w:rsidP="00F716D4">
      <w:r>
        <w:continuationSeparator/>
      </w:r>
    </w:p>
    <w:p w14:paraId="72986920" w14:textId="77777777" w:rsidR="00E32747" w:rsidRDefault="00E32747" w:rsidP="00F716D4"/>
  </w:footnote>
  <w:footnote w:type="continuationNotice" w:id="1">
    <w:p w14:paraId="68376651" w14:textId="77777777" w:rsidR="00E32747" w:rsidRDefault="00E3274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013235">
    <w:abstractNumId w:val="16"/>
  </w:num>
  <w:num w:numId="2" w16cid:durableId="1358779127">
    <w:abstractNumId w:val="19"/>
  </w:num>
  <w:num w:numId="3" w16cid:durableId="1402630618">
    <w:abstractNumId w:val="11"/>
  </w:num>
  <w:num w:numId="4" w16cid:durableId="837113522">
    <w:abstractNumId w:val="24"/>
  </w:num>
  <w:num w:numId="5" w16cid:durableId="138500952">
    <w:abstractNumId w:val="26"/>
  </w:num>
  <w:num w:numId="6" w16cid:durableId="786703686">
    <w:abstractNumId w:val="0"/>
  </w:num>
  <w:num w:numId="7" w16cid:durableId="1212424499">
    <w:abstractNumId w:val="3"/>
  </w:num>
  <w:num w:numId="8" w16cid:durableId="785076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849206">
    <w:abstractNumId w:val="33"/>
  </w:num>
  <w:num w:numId="10" w16cid:durableId="107742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873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7591149">
    <w:abstractNumId w:val="29"/>
  </w:num>
  <w:num w:numId="13" w16cid:durableId="779303259">
    <w:abstractNumId w:val="32"/>
  </w:num>
  <w:num w:numId="14" w16cid:durableId="1160540767">
    <w:abstractNumId w:val="23"/>
  </w:num>
  <w:num w:numId="15" w16cid:durableId="53430364">
    <w:abstractNumId w:val="9"/>
  </w:num>
  <w:num w:numId="16" w16cid:durableId="522521905">
    <w:abstractNumId w:val="1"/>
  </w:num>
  <w:num w:numId="17" w16cid:durableId="2020308506">
    <w:abstractNumId w:val="14"/>
  </w:num>
  <w:num w:numId="18" w16cid:durableId="120345503">
    <w:abstractNumId w:val="15"/>
  </w:num>
  <w:num w:numId="19" w16cid:durableId="142476032">
    <w:abstractNumId w:val="17"/>
  </w:num>
  <w:num w:numId="20" w16cid:durableId="169638188">
    <w:abstractNumId w:val="28"/>
  </w:num>
  <w:num w:numId="21" w16cid:durableId="1189222244">
    <w:abstractNumId w:val="38"/>
  </w:num>
  <w:num w:numId="22" w16cid:durableId="562830796">
    <w:abstractNumId w:val="25"/>
  </w:num>
  <w:num w:numId="23" w16cid:durableId="445781270">
    <w:abstractNumId w:val="8"/>
  </w:num>
  <w:num w:numId="24" w16cid:durableId="213011905">
    <w:abstractNumId w:val="31"/>
  </w:num>
  <w:num w:numId="25" w16cid:durableId="1101871384">
    <w:abstractNumId w:val="30"/>
  </w:num>
  <w:num w:numId="26" w16cid:durableId="1103843376">
    <w:abstractNumId w:val="20"/>
  </w:num>
  <w:num w:numId="27" w16cid:durableId="1174762819">
    <w:abstractNumId w:val="34"/>
  </w:num>
  <w:num w:numId="28" w16cid:durableId="1423917916">
    <w:abstractNumId w:val="40"/>
  </w:num>
  <w:num w:numId="29" w16cid:durableId="77988927">
    <w:abstractNumId w:val="6"/>
  </w:num>
  <w:num w:numId="30" w16cid:durableId="1622149282">
    <w:abstractNumId w:val="2"/>
  </w:num>
  <w:num w:numId="31" w16cid:durableId="1999993882">
    <w:abstractNumId w:val="22"/>
  </w:num>
  <w:num w:numId="32" w16cid:durableId="1084449004">
    <w:abstractNumId w:val="21"/>
  </w:num>
  <w:num w:numId="33" w16cid:durableId="716510026">
    <w:abstractNumId w:val="36"/>
  </w:num>
  <w:num w:numId="34" w16cid:durableId="1761873470">
    <w:abstractNumId w:val="35"/>
  </w:num>
  <w:num w:numId="35" w16cid:durableId="10302858">
    <w:abstractNumId w:val="4"/>
  </w:num>
  <w:num w:numId="36" w16cid:durableId="982854262">
    <w:abstractNumId w:val="37"/>
  </w:num>
  <w:num w:numId="37" w16cid:durableId="1449927651">
    <w:abstractNumId w:val="12"/>
  </w:num>
  <w:num w:numId="38" w16cid:durableId="1293097178">
    <w:abstractNumId w:val="10"/>
  </w:num>
  <w:num w:numId="39" w16cid:durableId="877476673">
    <w:abstractNumId w:val="18"/>
  </w:num>
  <w:num w:numId="40" w16cid:durableId="514999399">
    <w:abstractNumId w:val="27"/>
  </w:num>
  <w:num w:numId="41" w16cid:durableId="388579089">
    <w:abstractNumId w:val="41"/>
  </w:num>
  <w:num w:numId="42" w16cid:durableId="555506713">
    <w:abstractNumId w:val="41"/>
  </w:num>
  <w:num w:numId="43" w16cid:durableId="213010921">
    <w:abstractNumId w:val="41"/>
  </w:num>
  <w:num w:numId="44" w16cid:durableId="1453329227">
    <w:abstractNumId w:val="41"/>
    <w:lvlOverride w:ilvl="0">
      <w:startOverride w:val="1"/>
    </w:lvlOverride>
  </w:num>
  <w:num w:numId="45" w16cid:durableId="2065059771">
    <w:abstractNumId w:val="41"/>
  </w:num>
  <w:num w:numId="46" w16cid:durableId="2125810018">
    <w:abstractNumId w:val="41"/>
    <w:lvlOverride w:ilvl="0">
      <w:startOverride w:val="1"/>
    </w:lvlOverride>
  </w:num>
  <w:num w:numId="47" w16cid:durableId="1729377162">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3DF3"/>
    <w:rsid w:val="00025E71"/>
    <w:rsid w:val="00026226"/>
    <w:rsid w:val="00026269"/>
    <w:rsid w:val="000268E8"/>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34D"/>
    <w:rsid w:val="00066479"/>
    <w:rsid w:val="00066E67"/>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54"/>
    <w:rsid w:val="000878D1"/>
    <w:rsid w:val="000921AE"/>
    <w:rsid w:val="000921D7"/>
    <w:rsid w:val="000925FF"/>
    <w:rsid w:val="000932E0"/>
    <w:rsid w:val="00094853"/>
    <w:rsid w:val="00094C4C"/>
    <w:rsid w:val="00096762"/>
    <w:rsid w:val="000969C8"/>
    <w:rsid w:val="000973D7"/>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049"/>
    <w:rsid w:val="000C1089"/>
    <w:rsid w:val="000C1DCC"/>
    <w:rsid w:val="000C1E24"/>
    <w:rsid w:val="000C1FBC"/>
    <w:rsid w:val="000C2B6A"/>
    <w:rsid w:val="000C2EC5"/>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239"/>
    <w:rsid w:val="000F55B7"/>
    <w:rsid w:val="000F5CAA"/>
    <w:rsid w:val="000F604F"/>
    <w:rsid w:val="000F6368"/>
    <w:rsid w:val="000F7399"/>
    <w:rsid w:val="001003DC"/>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26C"/>
    <w:rsid w:val="00130F41"/>
    <w:rsid w:val="00130FAF"/>
    <w:rsid w:val="00133623"/>
    <w:rsid w:val="00135F2B"/>
    <w:rsid w:val="001372DD"/>
    <w:rsid w:val="001405BA"/>
    <w:rsid w:val="00141497"/>
    <w:rsid w:val="0014253A"/>
    <w:rsid w:val="001425C8"/>
    <w:rsid w:val="001431AE"/>
    <w:rsid w:val="00143B87"/>
    <w:rsid w:val="001459E3"/>
    <w:rsid w:val="00146A0B"/>
    <w:rsid w:val="0014722C"/>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5C7A"/>
    <w:rsid w:val="00176982"/>
    <w:rsid w:val="0017701C"/>
    <w:rsid w:val="00181264"/>
    <w:rsid w:val="00181BD1"/>
    <w:rsid w:val="00181F2F"/>
    <w:rsid w:val="0018204A"/>
    <w:rsid w:val="0018232D"/>
    <w:rsid w:val="00182F7C"/>
    <w:rsid w:val="001843B5"/>
    <w:rsid w:val="00184954"/>
    <w:rsid w:val="00186829"/>
    <w:rsid w:val="001868CA"/>
    <w:rsid w:val="00187304"/>
    <w:rsid w:val="001875BE"/>
    <w:rsid w:val="0019017A"/>
    <w:rsid w:val="00190431"/>
    <w:rsid w:val="00190B8C"/>
    <w:rsid w:val="00190FF8"/>
    <w:rsid w:val="0019311A"/>
    <w:rsid w:val="0019508A"/>
    <w:rsid w:val="001960D8"/>
    <w:rsid w:val="001A0CCE"/>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6CA"/>
    <w:rsid w:val="001B6D68"/>
    <w:rsid w:val="001B6F2E"/>
    <w:rsid w:val="001C0344"/>
    <w:rsid w:val="001C0F2A"/>
    <w:rsid w:val="001C1A59"/>
    <w:rsid w:val="001C270F"/>
    <w:rsid w:val="001C36CD"/>
    <w:rsid w:val="001C4679"/>
    <w:rsid w:val="001C5770"/>
    <w:rsid w:val="001C58CE"/>
    <w:rsid w:val="001C6195"/>
    <w:rsid w:val="001D000A"/>
    <w:rsid w:val="001D0883"/>
    <w:rsid w:val="001D2205"/>
    <w:rsid w:val="001D3A1F"/>
    <w:rsid w:val="001D3FB6"/>
    <w:rsid w:val="001D4550"/>
    <w:rsid w:val="001D4EA3"/>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2CFA"/>
    <w:rsid w:val="0024426D"/>
    <w:rsid w:val="00244F1D"/>
    <w:rsid w:val="00245004"/>
    <w:rsid w:val="00245A18"/>
    <w:rsid w:val="00245FB4"/>
    <w:rsid w:val="00250898"/>
    <w:rsid w:val="00251EA9"/>
    <w:rsid w:val="00252843"/>
    <w:rsid w:val="002543F8"/>
    <w:rsid w:val="002551A4"/>
    <w:rsid w:val="002559F3"/>
    <w:rsid w:val="00256DFE"/>
    <w:rsid w:val="00257B6A"/>
    <w:rsid w:val="002619B0"/>
    <w:rsid w:val="00261D56"/>
    <w:rsid w:val="00261FD3"/>
    <w:rsid w:val="00263505"/>
    <w:rsid w:val="00264077"/>
    <w:rsid w:val="002657FA"/>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7C4"/>
    <w:rsid w:val="002D2FEF"/>
    <w:rsid w:val="002D36C2"/>
    <w:rsid w:val="002D3FCB"/>
    <w:rsid w:val="002D4FEF"/>
    <w:rsid w:val="002D502D"/>
    <w:rsid w:val="002D63F5"/>
    <w:rsid w:val="002D6E1A"/>
    <w:rsid w:val="002E036D"/>
    <w:rsid w:val="002E10A5"/>
    <w:rsid w:val="002E1517"/>
    <w:rsid w:val="002E1760"/>
    <w:rsid w:val="002E1B22"/>
    <w:rsid w:val="002E387F"/>
    <w:rsid w:val="002E466F"/>
    <w:rsid w:val="002E76FC"/>
    <w:rsid w:val="002E7F4B"/>
    <w:rsid w:val="002F09BA"/>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ABF"/>
    <w:rsid w:val="00323D9F"/>
    <w:rsid w:val="00324FDB"/>
    <w:rsid w:val="00325F48"/>
    <w:rsid w:val="0033194F"/>
    <w:rsid w:val="00332304"/>
    <w:rsid w:val="00332406"/>
    <w:rsid w:val="00332D8D"/>
    <w:rsid w:val="00336B56"/>
    <w:rsid w:val="003370A0"/>
    <w:rsid w:val="00340CDA"/>
    <w:rsid w:val="00341B25"/>
    <w:rsid w:val="00341EC0"/>
    <w:rsid w:val="0034240C"/>
    <w:rsid w:val="0034374F"/>
    <w:rsid w:val="00344496"/>
    <w:rsid w:val="00345968"/>
    <w:rsid w:val="003462B5"/>
    <w:rsid w:val="00347667"/>
    <w:rsid w:val="003507E2"/>
    <w:rsid w:val="003522B2"/>
    <w:rsid w:val="0035455E"/>
    <w:rsid w:val="00354A6F"/>
    <w:rsid w:val="00354B48"/>
    <w:rsid w:val="00355789"/>
    <w:rsid w:val="00356890"/>
    <w:rsid w:val="00357E82"/>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652E"/>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5C34"/>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5B06"/>
    <w:rsid w:val="00406E90"/>
    <w:rsid w:val="00410240"/>
    <w:rsid w:val="004113AE"/>
    <w:rsid w:val="00412253"/>
    <w:rsid w:val="004142ED"/>
    <w:rsid w:val="0041634D"/>
    <w:rsid w:val="00416ABC"/>
    <w:rsid w:val="00417C07"/>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F39"/>
    <w:rsid w:val="0043173B"/>
    <w:rsid w:val="00431B0A"/>
    <w:rsid w:val="00431DA4"/>
    <w:rsid w:val="00432A91"/>
    <w:rsid w:val="00432B23"/>
    <w:rsid w:val="004332A4"/>
    <w:rsid w:val="0043453F"/>
    <w:rsid w:val="00434A74"/>
    <w:rsid w:val="00437929"/>
    <w:rsid w:val="00437A4A"/>
    <w:rsid w:val="0044003B"/>
    <w:rsid w:val="00440541"/>
    <w:rsid w:val="0044162D"/>
    <w:rsid w:val="0044277A"/>
    <w:rsid w:val="004434EF"/>
    <w:rsid w:val="004456DC"/>
    <w:rsid w:val="00446579"/>
    <w:rsid w:val="00447FBE"/>
    <w:rsid w:val="0045021A"/>
    <w:rsid w:val="0045035E"/>
    <w:rsid w:val="0045175A"/>
    <w:rsid w:val="00451ED9"/>
    <w:rsid w:val="00452146"/>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589A"/>
    <w:rsid w:val="00486C17"/>
    <w:rsid w:val="00486DE2"/>
    <w:rsid w:val="00487117"/>
    <w:rsid w:val="00487A32"/>
    <w:rsid w:val="00487A91"/>
    <w:rsid w:val="004901E5"/>
    <w:rsid w:val="0049027D"/>
    <w:rsid w:val="004903D4"/>
    <w:rsid w:val="0049052B"/>
    <w:rsid w:val="004917D4"/>
    <w:rsid w:val="00492457"/>
    <w:rsid w:val="004924A8"/>
    <w:rsid w:val="004934E9"/>
    <w:rsid w:val="0049413E"/>
    <w:rsid w:val="00494737"/>
    <w:rsid w:val="00494D5C"/>
    <w:rsid w:val="00495A6A"/>
    <w:rsid w:val="004964F6"/>
    <w:rsid w:val="00496821"/>
    <w:rsid w:val="00497750"/>
    <w:rsid w:val="00497B44"/>
    <w:rsid w:val="004A00E5"/>
    <w:rsid w:val="004A01A7"/>
    <w:rsid w:val="004A0D09"/>
    <w:rsid w:val="004A116E"/>
    <w:rsid w:val="004A2D1B"/>
    <w:rsid w:val="004A357F"/>
    <w:rsid w:val="004A3DAD"/>
    <w:rsid w:val="004A50C1"/>
    <w:rsid w:val="004B0335"/>
    <w:rsid w:val="004B0F1C"/>
    <w:rsid w:val="004B1E61"/>
    <w:rsid w:val="004B21AB"/>
    <w:rsid w:val="004B542E"/>
    <w:rsid w:val="004B59E0"/>
    <w:rsid w:val="004B667B"/>
    <w:rsid w:val="004B71C7"/>
    <w:rsid w:val="004C0099"/>
    <w:rsid w:val="004C03AA"/>
    <w:rsid w:val="004C0B9A"/>
    <w:rsid w:val="004C14E7"/>
    <w:rsid w:val="004C1D14"/>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33CD"/>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2C6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4A40"/>
    <w:rsid w:val="005252DD"/>
    <w:rsid w:val="00530A8D"/>
    <w:rsid w:val="00531C6D"/>
    <w:rsid w:val="00532EF4"/>
    <w:rsid w:val="005347CE"/>
    <w:rsid w:val="00535477"/>
    <w:rsid w:val="00535DEA"/>
    <w:rsid w:val="0053675F"/>
    <w:rsid w:val="0053723A"/>
    <w:rsid w:val="00537615"/>
    <w:rsid w:val="00537636"/>
    <w:rsid w:val="00537B1D"/>
    <w:rsid w:val="00540191"/>
    <w:rsid w:val="00540A2A"/>
    <w:rsid w:val="00541F27"/>
    <w:rsid w:val="00542297"/>
    <w:rsid w:val="005424BC"/>
    <w:rsid w:val="00542A28"/>
    <w:rsid w:val="00543A8D"/>
    <w:rsid w:val="005441D4"/>
    <w:rsid w:val="0054672D"/>
    <w:rsid w:val="00550F4E"/>
    <w:rsid w:val="00551E98"/>
    <w:rsid w:val="00552491"/>
    <w:rsid w:val="005531F1"/>
    <w:rsid w:val="005532B5"/>
    <w:rsid w:val="00553E18"/>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244A"/>
    <w:rsid w:val="00572528"/>
    <w:rsid w:val="00573569"/>
    <w:rsid w:val="00573871"/>
    <w:rsid w:val="0057389E"/>
    <w:rsid w:val="005765C0"/>
    <w:rsid w:val="005778DE"/>
    <w:rsid w:val="00580B3F"/>
    <w:rsid w:val="005825F2"/>
    <w:rsid w:val="00583885"/>
    <w:rsid w:val="005860AF"/>
    <w:rsid w:val="005866BD"/>
    <w:rsid w:val="00587F1D"/>
    <w:rsid w:val="00590348"/>
    <w:rsid w:val="00591161"/>
    <w:rsid w:val="00592318"/>
    <w:rsid w:val="00593133"/>
    <w:rsid w:val="0059575D"/>
    <w:rsid w:val="00595B6F"/>
    <w:rsid w:val="00595F91"/>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7C4"/>
    <w:rsid w:val="005C0A39"/>
    <w:rsid w:val="005C0FB2"/>
    <w:rsid w:val="005C1169"/>
    <w:rsid w:val="005C16E2"/>
    <w:rsid w:val="005C24EF"/>
    <w:rsid w:val="005C2796"/>
    <w:rsid w:val="005C3C6C"/>
    <w:rsid w:val="005C3F4C"/>
    <w:rsid w:val="005C43AA"/>
    <w:rsid w:val="005C48C8"/>
    <w:rsid w:val="005C5057"/>
    <w:rsid w:val="005C56D3"/>
    <w:rsid w:val="005C663C"/>
    <w:rsid w:val="005D0750"/>
    <w:rsid w:val="005D1023"/>
    <w:rsid w:val="005D148F"/>
    <w:rsid w:val="005D2AD2"/>
    <w:rsid w:val="005D4A86"/>
    <w:rsid w:val="005D5EB1"/>
    <w:rsid w:val="005D6A29"/>
    <w:rsid w:val="005E0481"/>
    <w:rsid w:val="005E099E"/>
    <w:rsid w:val="005E10BF"/>
    <w:rsid w:val="005E1834"/>
    <w:rsid w:val="005E2CB2"/>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7B54"/>
    <w:rsid w:val="006000DD"/>
    <w:rsid w:val="00600F63"/>
    <w:rsid w:val="006012E1"/>
    <w:rsid w:val="00602253"/>
    <w:rsid w:val="006023E1"/>
    <w:rsid w:val="00605531"/>
    <w:rsid w:val="00605686"/>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2D1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2126"/>
    <w:rsid w:val="00633433"/>
    <w:rsid w:val="00633FFB"/>
    <w:rsid w:val="006341B5"/>
    <w:rsid w:val="006346C9"/>
    <w:rsid w:val="00634727"/>
    <w:rsid w:val="00634B64"/>
    <w:rsid w:val="0063578C"/>
    <w:rsid w:val="0063642C"/>
    <w:rsid w:val="0063681E"/>
    <w:rsid w:val="00636FF9"/>
    <w:rsid w:val="00640DCD"/>
    <w:rsid w:val="00641DC3"/>
    <w:rsid w:val="00642972"/>
    <w:rsid w:val="0064384A"/>
    <w:rsid w:val="006441A2"/>
    <w:rsid w:val="00644E1D"/>
    <w:rsid w:val="00644F4D"/>
    <w:rsid w:val="006469B1"/>
    <w:rsid w:val="00646C0D"/>
    <w:rsid w:val="00646C30"/>
    <w:rsid w:val="006476F7"/>
    <w:rsid w:val="0064779E"/>
    <w:rsid w:val="006501FA"/>
    <w:rsid w:val="00650425"/>
    <w:rsid w:val="006509B0"/>
    <w:rsid w:val="00651888"/>
    <w:rsid w:val="006521F3"/>
    <w:rsid w:val="006524D5"/>
    <w:rsid w:val="00652AD0"/>
    <w:rsid w:val="00652BBD"/>
    <w:rsid w:val="0065313C"/>
    <w:rsid w:val="00653633"/>
    <w:rsid w:val="00653F69"/>
    <w:rsid w:val="00654936"/>
    <w:rsid w:val="00655485"/>
    <w:rsid w:val="006558B3"/>
    <w:rsid w:val="00660BF0"/>
    <w:rsid w:val="00661104"/>
    <w:rsid w:val="0066189C"/>
    <w:rsid w:val="006630CF"/>
    <w:rsid w:val="00663EFF"/>
    <w:rsid w:val="00664FFB"/>
    <w:rsid w:val="00666F74"/>
    <w:rsid w:val="00667FEA"/>
    <w:rsid w:val="006710D2"/>
    <w:rsid w:val="0067183A"/>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6AD8"/>
    <w:rsid w:val="0069780E"/>
    <w:rsid w:val="006A2CA2"/>
    <w:rsid w:val="006A7C2E"/>
    <w:rsid w:val="006A7E26"/>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B54"/>
    <w:rsid w:val="006D399F"/>
    <w:rsid w:val="006D3BB5"/>
    <w:rsid w:val="006D4F0C"/>
    <w:rsid w:val="006D5645"/>
    <w:rsid w:val="006D5819"/>
    <w:rsid w:val="006E0C8A"/>
    <w:rsid w:val="006E2A23"/>
    <w:rsid w:val="006E35E5"/>
    <w:rsid w:val="006E3C72"/>
    <w:rsid w:val="006E42BB"/>
    <w:rsid w:val="006E4F20"/>
    <w:rsid w:val="006E649A"/>
    <w:rsid w:val="006E72F4"/>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0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106"/>
    <w:rsid w:val="00730705"/>
    <w:rsid w:val="00730944"/>
    <w:rsid w:val="00731475"/>
    <w:rsid w:val="0073248E"/>
    <w:rsid w:val="00733EE9"/>
    <w:rsid w:val="00735B8E"/>
    <w:rsid w:val="00736651"/>
    <w:rsid w:val="0073673C"/>
    <w:rsid w:val="00736935"/>
    <w:rsid w:val="007378EC"/>
    <w:rsid w:val="00743DE7"/>
    <w:rsid w:val="00744024"/>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09F"/>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146"/>
    <w:rsid w:val="007A076C"/>
    <w:rsid w:val="007A2140"/>
    <w:rsid w:val="007A23E2"/>
    <w:rsid w:val="007A31A5"/>
    <w:rsid w:val="007A411B"/>
    <w:rsid w:val="007A45E6"/>
    <w:rsid w:val="007A4B28"/>
    <w:rsid w:val="007A5C2C"/>
    <w:rsid w:val="007A7678"/>
    <w:rsid w:val="007A7EBF"/>
    <w:rsid w:val="007B0CD8"/>
    <w:rsid w:val="007B0DE0"/>
    <w:rsid w:val="007B21DE"/>
    <w:rsid w:val="007B2BB9"/>
    <w:rsid w:val="007B43E8"/>
    <w:rsid w:val="007B4740"/>
    <w:rsid w:val="007B502C"/>
    <w:rsid w:val="007B5F3B"/>
    <w:rsid w:val="007C02B0"/>
    <w:rsid w:val="007C063E"/>
    <w:rsid w:val="007C1901"/>
    <w:rsid w:val="007C261E"/>
    <w:rsid w:val="007C49C0"/>
    <w:rsid w:val="007C55C1"/>
    <w:rsid w:val="007C5738"/>
    <w:rsid w:val="007C5772"/>
    <w:rsid w:val="007C5980"/>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E7CD3"/>
    <w:rsid w:val="007F0DDA"/>
    <w:rsid w:val="007F1939"/>
    <w:rsid w:val="007F365C"/>
    <w:rsid w:val="007F5066"/>
    <w:rsid w:val="007F621C"/>
    <w:rsid w:val="007F7155"/>
    <w:rsid w:val="00800C28"/>
    <w:rsid w:val="0080245E"/>
    <w:rsid w:val="00802E10"/>
    <w:rsid w:val="00803480"/>
    <w:rsid w:val="0080359C"/>
    <w:rsid w:val="00803700"/>
    <w:rsid w:val="008037AE"/>
    <w:rsid w:val="008037F6"/>
    <w:rsid w:val="008043F4"/>
    <w:rsid w:val="00804A0F"/>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67DB"/>
    <w:rsid w:val="00826F26"/>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08BC"/>
    <w:rsid w:val="0084121D"/>
    <w:rsid w:val="008418E3"/>
    <w:rsid w:val="008419C1"/>
    <w:rsid w:val="008440FB"/>
    <w:rsid w:val="00844515"/>
    <w:rsid w:val="0084465A"/>
    <w:rsid w:val="00844DFF"/>
    <w:rsid w:val="00845D87"/>
    <w:rsid w:val="00846C3A"/>
    <w:rsid w:val="008477BF"/>
    <w:rsid w:val="008503DA"/>
    <w:rsid w:val="008509B8"/>
    <w:rsid w:val="00850B68"/>
    <w:rsid w:val="00850E82"/>
    <w:rsid w:val="0085122D"/>
    <w:rsid w:val="008519E8"/>
    <w:rsid w:val="008525FF"/>
    <w:rsid w:val="00852C03"/>
    <w:rsid w:val="0085590C"/>
    <w:rsid w:val="008575EB"/>
    <w:rsid w:val="00862DDD"/>
    <w:rsid w:val="0086326D"/>
    <w:rsid w:val="00863CC1"/>
    <w:rsid w:val="00863E42"/>
    <w:rsid w:val="00865B01"/>
    <w:rsid w:val="00866D7A"/>
    <w:rsid w:val="00866EE3"/>
    <w:rsid w:val="00871F04"/>
    <w:rsid w:val="008746C1"/>
    <w:rsid w:val="008766A2"/>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8BC"/>
    <w:rsid w:val="00896BBB"/>
    <w:rsid w:val="008A2585"/>
    <w:rsid w:val="008A2718"/>
    <w:rsid w:val="008A3982"/>
    <w:rsid w:val="008A4CF6"/>
    <w:rsid w:val="008A4E42"/>
    <w:rsid w:val="008A51AA"/>
    <w:rsid w:val="008A6A12"/>
    <w:rsid w:val="008B0DC6"/>
    <w:rsid w:val="008B1629"/>
    <w:rsid w:val="008B16D7"/>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15DC"/>
    <w:rsid w:val="008F2413"/>
    <w:rsid w:val="008F248D"/>
    <w:rsid w:val="008F3DD7"/>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577C"/>
    <w:rsid w:val="009360F6"/>
    <w:rsid w:val="009371DC"/>
    <w:rsid w:val="0093759D"/>
    <w:rsid w:val="00940239"/>
    <w:rsid w:val="00940BCA"/>
    <w:rsid w:val="00942BD6"/>
    <w:rsid w:val="00942DED"/>
    <w:rsid w:val="00944404"/>
    <w:rsid w:val="009452D7"/>
    <w:rsid w:val="00945FD1"/>
    <w:rsid w:val="00946CCC"/>
    <w:rsid w:val="00950322"/>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41E"/>
    <w:rsid w:val="009667BD"/>
    <w:rsid w:val="00967CE2"/>
    <w:rsid w:val="00971DA3"/>
    <w:rsid w:val="00972161"/>
    <w:rsid w:val="0097261B"/>
    <w:rsid w:val="00974881"/>
    <w:rsid w:val="0097606C"/>
    <w:rsid w:val="009760EA"/>
    <w:rsid w:val="009767A5"/>
    <w:rsid w:val="009771D1"/>
    <w:rsid w:val="0098012D"/>
    <w:rsid w:val="00980845"/>
    <w:rsid w:val="00981BD9"/>
    <w:rsid w:val="0098225F"/>
    <w:rsid w:val="00983A3C"/>
    <w:rsid w:val="00983EFA"/>
    <w:rsid w:val="00984C15"/>
    <w:rsid w:val="00984F32"/>
    <w:rsid w:val="00987829"/>
    <w:rsid w:val="00987F7A"/>
    <w:rsid w:val="00991276"/>
    <w:rsid w:val="009923E7"/>
    <w:rsid w:val="00992697"/>
    <w:rsid w:val="00992D4E"/>
    <w:rsid w:val="009934BB"/>
    <w:rsid w:val="00994621"/>
    <w:rsid w:val="009947FF"/>
    <w:rsid w:val="0099544B"/>
    <w:rsid w:val="0099650A"/>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A09"/>
    <w:rsid w:val="009D0219"/>
    <w:rsid w:val="009D0D55"/>
    <w:rsid w:val="009D2295"/>
    <w:rsid w:val="009D2511"/>
    <w:rsid w:val="009D3E7C"/>
    <w:rsid w:val="009D4580"/>
    <w:rsid w:val="009D55CA"/>
    <w:rsid w:val="009D5661"/>
    <w:rsid w:val="009D5EF0"/>
    <w:rsid w:val="009D6401"/>
    <w:rsid w:val="009D6E99"/>
    <w:rsid w:val="009E0711"/>
    <w:rsid w:val="009E1917"/>
    <w:rsid w:val="009E1CB8"/>
    <w:rsid w:val="009E3594"/>
    <w:rsid w:val="009E6B77"/>
    <w:rsid w:val="009E7724"/>
    <w:rsid w:val="009E7D1F"/>
    <w:rsid w:val="009F1D82"/>
    <w:rsid w:val="009F37AA"/>
    <w:rsid w:val="009F4576"/>
    <w:rsid w:val="009F544C"/>
    <w:rsid w:val="009F5731"/>
    <w:rsid w:val="009F5BE2"/>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735"/>
    <w:rsid w:val="00A16B69"/>
    <w:rsid w:val="00A16D8C"/>
    <w:rsid w:val="00A16DC9"/>
    <w:rsid w:val="00A16EFE"/>
    <w:rsid w:val="00A20225"/>
    <w:rsid w:val="00A2149A"/>
    <w:rsid w:val="00A22DFC"/>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2F75"/>
    <w:rsid w:val="00A54BFF"/>
    <w:rsid w:val="00A54C63"/>
    <w:rsid w:val="00A54C8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3E29"/>
    <w:rsid w:val="00A65805"/>
    <w:rsid w:val="00A66BEE"/>
    <w:rsid w:val="00A671C9"/>
    <w:rsid w:val="00A67DFD"/>
    <w:rsid w:val="00A732C5"/>
    <w:rsid w:val="00A73867"/>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0CD"/>
    <w:rsid w:val="00AA15DD"/>
    <w:rsid w:val="00AA1C09"/>
    <w:rsid w:val="00AA2F67"/>
    <w:rsid w:val="00AA3569"/>
    <w:rsid w:val="00AA3D78"/>
    <w:rsid w:val="00AA556C"/>
    <w:rsid w:val="00AA5F4C"/>
    <w:rsid w:val="00AA615C"/>
    <w:rsid w:val="00AA6276"/>
    <w:rsid w:val="00AA6711"/>
    <w:rsid w:val="00AB2AEC"/>
    <w:rsid w:val="00AB2DC1"/>
    <w:rsid w:val="00AB3102"/>
    <w:rsid w:val="00AB3D9A"/>
    <w:rsid w:val="00AB4824"/>
    <w:rsid w:val="00AB4B1D"/>
    <w:rsid w:val="00AB6B5E"/>
    <w:rsid w:val="00AB7FF7"/>
    <w:rsid w:val="00AC047F"/>
    <w:rsid w:val="00AC3934"/>
    <w:rsid w:val="00AC50C8"/>
    <w:rsid w:val="00AC5581"/>
    <w:rsid w:val="00AC56AD"/>
    <w:rsid w:val="00AC61BE"/>
    <w:rsid w:val="00AC66FD"/>
    <w:rsid w:val="00AD00C7"/>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2A61"/>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49B1"/>
    <w:rsid w:val="00B6517B"/>
    <w:rsid w:val="00B65E71"/>
    <w:rsid w:val="00B66C26"/>
    <w:rsid w:val="00B67829"/>
    <w:rsid w:val="00B71FB3"/>
    <w:rsid w:val="00B73492"/>
    <w:rsid w:val="00B7512A"/>
    <w:rsid w:val="00B75D22"/>
    <w:rsid w:val="00B76548"/>
    <w:rsid w:val="00B76BED"/>
    <w:rsid w:val="00B806E6"/>
    <w:rsid w:val="00B8276B"/>
    <w:rsid w:val="00B8277C"/>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1BB"/>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3A1"/>
    <w:rsid w:val="00BD65E6"/>
    <w:rsid w:val="00BD6AF7"/>
    <w:rsid w:val="00BE19EF"/>
    <w:rsid w:val="00BE3447"/>
    <w:rsid w:val="00BE425B"/>
    <w:rsid w:val="00BE51BB"/>
    <w:rsid w:val="00BE7595"/>
    <w:rsid w:val="00BE77D3"/>
    <w:rsid w:val="00BF0138"/>
    <w:rsid w:val="00BF114B"/>
    <w:rsid w:val="00BF1620"/>
    <w:rsid w:val="00BF1810"/>
    <w:rsid w:val="00BF1AC3"/>
    <w:rsid w:val="00BF373A"/>
    <w:rsid w:val="00BF409D"/>
    <w:rsid w:val="00BF62D2"/>
    <w:rsid w:val="00BF6D9E"/>
    <w:rsid w:val="00BF71BB"/>
    <w:rsid w:val="00BF76F7"/>
    <w:rsid w:val="00BF7C9F"/>
    <w:rsid w:val="00C00012"/>
    <w:rsid w:val="00C000A5"/>
    <w:rsid w:val="00C006B4"/>
    <w:rsid w:val="00C00938"/>
    <w:rsid w:val="00C00E2A"/>
    <w:rsid w:val="00C01204"/>
    <w:rsid w:val="00C025B9"/>
    <w:rsid w:val="00C03015"/>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67E94"/>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65B"/>
    <w:rsid w:val="00CA0AA6"/>
    <w:rsid w:val="00CA1EE2"/>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5F3"/>
    <w:rsid w:val="00CC1783"/>
    <w:rsid w:val="00CC1EDA"/>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370"/>
    <w:rsid w:val="00CE157F"/>
    <w:rsid w:val="00CE1966"/>
    <w:rsid w:val="00CE1ED4"/>
    <w:rsid w:val="00CE2216"/>
    <w:rsid w:val="00CE2283"/>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1FC4"/>
    <w:rsid w:val="00D0272C"/>
    <w:rsid w:val="00D045CE"/>
    <w:rsid w:val="00D05082"/>
    <w:rsid w:val="00D06163"/>
    <w:rsid w:val="00D06937"/>
    <w:rsid w:val="00D07AFD"/>
    <w:rsid w:val="00D11142"/>
    <w:rsid w:val="00D11749"/>
    <w:rsid w:val="00D117B4"/>
    <w:rsid w:val="00D12A7D"/>
    <w:rsid w:val="00D13AB0"/>
    <w:rsid w:val="00D1519E"/>
    <w:rsid w:val="00D152B7"/>
    <w:rsid w:val="00D16BA5"/>
    <w:rsid w:val="00D16EDC"/>
    <w:rsid w:val="00D17FDE"/>
    <w:rsid w:val="00D201CB"/>
    <w:rsid w:val="00D208A8"/>
    <w:rsid w:val="00D22786"/>
    <w:rsid w:val="00D228B4"/>
    <w:rsid w:val="00D25AC4"/>
    <w:rsid w:val="00D305F6"/>
    <w:rsid w:val="00D305FD"/>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0B5"/>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456B"/>
    <w:rsid w:val="00D64804"/>
    <w:rsid w:val="00D64E87"/>
    <w:rsid w:val="00D67101"/>
    <w:rsid w:val="00D71B45"/>
    <w:rsid w:val="00D71F8A"/>
    <w:rsid w:val="00D75603"/>
    <w:rsid w:val="00D75FEE"/>
    <w:rsid w:val="00D76933"/>
    <w:rsid w:val="00D76D88"/>
    <w:rsid w:val="00D77CC9"/>
    <w:rsid w:val="00D80F23"/>
    <w:rsid w:val="00D83B98"/>
    <w:rsid w:val="00D83D4B"/>
    <w:rsid w:val="00D871C6"/>
    <w:rsid w:val="00D91010"/>
    <w:rsid w:val="00D9143D"/>
    <w:rsid w:val="00D920D1"/>
    <w:rsid w:val="00D921F6"/>
    <w:rsid w:val="00DA0FA7"/>
    <w:rsid w:val="00DA12B0"/>
    <w:rsid w:val="00DA25D9"/>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2AA"/>
    <w:rsid w:val="00DD7418"/>
    <w:rsid w:val="00DE64A6"/>
    <w:rsid w:val="00DE66EB"/>
    <w:rsid w:val="00DE7035"/>
    <w:rsid w:val="00DF12E3"/>
    <w:rsid w:val="00DF2305"/>
    <w:rsid w:val="00DF2A20"/>
    <w:rsid w:val="00DF3F1D"/>
    <w:rsid w:val="00DF595C"/>
    <w:rsid w:val="00DF7EA7"/>
    <w:rsid w:val="00E04548"/>
    <w:rsid w:val="00E0484E"/>
    <w:rsid w:val="00E04D9D"/>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747"/>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6A7"/>
    <w:rsid w:val="00E53C15"/>
    <w:rsid w:val="00E54EE6"/>
    <w:rsid w:val="00E56715"/>
    <w:rsid w:val="00E56C2C"/>
    <w:rsid w:val="00E57F8E"/>
    <w:rsid w:val="00E611C8"/>
    <w:rsid w:val="00E6344A"/>
    <w:rsid w:val="00E64E69"/>
    <w:rsid w:val="00E64FB7"/>
    <w:rsid w:val="00E669A1"/>
    <w:rsid w:val="00E679BA"/>
    <w:rsid w:val="00E67FDF"/>
    <w:rsid w:val="00E70243"/>
    <w:rsid w:val="00E70E2E"/>
    <w:rsid w:val="00E719FD"/>
    <w:rsid w:val="00E72CC6"/>
    <w:rsid w:val="00E73D44"/>
    <w:rsid w:val="00E7494A"/>
    <w:rsid w:val="00E74BE2"/>
    <w:rsid w:val="00E74C66"/>
    <w:rsid w:val="00E75933"/>
    <w:rsid w:val="00E77A1B"/>
    <w:rsid w:val="00E808BE"/>
    <w:rsid w:val="00E81E36"/>
    <w:rsid w:val="00E81E40"/>
    <w:rsid w:val="00E82ECE"/>
    <w:rsid w:val="00E845D5"/>
    <w:rsid w:val="00E8713B"/>
    <w:rsid w:val="00E90774"/>
    <w:rsid w:val="00E90C61"/>
    <w:rsid w:val="00E922B7"/>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0B5"/>
    <w:rsid w:val="00EC634F"/>
    <w:rsid w:val="00EC6848"/>
    <w:rsid w:val="00EC6C6E"/>
    <w:rsid w:val="00EC738D"/>
    <w:rsid w:val="00EC7B97"/>
    <w:rsid w:val="00ED049C"/>
    <w:rsid w:val="00ED07B7"/>
    <w:rsid w:val="00ED19D7"/>
    <w:rsid w:val="00ED2167"/>
    <w:rsid w:val="00ED351E"/>
    <w:rsid w:val="00ED4B27"/>
    <w:rsid w:val="00ED4B90"/>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3B90"/>
    <w:rsid w:val="00EF40E2"/>
    <w:rsid w:val="00EF5B18"/>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0C9"/>
    <w:rsid w:val="00F377CD"/>
    <w:rsid w:val="00F40443"/>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1F6"/>
    <w:rsid w:val="00F5475B"/>
    <w:rsid w:val="00F574D0"/>
    <w:rsid w:val="00F6031F"/>
    <w:rsid w:val="00F61664"/>
    <w:rsid w:val="00F61B99"/>
    <w:rsid w:val="00F64C45"/>
    <w:rsid w:val="00F64FBF"/>
    <w:rsid w:val="00F6502B"/>
    <w:rsid w:val="00F6612A"/>
    <w:rsid w:val="00F66724"/>
    <w:rsid w:val="00F670A1"/>
    <w:rsid w:val="00F67F04"/>
    <w:rsid w:val="00F70207"/>
    <w:rsid w:val="00F702CB"/>
    <w:rsid w:val="00F716D4"/>
    <w:rsid w:val="00F71AC2"/>
    <w:rsid w:val="00F739D4"/>
    <w:rsid w:val="00F77D43"/>
    <w:rsid w:val="00F8078D"/>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5F5"/>
    <w:rsid w:val="00FA0B60"/>
    <w:rsid w:val="00FA2528"/>
    <w:rsid w:val="00FA5524"/>
    <w:rsid w:val="00FA5535"/>
    <w:rsid w:val="00FA7206"/>
    <w:rsid w:val="00FA7EFB"/>
    <w:rsid w:val="00FB0816"/>
    <w:rsid w:val="00FB08C2"/>
    <w:rsid w:val="00FB3DD1"/>
    <w:rsid w:val="00FB51FD"/>
    <w:rsid w:val="00FB5667"/>
    <w:rsid w:val="00FB7A97"/>
    <w:rsid w:val="00FC0E14"/>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6B7A94EE-85AA-4B09-BDF5-96CAF6F6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0017611">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76754198">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8b5191-36be-4515-8866-7c7989a03b3f" xsi:nil="true"/>
    <lcf76f155ced4ddcb4097134ff3c332f xmlns="b024ad5b-af6b-44c1-aae6-51df71a5ef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BF501166ADEB4385355192EDA8E244" ma:contentTypeVersion="11" ma:contentTypeDescription="Create a new document." ma:contentTypeScope="" ma:versionID="8a83e3500b32daf93ed7a19036576ec6">
  <xsd:schema xmlns:xsd="http://www.w3.org/2001/XMLSchema" xmlns:xs="http://www.w3.org/2001/XMLSchema" xmlns:p="http://schemas.microsoft.com/office/2006/metadata/properties" xmlns:ns2="b024ad5b-af6b-44c1-aae6-51df71a5efa9" xmlns:ns3="b78b5191-36be-4515-8866-7c7989a03b3f" targetNamespace="http://schemas.microsoft.com/office/2006/metadata/properties" ma:root="true" ma:fieldsID="ed6f1f7cce2fda7fab632f62f355056d" ns2:_="" ns3:_="">
    <xsd:import namespace="b024ad5b-af6b-44c1-aae6-51df71a5efa9"/>
    <xsd:import namespace="b78b5191-36be-4515-8866-7c7989a03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4ad5b-af6b-44c1-aae6-51df71a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ef7433-0968-47c0-bb35-1c860e879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b5191-36be-4515-8866-7c7989a03b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a9c8fc-69e9-41eb-82d3-f2f6a8b00177}" ma:internalName="TaxCatchAll" ma:showField="CatchAllData" ma:web="b78b5191-36be-4515-8866-7c7989a03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b78b5191-36be-4515-8866-7c7989a03b3f"/>
    <ds:schemaRef ds:uri="b024ad5b-af6b-44c1-aae6-51df71a5efa9"/>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049396CE-F6A6-4CF1-A25F-F2590FDD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4ad5b-af6b-44c1-aae6-51df71a5efa9"/>
    <ds:schemaRef ds:uri="b78b5191-36be-4515-8866-7c7989a03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3267</Words>
  <Characters>18625</Characters>
  <Application>Microsoft Office Word</Application>
  <DocSecurity>8</DocSecurity>
  <Lines>155</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21849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Alexander McDonald</cp:lastModifiedBy>
  <cp:revision>3</cp:revision>
  <cp:lastPrinted>2015-02-18T11:01:00Z</cp:lastPrinted>
  <dcterms:created xsi:type="dcterms:W3CDTF">2023-03-31T17:48:00Z</dcterms:created>
  <dcterms:modified xsi:type="dcterms:W3CDTF">2023-03-31T17:50:00Z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0x010100D8BF501166ADEB4385355192EDA8E244</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ies>
</file>